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13991dsc13g.htm"/>
      <w:bookmarkStart w:id="1" w:name="ksd513991dsc13g"/>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Selecta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$0.0001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816212104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June 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94"/>
        <w:gridCol w:w="226"/>
        <w:gridCol w:w="220"/>
        <w:gridCol w:w="226"/>
        <w:gridCol w:w="7821"/>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Invus Public Equities, L.P.</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Bermuda</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94"/>
        <w:gridCol w:w="226"/>
        <w:gridCol w:w="220"/>
        <w:gridCol w:w="226"/>
        <w:gridCol w:w="7821"/>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Invus Public Equities Advisors, LLC</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94"/>
        <w:gridCol w:w="226"/>
        <w:gridCol w:w="220"/>
        <w:gridCol w:w="226"/>
        <w:gridCol w:w="7821"/>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Artal International S.C.A.</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94"/>
        <w:gridCol w:w="226"/>
        <w:gridCol w:w="220"/>
        <w:gridCol w:w="226"/>
        <w:gridCol w:w="7821"/>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Artal International Management S.A.</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94"/>
        <w:gridCol w:w="226"/>
        <w:gridCol w:w="220"/>
        <w:gridCol w:w="226"/>
        <w:gridCol w:w="7821"/>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Artal Group S.A.</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94"/>
        <w:gridCol w:w="226"/>
        <w:gridCol w:w="220"/>
        <w:gridCol w:w="226"/>
        <w:gridCol w:w="7821"/>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Westend S.A.</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5"/>
        <w:gridCol w:w="129"/>
        <w:gridCol w:w="771"/>
        <w:gridCol w:w="355"/>
        <w:gridCol w:w="352"/>
        <w:gridCol w:w="355"/>
        <w:gridCol w:w="7515"/>
      </w:tblGrid>
      <w:tr>
        <w:trPr/>
        <w:tc>
          <w:tcPr>
            <w:tcW w:w="62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7515" w:type="dxa"/>
            <w:tcBorders/>
            <w:vAlign w:val="center"/>
          </w:tcPr>
          <w:p>
            <w:pPr>
              <w:pStyle w:val="TableContents"/>
              <w:bidi w:val="0"/>
              <w:spacing w:before="0" w:after="283"/>
              <w:jc w:val="left"/>
              <w:rPr>
                <w:sz w:val="4"/>
                <w:szCs w:val="4"/>
              </w:rPr>
            </w:pPr>
            <w:r>
              <w:rPr>
                <w:sz w:val="4"/>
                <w:szCs w:val="4"/>
              </w:rPr>
            </w:r>
          </w:p>
        </w:tc>
      </w:tr>
      <w:tr>
        <w:trPr/>
        <w:tc>
          <w:tcPr>
            <w:tcW w:w="62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48"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Stichting Administratiekantoor Westend</w:t>
            </w:r>
          </w:p>
        </w:tc>
      </w:tr>
      <w:tr>
        <w:trPr/>
        <w:tc>
          <w:tcPr>
            <w:tcW w:w="6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4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4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4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The Netherlands</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5"/>
        <w:gridCol w:w="122"/>
        <w:gridCol w:w="3147"/>
        <w:gridCol w:w="122"/>
        <w:gridCol w:w="2959"/>
      </w:tblGrid>
      <w:tr>
        <w:trPr/>
        <w:tc>
          <w:tcPr>
            <w:tcW w:w="38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CUSIP No. 816212104</w:t>
            </w:r>
          </w:p>
        </w:tc>
        <w:tc>
          <w:tcPr>
            <w:tcW w:w="122" w:type="dxa"/>
            <w:tcBorders/>
            <w:vAlign w:val="bottom"/>
          </w:tcPr>
          <w:p>
            <w:pPr>
              <w:pStyle w:val="TableContents"/>
              <w:bidi w:val="0"/>
              <w:spacing w:before="0" w:after="283"/>
              <w:jc w:val="left"/>
              <w:rPr/>
            </w:pPr>
            <w:r>
              <w:rPr/>
              <w:t>  </w:t>
            </w:r>
          </w:p>
        </w:tc>
        <w:tc>
          <w:tcPr>
            <w:tcW w:w="3147" w:type="dxa"/>
            <w:tcBorders/>
          </w:tcPr>
          <w:p>
            <w:pPr>
              <w:pStyle w:val="TableContents"/>
              <w:bidi w:val="0"/>
              <w:spacing w:before="0" w:after="283"/>
              <w:jc w:val="center"/>
              <w:rPr/>
            </w:pPr>
            <w:r>
              <w:rPr/>
              <w:t>13G</w:t>
            </w:r>
          </w:p>
        </w:tc>
        <w:tc>
          <w:tcPr>
            <w:tcW w:w="122"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90"/>
        <w:gridCol w:w="125"/>
        <w:gridCol w:w="886"/>
        <w:gridCol w:w="228"/>
        <w:gridCol w:w="223"/>
        <w:gridCol w:w="228"/>
        <w:gridCol w:w="7822"/>
      </w:tblGrid>
      <w:tr>
        <w:trPr/>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7822" w:type="dxa"/>
            <w:tcBorders/>
            <w:vAlign w:val="center"/>
          </w:tcPr>
          <w:p>
            <w:pPr>
              <w:pStyle w:val="TableContents"/>
              <w:bidi w:val="0"/>
              <w:spacing w:before="0" w:after="283"/>
              <w:jc w:val="left"/>
              <w:rPr>
                <w:sz w:val="4"/>
                <w:szCs w:val="4"/>
              </w:rPr>
            </w:pPr>
            <w:r>
              <w:rPr>
                <w:sz w:val="4"/>
                <w:szCs w:val="4"/>
              </w:rPr>
            </w:r>
          </w:p>
        </w:tc>
      </w:tr>
      <w:tr>
        <w:trPr/>
        <w:tc>
          <w:tcPr>
            <w:tcW w:w="59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Mr. Amaury Wittouck</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Belgium</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371"/>
        <w:gridCol w:w="176"/>
        <w:gridCol w:w="7275"/>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7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10,206,990</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1(a).</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Selecta Biosciences, Inc.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1(b).</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65 Grove Street, Watertown, MA 02472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2(a).</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2(b).</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2(c).</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Invus Public Equities, L.P. (Invus Public Equities) </w:t>
      </w:r>
    </w:p>
    <w:p>
      <w:pPr>
        <w:pStyle w:val="TextBody"/>
        <w:bidi w:val="0"/>
        <w:spacing w:before="0" w:after="0"/>
        <w:jc w:val="left"/>
        <w:rPr>
          <w:rFonts w:ascii="Times New Roman" w:hAnsi="Times New Roman"/>
          <w:sz w:val="20"/>
        </w:rPr>
      </w:pPr>
      <w:r>
        <w:rPr>
          <w:rFonts w:ascii="Times New Roman" w:hAnsi="Times New Roman"/>
          <w:sz w:val="20"/>
        </w:rPr>
        <w:t xml:space="preserve">750 Lexington Avenue, 30th Floor, 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Citizenship: Bermuda limited partnership </w:t>
      </w:r>
    </w:p>
    <w:p>
      <w:pPr>
        <w:pStyle w:val="TextBody"/>
        <w:bidi w:val="0"/>
        <w:spacing w:before="120" w:after="0"/>
        <w:jc w:val="left"/>
        <w:rPr>
          <w:rFonts w:ascii="Times New Roman" w:hAnsi="Times New Roman"/>
          <w:sz w:val="20"/>
        </w:rPr>
      </w:pPr>
      <w:r>
        <w:rPr>
          <w:rFonts w:ascii="Times New Roman" w:hAnsi="Times New Roman"/>
          <w:sz w:val="20"/>
        </w:rPr>
        <w:t xml:space="preserve">(ii) Invus Public Equities Advisors, LLC (Invus PE Advisors) </w:t>
      </w:r>
    </w:p>
    <w:p>
      <w:pPr>
        <w:pStyle w:val="TextBody"/>
        <w:bidi w:val="0"/>
        <w:spacing w:before="0" w:after="0"/>
        <w:jc w:val="left"/>
        <w:rPr>
          <w:rFonts w:ascii="Times New Roman" w:hAnsi="Times New Roman"/>
          <w:sz w:val="20"/>
        </w:rPr>
      </w:pPr>
      <w:r>
        <w:rPr>
          <w:rFonts w:ascii="Times New Roman" w:hAnsi="Times New Roman"/>
          <w:sz w:val="20"/>
        </w:rPr>
        <w:t xml:space="preserve">750 Lexington Avenue, 30th Floor, 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Citizenship: Delaware limited liability company </w:t>
      </w:r>
    </w:p>
    <w:p>
      <w:pPr>
        <w:pStyle w:val="TextBody"/>
        <w:bidi w:val="0"/>
        <w:spacing w:before="120" w:after="0"/>
        <w:jc w:val="left"/>
        <w:rPr>
          <w:rFonts w:ascii="Times New Roman" w:hAnsi="Times New Roman"/>
          <w:sz w:val="20"/>
        </w:rPr>
      </w:pPr>
      <w:r>
        <w:rPr>
          <w:rFonts w:ascii="Times New Roman" w:hAnsi="Times New Roman"/>
          <w:sz w:val="20"/>
        </w:rPr>
        <w:t xml:space="preserve">(iii) Artal International S.C.A. (Artal International)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limited partnership </w:t>
      </w:r>
    </w:p>
    <w:p>
      <w:pPr>
        <w:pStyle w:val="TextBody"/>
        <w:bidi w:val="0"/>
        <w:spacing w:before="120" w:after="0"/>
        <w:jc w:val="left"/>
        <w:rPr>
          <w:rFonts w:ascii="Times New Roman" w:hAnsi="Times New Roman"/>
          <w:sz w:val="20"/>
        </w:rPr>
      </w:pPr>
      <w:r>
        <w:rPr>
          <w:rFonts w:ascii="Times New Roman" w:hAnsi="Times New Roman"/>
          <w:sz w:val="20"/>
        </w:rPr>
        <w:t xml:space="preserve">(iv) Artal International Management S.A. (Artal International Management)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société anonyme </w:t>
      </w:r>
    </w:p>
    <w:p>
      <w:pPr>
        <w:pStyle w:val="TextBody"/>
        <w:bidi w:val="0"/>
        <w:spacing w:before="120" w:after="0"/>
        <w:jc w:val="left"/>
        <w:rPr>
          <w:rFonts w:ascii="Times New Roman" w:hAnsi="Times New Roman"/>
          <w:sz w:val="20"/>
        </w:rPr>
      </w:pPr>
      <w:r>
        <w:rPr>
          <w:rFonts w:ascii="Times New Roman" w:hAnsi="Times New Roman"/>
          <w:sz w:val="20"/>
        </w:rPr>
        <w:t xml:space="preserve">(v) Artal Group S.A. (Artal Group)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société anonyme </w:t>
      </w:r>
    </w:p>
    <w:p>
      <w:pPr>
        <w:pStyle w:val="TextBody"/>
        <w:bidi w:val="0"/>
        <w:spacing w:before="120" w:after="0"/>
        <w:jc w:val="left"/>
        <w:rPr>
          <w:rFonts w:ascii="Times New Roman" w:hAnsi="Times New Roman"/>
          <w:sz w:val="20"/>
        </w:rPr>
      </w:pPr>
      <w:r>
        <w:rPr>
          <w:rFonts w:ascii="Times New Roman" w:hAnsi="Times New Roman"/>
          <w:sz w:val="20"/>
        </w:rPr>
        <w:t xml:space="preserve">(vi) Westend S.A. (Westend)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société anonyme </w:t>
      </w:r>
    </w:p>
    <w:p>
      <w:pPr>
        <w:pStyle w:val="TextBody"/>
        <w:bidi w:val="0"/>
        <w:spacing w:before="120" w:after="0"/>
        <w:jc w:val="left"/>
        <w:rPr>
          <w:rFonts w:ascii="Times New Roman" w:hAnsi="Times New Roman"/>
          <w:sz w:val="20"/>
        </w:rPr>
      </w:pPr>
      <w:r>
        <w:rPr>
          <w:rFonts w:ascii="Times New Roman" w:hAnsi="Times New Roman"/>
          <w:sz w:val="20"/>
        </w:rPr>
        <w:t xml:space="preserve">(vii) Stichting Administratiekantoor Westend (the Stichting) </w:t>
      </w:r>
    </w:p>
    <w:p>
      <w:pPr>
        <w:pStyle w:val="TextBody"/>
        <w:bidi w:val="0"/>
        <w:spacing w:before="0" w:after="0"/>
        <w:jc w:val="left"/>
        <w:rPr>
          <w:rFonts w:ascii="Times New Roman" w:hAnsi="Times New Roman"/>
          <w:sz w:val="20"/>
        </w:rPr>
      </w:pPr>
      <w:r>
        <w:rPr>
          <w:rFonts w:ascii="Times New Roman" w:hAnsi="Times New Roman"/>
          <w:sz w:val="20"/>
        </w:rPr>
        <w:t xml:space="preserve">Claude Debussylaan, 46, 1082 MD Amsterdam, The Netherlands </w:t>
      </w:r>
    </w:p>
    <w:p>
      <w:pPr>
        <w:pStyle w:val="TextBody"/>
        <w:bidi w:val="0"/>
        <w:spacing w:before="0" w:after="0"/>
        <w:jc w:val="left"/>
        <w:rPr>
          <w:rFonts w:ascii="Times New Roman" w:hAnsi="Times New Roman"/>
          <w:sz w:val="20"/>
        </w:rPr>
      </w:pPr>
      <w:r>
        <w:rPr>
          <w:rFonts w:ascii="Times New Roman" w:hAnsi="Times New Roman"/>
          <w:sz w:val="20"/>
        </w:rPr>
        <w:t xml:space="preserve">Citizenship: Netherlands foundation </w:t>
      </w:r>
    </w:p>
    <w:p>
      <w:pPr>
        <w:pStyle w:val="TextBody"/>
        <w:bidi w:val="0"/>
        <w:spacing w:before="120" w:after="0"/>
        <w:jc w:val="left"/>
        <w:rPr>
          <w:rFonts w:ascii="Times New Roman" w:hAnsi="Times New Roman"/>
          <w:sz w:val="20"/>
        </w:rPr>
      </w:pPr>
      <w:r>
        <w:rPr>
          <w:rFonts w:ascii="Times New Roman" w:hAnsi="Times New Roman"/>
          <w:sz w:val="20"/>
        </w:rPr>
        <w:t xml:space="preserve">(viii) Mr. Amaury Wittouck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Belgium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persons are hereinafter sometimes collectively referred to as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2(d).</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$0.0001 par value per share (the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2(e).</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816212104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Sections 240.13d-1(b) or 240.13d-2(b) or (c), Check Whether the Person Filing Is 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Item 3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Amount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Invus Public Equities directly holds (i) 8,887,776 Shares, (ii) presently exercisable warrants to purchase up to 656,814 Shares, with an exercise price of $1.46 per Share and expiration date of December 23, 2024 (the December Warrants), and (iii) presently exercisable warrants to purchase up to 662,400 Shares, with an exercise price of $1.55 per Share and expiration date of April 11, 2027 (together with the December Warrants, the Warrants). </w:t>
      </w:r>
    </w:p>
    <w:p>
      <w:pPr>
        <w:pStyle w:val="TextBody"/>
        <w:bidi w:val="0"/>
        <w:spacing w:before="240" w:after="0"/>
        <w:jc w:val="left"/>
        <w:rPr>
          <w:rFonts w:ascii="Times New Roman" w:hAnsi="Times New Roman"/>
          <w:sz w:val="20"/>
        </w:rPr>
      </w:pPr>
      <w:r>
        <w:rPr>
          <w:rFonts w:ascii="Times New Roman" w:hAnsi="Times New Roman"/>
          <w:sz w:val="20"/>
        </w:rPr>
        <w:t xml:space="preserve">Invus PE Advisors, as the general partner of Invus Public Equities, controls Invus Public Equities and, accordingly, may be deemed to beneficially own the Shares beneficially owned by Invus Public Equities. The Geneva branch of Artal International, as the managing member of Invus PE Advisors, controls Invus PE Advisors and, accordingly, may be deemed to beneficially own the Shares that Invus PE Advisors may be deemed to beneficially own. Artal International Management, as the managing partner of Artal International, controls Artal International and, accordingly, may be deemed to beneficially own the Shares that Artal International may be deemed to beneficially own. Artal Group, as the sole stockholder of Artal International Management, controls Artal International Management and, accordingly, may be deemed to beneficially own the Shares that Artal International Management may be deemed to beneficially own. Westend, as the parent company of Artal Group, controls Artal Group and, accordingly, may be deemed to beneficially own the Shares that Artal Group may be deemed to beneficially own. The Stichting, as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 </w:t>
      </w:r>
    </w:p>
    <w:p>
      <w:pPr>
        <w:pStyle w:val="TextBody"/>
        <w:bidi w:val="0"/>
        <w:spacing w:before="240" w:after="0"/>
        <w:jc w:val="left"/>
        <w:rPr>
          <w:rFonts w:ascii="Times New Roman" w:hAnsi="Times New Roman"/>
          <w:sz w:val="20"/>
        </w:rPr>
      </w:pPr>
      <w:r>
        <w:rPr>
          <w:rFonts w:ascii="Times New Roman" w:hAnsi="Times New Roman"/>
          <w:sz w:val="20"/>
        </w:rPr>
        <w:t xml:space="preserve">(b) Percent of class: </w:t>
      </w:r>
    </w:p>
    <w:p>
      <w:pPr>
        <w:pStyle w:val="TextBody"/>
        <w:bidi w:val="0"/>
        <w:spacing w:before="240" w:after="0"/>
        <w:jc w:val="left"/>
        <w:rPr>
          <w:rFonts w:ascii="Times New Roman" w:hAnsi="Times New Roman"/>
          <w:sz w:val="20"/>
        </w:rPr>
      </w:pPr>
      <w:r>
        <w:rPr>
          <w:rFonts w:ascii="Times New Roman" w:hAnsi="Times New Roman"/>
          <w:sz w:val="20"/>
        </w:rPr>
        <w:t xml:space="preserve">Each of the Reporting Persons may be deemed to be the beneficial owner of the percentage of Shares listed on such Reporting Persons cover page. Calculations of the percentage of Shares beneficially owned are based on 153,426,983 Shares outstanding as of April 28, 2023, as reported in the Quarterly Report on Form 10-Q filed by the Issuer with the Securities and Exchange Commission on May 4, 2023. </w:t>
      </w:r>
    </w:p>
    <w:p>
      <w:pPr>
        <w:pStyle w:val="TextBody"/>
        <w:bidi w:val="0"/>
        <w:spacing w:before="240" w:after="0"/>
        <w:jc w:val="left"/>
        <w:rPr>
          <w:rFonts w:ascii="Times New Roman" w:hAnsi="Times New Roman"/>
          <w:sz w:val="20"/>
        </w:rPr>
      </w:pPr>
      <w:r>
        <w:rPr>
          <w:rFonts w:ascii="Times New Roman" w:hAnsi="Times New Roman"/>
          <w:sz w:val="20"/>
        </w:rPr>
        <w:t xml:space="preserve">(c) Number of shares as to which Invus Public Equities, Invus PE Advisors, Artal International, Artal International Management, Artal Group, Westend, the Stichting and Mr. Wittouck has: </w:t>
      </w:r>
    </w:p>
    <w:p>
      <w:pPr>
        <w:pStyle w:val="TextBody"/>
        <w:bidi w:val="0"/>
        <w:spacing w:before="120" w:after="0"/>
        <w:jc w:val="left"/>
        <w:rPr>
          <w:rFonts w:ascii="Times New Roman" w:hAnsi="Times New Roman"/>
          <w:sz w:val="20"/>
        </w:rPr>
      </w:pPr>
      <w:r>
        <w:rPr>
          <w:rFonts w:ascii="Times New Roman" w:hAnsi="Times New Roman"/>
          <w:sz w:val="20"/>
        </w:rPr>
        <w:t xml:space="preserve">(i) Sole power to vote or to direct the vote: </w:t>
      </w:r>
    </w:p>
    <w:p>
      <w:pPr>
        <w:pStyle w:val="TextBody"/>
        <w:bidi w:val="0"/>
        <w:spacing w:before="120" w:after="0"/>
        <w:jc w:val="left"/>
        <w:rPr>
          <w:rFonts w:ascii="Times New Roman" w:hAnsi="Times New Roman"/>
          <w:sz w:val="20"/>
        </w:rPr>
      </w:pPr>
      <w:r>
        <w:rPr>
          <w:rFonts w:ascii="Times New Roman" w:hAnsi="Times New Roman"/>
          <w:sz w:val="20"/>
        </w:rPr>
        <w:t xml:space="preserve">10,206,990 </w:t>
      </w:r>
    </w:p>
    <w:p>
      <w:pPr>
        <w:pStyle w:val="TextBody"/>
        <w:bidi w:val="0"/>
        <w:spacing w:before="120" w:after="0"/>
        <w:jc w:val="left"/>
        <w:rPr>
          <w:rFonts w:ascii="Times New Roman" w:hAnsi="Times New Roman"/>
          <w:sz w:val="20"/>
        </w:rPr>
      </w:pPr>
      <w:r>
        <w:rPr>
          <w:rFonts w:ascii="Times New Roman" w:hAnsi="Times New Roman"/>
          <w:sz w:val="20"/>
        </w:rPr>
        <w:t xml:space="preserve">(ii) Shared power to vote or to direct the vote: </w:t>
      </w:r>
    </w:p>
    <w:p>
      <w:pPr>
        <w:pStyle w:val="TextBody"/>
        <w:bidi w:val="0"/>
        <w:spacing w:before="120" w:after="0"/>
        <w:jc w:val="left"/>
        <w:rPr>
          <w:rFonts w:ascii="Times New Roman" w:hAnsi="Times New Roman"/>
          <w:sz w:val="20"/>
        </w:rPr>
      </w:pPr>
      <w:r>
        <w:rPr>
          <w:rFonts w:ascii="Times New Roman" w:hAnsi="Times New Roman"/>
          <w:sz w:val="20"/>
        </w:rPr>
        <w:t xml:space="preserve">0 </w:t>
      </w:r>
    </w:p>
    <w:p>
      <w:pPr>
        <w:pStyle w:val="TextBody"/>
        <w:bidi w:val="0"/>
        <w:spacing w:before="120" w:after="0"/>
        <w:jc w:val="left"/>
        <w:rPr>
          <w:rFonts w:ascii="Times New Roman" w:hAnsi="Times New Roman"/>
          <w:sz w:val="20"/>
        </w:rPr>
      </w:pPr>
      <w:r>
        <w:rPr>
          <w:rFonts w:ascii="Times New Roman" w:hAnsi="Times New Roman"/>
          <w:sz w:val="20"/>
        </w:rPr>
        <w:t xml:space="preserve">(iii) Sole power to dispose or to direct the disposition of: </w:t>
      </w:r>
    </w:p>
    <w:p>
      <w:pPr>
        <w:pStyle w:val="TextBody"/>
        <w:bidi w:val="0"/>
        <w:spacing w:before="120" w:after="0"/>
        <w:jc w:val="left"/>
        <w:rPr>
          <w:rFonts w:ascii="Times New Roman" w:hAnsi="Times New Roman"/>
          <w:sz w:val="20"/>
        </w:rPr>
      </w:pPr>
      <w:r>
        <w:rPr>
          <w:rFonts w:ascii="Times New Roman" w:hAnsi="Times New Roman"/>
          <w:sz w:val="20"/>
        </w:rPr>
        <w:t xml:space="preserve">10,206,990 </w:t>
      </w:r>
    </w:p>
    <w:p>
      <w:pPr>
        <w:pStyle w:val="TextBody"/>
        <w:bidi w:val="0"/>
        <w:spacing w:before="120" w:after="0"/>
        <w:jc w:val="left"/>
        <w:rPr>
          <w:rFonts w:ascii="Times New Roman" w:hAnsi="Times New Roman"/>
          <w:sz w:val="20"/>
        </w:rPr>
      </w:pPr>
      <w:r>
        <w:rPr>
          <w:rFonts w:ascii="Times New Roman" w:hAnsi="Times New Roman"/>
          <w:sz w:val="20"/>
        </w:rPr>
        <w:t xml:space="preserve">(iv) Shared power to dispose or to direct the disposition of: </w:t>
      </w:r>
    </w:p>
    <w:p>
      <w:pPr>
        <w:pStyle w:val="TextBody"/>
        <w:bidi w:val="0"/>
        <w:spacing w:before="120" w:after="0"/>
        <w:jc w:val="left"/>
        <w:rPr>
          <w:rFonts w:ascii="Times New Roman" w:hAnsi="Times New Roman"/>
          <w:sz w:val="20"/>
        </w:rPr>
      </w:pPr>
      <w:r>
        <w:rPr>
          <w:rFonts w:ascii="Times New Roman" w:hAnsi="Times New Roman"/>
          <w:sz w:val="20"/>
        </w:rPr>
        <w:t xml:space="preserve">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6 is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Item 7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8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9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Reporting Persons hereby makes the following certification: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1"/>
        <w:gridCol w:w="709"/>
        <w:gridCol w:w="8865"/>
      </w:tblGrid>
      <w:tr>
        <w:trPr/>
        <w:tc>
          <w:tcPr>
            <w:tcW w:w="631"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8865" w:type="dxa"/>
            <w:tcBorders/>
            <w:vAlign w:val="center"/>
          </w:tcPr>
          <w:p>
            <w:pPr>
              <w:pStyle w:val="TableContents"/>
              <w:bidi w:val="0"/>
              <w:spacing w:before="0" w:after="283"/>
              <w:jc w:val="left"/>
              <w:rPr>
                <w:sz w:val="4"/>
                <w:szCs w:val="4"/>
              </w:rPr>
            </w:pPr>
            <w:r>
              <w:rPr>
                <w:sz w:val="4"/>
                <w:szCs w:val="4"/>
              </w:rPr>
            </w:r>
          </w:p>
        </w:tc>
      </w:tr>
      <w:tr>
        <w:trPr/>
        <w:tc>
          <w:tcPr>
            <w:tcW w:w="63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709" w:type="dxa"/>
            <w:tcBorders/>
            <w:vAlign w:val="bottom"/>
          </w:tcPr>
          <w:p>
            <w:pPr>
              <w:pStyle w:val="TableContents"/>
              <w:bidi w:val="0"/>
              <w:spacing w:before="0" w:after="283"/>
              <w:jc w:val="left"/>
              <w:rPr/>
            </w:pPr>
            <w:r>
              <w:rPr/>
              <w:t>  </w:t>
            </w:r>
          </w:p>
        </w:tc>
        <w:tc>
          <w:tcPr>
            <w:tcW w:w="88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r>
      <w:tr>
        <w:trPr>
          <w:trHeight w:val="120" w:hRule="atLeast"/>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tcPr>
          <w:p>
            <w:pPr>
              <w:pStyle w:val="TableContents"/>
              <w:bidi w:val="0"/>
              <w:spacing w:before="0" w:after="283"/>
              <w:jc w:val="left"/>
              <w:rPr/>
            </w:pPr>
            <w:r>
              <w:rPr/>
              <w:t>1.</w:t>
            </w:r>
          </w:p>
        </w:tc>
        <w:tc>
          <w:tcPr>
            <w:tcW w:w="709"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Joint Filing Agreement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June 12,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INVUS PUBLIC EQUITIES, L.P.</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INVUS PUBLIC EQUITIES ADVISORS, LLC, its general partner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Raymond Debbane</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Raymond Debbane</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INVUS PUBLIC EQUITIES ADVISORS, LLC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Raymond Debbane</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Raymond Debbane</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ARTAL INTERNATIONAL S.C.A.</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ARTAL INTERNATIONAL MANAGEMENT S.A., its managing partner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Anne Goffard</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ARTAL INTERNATIONAL MANAGEMENT S.A.</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Anne Goffard</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ARTAL GROUP S.A.</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Anne Goffard</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Authorized Person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213"/>
        <w:gridCol w:w="121"/>
        <w:gridCol w:w="2748"/>
      </w:tblGrid>
      <w:tr>
        <w:trPr/>
        <w:tc>
          <w:tcPr>
            <w:tcW w:w="1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WESTEND S.A.</w:t>
            </w:r>
          </w:p>
        </w:tc>
      </w:tr>
      <w:tr>
        <w:trPr>
          <w:trHeight w:val="240" w:hRule="atLeast"/>
        </w:trPr>
        <w:tc>
          <w:tcPr>
            <w:tcW w:w="1213" w:type="dxa"/>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r>
      <w:tr>
        <w:trPr/>
        <w:tc>
          <w:tcPr>
            <w:tcW w:w="121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7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1213"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2748" w:type="dxa"/>
            <w:tcBorders/>
          </w:tcPr>
          <w:p>
            <w:pPr>
              <w:pStyle w:val="TableContents"/>
              <w:bidi w:val="0"/>
              <w:spacing w:before="0" w:after="283"/>
              <w:jc w:val="left"/>
              <w:rPr/>
            </w:pPr>
            <w:r>
              <w:rPr/>
              <w:t>Anne Goffard</w:t>
            </w:r>
          </w:p>
        </w:tc>
      </w:tr>
      <w:tr>
        <w:trPr/>
        <w:tc>
          <w:tcPr>
            <w:tcW w:w="1213"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2748"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STICHTING ADMINISTRATIEKANTOOR WESTEND</w:t>
            </w:r>
          </w:p>
        </w:tc>
      </w:tr>
      <w:tr>
        <w:trPr>
          <w:trHeight w:val="240" w:hRule="atLeast"/>
        </w:trPr>
        <w:tc>
          <w:tcPr>
            <w:tcW w:w="1213" w:type="dxa"/>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r>
      <w:tr>
        <w:trPr/>
        <w:tc>
          <w:tcPr>
            <w:tcW w:w="121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7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Amaury Wittouck</w:t>
            </w:r>
          </w:p>
        </w:tc>
      </w:tr>
      <w:tr>
        <w:trPr/>
        <w:tc>
          <w:tcPr>
            <w:tcW w:w="1213"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2748" w:type="dxa"/>
            <w:tcBorders/>
          </w:tcPr>
          <w:p>
            <w:pPr>
              <w:pStyle w:val="TableContents"/>
              <w:bidi w:val="0"/>
              <w:spacing w:before="0" w:after="283"/>
              <w:jc w:val="left"/>
              <w:rPr/>
            </w:pPr>
            <w:r>
              <w:rPr/>
              <w:t>Amaury Wittouck</w:t>
            </w:r>
          </w:p>
        </w:tc>
      </w:tr>
      <w:tr>
        <w:trPr/>
        <w:tc>
          <w:tcPr>
            <w:tcW w:w="1213"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2748" w:type="dxa"/>
            <w:tcBorders/>
          </w:tcPr>
          <w:p>
            <w:pPr>
              <w:pStyle w:val="TableContents"/>
              <w:bidi w:val="0"/>
              <w:spacing w:before="0" w:after="283"/>
              <w:jc w:val="left"/>
              <w:rPr/>
            </w:pPr>
            <w:r>
              <w:rPr/>
              <w:t>Sole Member of the Board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MR. AMAURY WITTOUCK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Amaury Wittouck</w:t>
            </w:r>
          </w:p>
        </w:tc>
      </w:tr>
    </w:tbl>
    <w:p>
      <w:pPr>
        <w:pStyle w:val="TextBody"/>
        <w:bidi w:val="0"/>
        <w:spacing w:before="0" w:after="0"/>
        <w:jc w:val="right"/>
        <w:rPr>
          <w:rFonts w:ascii="Times New Roman" w:hAnsi="Times New Roman"/>
          <w:b/>
          <w:sz w:val="20"/>
        </w:rPr>
      </w:pPr>
      <w:bookmarkStart w:id="2" w:name="d513991dex991.htm"/>
      <w:bookmarkStart w:id="3" w:name="ksd513991dex991"/>
      <w:bookmarkEnd w:id="2"/>
      <w:bookmarkEnd w:id="3"/>
      <w:r>
        <w:rPr>
          <w:rFonts w:ascii="Times New Roman" w:hAnsi="Times New Roman"/>
          <w:b/>
          <w:sz w:val="20"/>
        </w:rPr>
        <w:t xml:space="preserve">EXHIBIT 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agree that the statement on Schedule 13G with respect to the Common Stock, $0.0001 par value per share, of Selecta Biosciences, Inc. is, and any amendments thereto signed by each of the undersigned shall be, filed on behalf of each of them pursuant to and in accordance with the provisions of Rule 13d-1(k)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Dated: June 12,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INVUS PUBLIC EQUITIES, L.P.</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INVUS PUBLIC EQUITIES ADVISORS, LLC, its general partner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Raymond Debbane</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Raymond Debbane</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INVUS PUBLIC EQUITIES ADVISORS, LLC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Raymond Debbane</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Raymond Debbane</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ARTAL INTERNATIONAL S.C.A.</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ARTAL INTERNATIONAL MANAGEMENT S.A., its managing partner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Anne Goffard</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ARTAL INTERNATIONAL MANAGEMENT S.A.</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Anne Goffard</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Managing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140"/>
        <w:gridCol w:w="113"/>
        <w:gridCol w:w="2829"/>
      </w:tblGrid>
      <w:tr>
        <w:trPr/>
        <w:tc>
          <w:tcPr>
            <w:tcW w:w="114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ARTAL GROUP S.A.</w:t>
            </w:r>
          </w:p>
        </w:tc>
      </w:tr>
      <w:tr>
        <w:trPr>
          <w:trHeight w:val="240" w:hRule="atLeast"/>
        </w:trPr>
        <w:tc>
          <w:tcPr>
            <w:tcW w:w="1140"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1140" w:type="dxa"/>
            <w:tcBorders/>
          </w:tcPr>
          <w:p>
            <w:pPr>
              <w:pStyle w:val="TableContents"/>
              <w:bidi w:val="0"/>
              <w:spacing w:before="0" w:after="283"/>
              <w:jc w:val="left"/>
              <w:rPr/>
            </w:pPr>
            <w:r>
              <w:rPr/>
              <w:t>Name:</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bidi w:val="0"/>
              <w:spacing w:before="0" w:after="283"/>
              <w:jc w:val="left"/>
              <w:rPr/>
            </w:pPr>
            <w:r>
              <w:rPr/>
              <w:t>Anne Goffard</w:t>
            </w:r>
          </w:p>
        </w:tc>
      </w:tr>
      <w:tr>
        <w:trPr/>
        <w:tc>
          <w:tcPr>
            <w:tcW w:w="1140" w:type="dxa"/>
            <w:tcBorders/>
          </w:tcPr>
          <w:p>
            <w:pPr>
              <w:pStyle w:val="TableContents"/>
              <w:bidi w:val="0"/>
              <w:spacing w:before="0" w:after="283"/>
              <w:jc w:val="left"/>
              <w:rPr/>
            </w:pPr>
            <w:r>
              <w:rPr/>
              <w:t>Title:</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bidi w:val="0"/>
              <w:spacing w:before="0" w:after="283"/>
              <w:jc w:val="left"/>
              <w:rPr/>
            </w:pPr>
            <w:r>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WESTEND S.A.</w:t>
            </w:r>
          </w:p>
        </w:tc>
      </w:tr>
      <w:tr>
        <w:trPr>
          <w:trHeight w:val="240" w:hRule="atLeast"/>
        </w:trPr>
        <w:tc>
          <w:tcPr>
            <w:tcW w:w="1140"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Goffard</w:t>
            </w:r>
          </w:p>
        </w:tc>
      </w:tr>
      <w:tr>
        <w:trPr/>
        <w:tc>
          <w:tcPr>
            <w:tcW w:w="1140" w:type="dxa"/>
            <w:tcBorders/>
          </w:tcPr>
          <w:p>
            <w:pPr>
              <w:pStyle w:val="TableContents"/>
              <w:bidi w:val="0"/>
              <w:spacing w:before="0" w:after="283"/>
              <w:jc w:val="left"/>
              <w:rPr/>
            </w:pPr>
            <w:r>
              <w:rPr/>
              <w:t>Name:</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bidi w:val="0"/>
              <w:spacing w:before="0" w:after="283"/>
              <w:jc w:val="left"/>
              <w:rPr/>
            </w:pPr>
            <w:r>
              <w:rPr/>
              <w:t>Anne Goffard</w:t>
            </w:r>
          </w:p>
        </w:tc>
      </w:tr>
      <w:tr>
        <w:trPr/>
        <w:tc>
          <w:tcPr>
            <w:tcW w:w="1140" w:type="dxa"/>
            <w:tcBorders/>
          </w:tcPr>
          <w:p>
            <w:pPr>
              <w:pStyle w:val="TableContents"/>
              <w:bidi w:val="0"/>
              <w:spacing w:before="0" w:after="283"/>
              <w:jc w:val="left"/>
              <w:rPr/>
            </w:pPr>
            <w:r>
              <w:rPr/>
              <w:t>Title:</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STICHTING ADMINISTRATIEKANTOOR WESTEND</w:t>
            </w:r>
          </w:p>
        </w:tc>
      </w:tr>
      <w:tr>
        <w:trPr>
          <w:trHeight w:val="240" w:hRule="atLeast"/>
        </w:trPr>
        <w:tc>
          <w:tcPr>
            <w:tcW w:w="1140"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Amaury Wittouck</w:t>
            </w:r>
          </w:p>
        </w:tc>
      </w:tr>
      <w:tr>
        <w:trPr/>
        <w:tc>
          <w:tcPr>
            <w:tcW w:w="1140" w:type="dxa"/>
            <w:tcBorders/>
          </w:tcPr>
          <w:p>
            <w:pPr>
              <w:pStyle w:val="TableContents"/>
              <w:bidi w:val="0"/>
              <w:spacing w:before="0" w:after="283"/>
              <w:jc w:val="left"/>
              <w:rPr/>
            </w:pPr>
            <w:r>
              <w:rPr/>
              <w:t>Name:</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bidi w:val="0"/>
              <w:spacing w:before="0" w:after="283"/>
              <w:jc w:val="left"/>
              <w:rPr/>
            </w:pPr>
            <w:r>
              <w:rPr/>
              <w:t>Amaury Wittouck</w:t>
            </w:r>
          </w:p>
        </w:tc>
      </w:tr>
      <w:tr>
        <w:trPr/>
        <w:tc>
          <w:tcPr>
            <w:tcW w:w="1140" w:type="dxa"/>
            <w:tcBorders/>
          </w:tcPr>
          <w:p>
            <w:pPr>
              <w:pStyle w:val="TableContents"/>
              <w:bidi w:val="0"/>
              <w:spacing w:before="0" w:after="283"/>
              <w:jc w:val="left"/>
              <w:rPr/>
            </w:pPr>
            <w:r>
              <w:rPr/>
              <w:t>Title:</w:t>
            </w:r>
          </w:p>
        </w:tc>
        <w:tc>
          <w:tcPr>
            <w:tcW w:w="113" w:type="dxa"/>
            <w:tcBorders/>
            <w:vAlign w:val="bottom"/>
          </w:tcPr>
          <w:p>
            <w:pPr>
              <w:pStyle w:val="TableContents"/>
              <w:bidi w:val="0"/>
              <w:spacing w:before="0" w:after="283"/>
              <w:jc w:val="left"/>
              <w:rPr/>
            </w:pPr>
            <w:r>
              <w:rPr/>
              <w:t> </w:t>
            </w:r>
          </w:p>
        </w:tc>
        <w:tc>
          <w:tcPr>
            <w:tcW w:w="2829" w:type="dxa"/>
            <w:tcBorders/>
          </w:tcPr>
          <w:p>
            <w:pPr>
              <w:pStyle w:val="TableContents"/>
              <w:bidi w:val="0"/>
              <w:spacing w:before="0" w:after="283"/>
              <w:jc w:val="left"/>
              <w:rPr/>
            </w:pPr>
            <w:r>
              <w:rPr/>
              <w:t>Sole Member of the Board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MR. AMAURY WITTOUCK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Amaury Wittouck</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2413</Words>
  <Characters>12302</Characters>
  <CharactersWithSpaces>15176</CharactersWithSpaces>
  <Paragraphs>936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