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32"/>
          <w:szCs w:val="32"/>
          <w:b w:val="1"/>
          <w:bCs w:val="1"/>
          <w:color w:val="auto"/>
        </w:rPr>
        <w:t>UNITED STATES</w:t>
      </w:r>
    </w:p>
    <w:p>
      <w:pPr>
        <w:spacing w:after="0" w:line="226"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spacing w:after="0" w:line="3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8-K</w:t>
      </w:r>
    </w:p>
    <w:p>
      <w:pPr>
        <w:spacing w:after="0" w:line="145"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CURRENT REPORT</w:t>
      </w:r>
    </w:p>
    <w:p>
      <w:pPr>
        <w:spacing w:after="0" w:line="125"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Pursuant to Section 13 or 15(d) of</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5"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Date of report (Date of earliest event reported): March 12, 2020</w:t>
      </w:r>
    </w:p>
    <w:p>
      <w:pPr>
        <w:spacing w:after="0" w:line="117"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SELECTA BIOSCIENCES, INC.</w:t>
      </w:r>
    </w:p>
    <w:p>
      <w:pPr>
        <w:spacing w:after="0" w:line="39"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080"/>
          </w:cols>
          <w:pgMar w:left="320" w:top="220" w:right="499" w:bottom="1440" w:gutter="0" w:footer="0" w:header="0"/>
        </w:sectPr>
      </w:pPr>
    </w:p>
    <w:p>
      <w:pPr>
        <w:spacing w:after="0" w:line="273" w:lineRule="exact"/>
        <w:rPr>
          <w:sz w:val="24"/>
          <w:szCs w:val="24"/>
          <w:color w:val="auto"/>
        </w:rPr>
      </w:pPr>
    </w:p>
    <w:p>
      <w:pPr>
        <w:ind w:left="13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jc w:val="center"/>
        <w:ind w:right="2380"/>
        <w:spacing w:after="0"/>
        <w:rPr>
          <w:sz w:val="20"/>
          <w:szCs w:val="20"/>
          <w:color w:val="auto"/>
        </w:rPr>
      </w:pPr>
      <w:r>
        <w:rPr>
          <w:rFonts w:ascii="Arial" w:cs="Arial" w:eastAsia="Arial" w:hAnsi="Arial"/>
          <w:sz w:val="16"/>
          <w:szCs w:val="16"/>
          <w:b w:val="1"/>
          <w:bCs w:val="1"/>
          <w:color w:val="auto"/>
        </w:rPr>
        <w:t>001-37798</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26-1622110</w:t>
      </w:r>
    </w:p>
    <w:p>
      <w:pPr>
        <w:spacing w:after="0" w:line="90" w:lineRule="exact"/>
        <w:rPr>
          <w:sz w:val="24"/>
          <w:szCs w:val="24"/>
          <w:color w:val="auto"/>
        </w:rPr>
      </w:pPr>
    </w:p>
    <w:p>
      <w:pPr>
        <w:sectPr>
          <w:pgSz w:w="11900" w:h="16838" w:orient="portrait"/>
          <w:cols w:equalWidth="0" w:num="3">
            <w:col w:w="4480" w:space="720"/>
            <w:col w:w="3160" w:space="720"/>
            <w:col w:w="2000"/>
          </w:cols>
          <w:pgMar w:left="320" w:top="220" w:right="499" w:bottom="1440" w:gutter="0" w:footer="0" w:header="0"/>
          <w:type w:val="continuous"/>
        </w:sectPr>
      </w:pPr>
    </w:p>
    <w:p>
      <w:pPr>
        <w:jc w:val="center"/>
        <w:ind w:right="1000"/>
        <w:spacing w:after="0"/>
        <w:rPr>
          <w:sz w:val="20"/>
          <w:szCs w:val="20"/>
          <w:color w:val="auto"/>
        </w:rPr>
      </w:pPr>
      <w:r>
        <w:rPr>
          <w:rFonts w:ascii="Arial" w:cs="Arial" w:eastAsia="Arial" w:hAnsi="Arial"/>
          <w:sz w:val="16"/>
          <w:szCs w:val="16"/>
          <w:color w:val="auto"/>
        </w:rPr>
        <w:t>(State or other jurisdiction</w:t>
      </w:r>
    </w:p>
    <w:p>
      <w:pPr>
        <w:spacing w:after="0" w:line="46" w:lineRule="exact"/>
        <w:rPr>
          <w:sz w:val="24"/>
          <w:szCs w:val="24"/>
          <w:color w:val="auto"/>
        </w:rPr>
      </w:pPr>
    </w:p>
    <w:p>
      <w:pPr>
        <w:jc w:val="center"/>
        <w:ind w:right="10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8"/>
          <w:szCs w:val="18"/>
          <w:color w:val="auto"/>
        </w:rPr>
        <w:t>(IRS Employer</w:t>
      </w:r>
    </w:p>
    <w:p>
      <w:pPr>
        <w:spacing w:after="0" w:line="23" w:lineRule="exact"/>
        <w:rPr>
          <w:sz w:val="24"/>
          <w:szCs w:val="24"/>
          <w:color w:val="auto"/>
        </w:rPr>
      </w:pPr>
    </w:p>
    <w:p>
      <w:pPr>
        <w:jc w:val="center"/>
        <w:ind w:right="900"/>
        <w:spacing w:after="0"/>
        <w:rPr>
          <w:sz w:val="20"/>
          <w:szCs w:val="20"/>
          <w:color w:val="auto"/>
        </w:rPr>
      </w:pPr>
      <w:r>
        <w:rPr>
          <w:rFonts w:ascii="Arial" w:cs="Arial" w:eastAsia="Arial" w:hAnsi="Arial"/>
          <w:sz w:val="17"/>
          <w:szCs w:val="17"/>
          <w:color w:val="auto"/>
        </w:rPr>
        <w:t>Identification No.)</w:t>
      </w:r>
    </w:p>
    <w:p>
      <w:pPr>
        <w:spacing w:after="0" w:line="150" w:lineRule="exact"/>
        <w:rPr>
          <w:sz w:val="24"/>
          <w:szCs w:val="24"/>
          <w:color w:val="auto"/>
        </w:rPr>
      </w:pPr>
    </w:p>
    <w:p>
      <w:pPr>
        <w:sectPr>
          <w:pgSz w:w="11900" w:h="16838" w:orient="portrait"/>
          <w:cols w:equalWidth="0" w:num="3">
            <w:col w:w="4380" w:space="720"/>
            <w:col w:w="3020" w:space="720"/>
            <w:col w:w="2240"/>
          </w:cols>
          <w:pgMar w:left="320" w:top="220" w:right="499" w:bottom="1440" w:gutter="0" w:footer="0" w:header="0"/>
          <w:type w:val="continuous"/>
        </w:sectPr>
      </w:pPr>
    </w:p>
    <w:p>
      <w:pPr>
        <w:ind w:left="4960"/>
        <w:spacing w:after="0"/>
        <w:rPr>
          <w:sz w:val="20"/>
          <w:szCs w:val="20"/>
          <w:color w:val="auto"/>
        </w:rPr>
      </w:pPr>
      <w:r>
        <w:rPr>
          <w:rFonts w:ascii="Arial" w:cs="Arial" w:eastAsia="Arial" w:hAnsi="Arial"/>
          <w:sz w:val="18"/>
          <w:szCs w:val="18"/>
          <w:b w:val="1"/>
          <w:bCs w:val="1"/>
          <w:color w:val="auto"/>
        </w:rPr>
        <w:t>480 Arsenal Way</w:t>
      </w:r>
    </w:p>
    <w:p>
      <w:pPr>
        <w:spacing w:after="0" w:line="27" w:lineRule="exact"/>
        <w:rPr>
          <w:sz w:val="24"/>
          <w:szCs w:val="24"/>
          <w:color w:val="auto"/>
        </w:rPr>
      </w:pPr>
    </w:p>
    <w:p>
      <w:pPr>
        <w:ind w:left="4760"/>
        <w:spacing w:after="0"/>
        <w:rPr>
          <w:sz w:val="20"/>
          <w:szCs w:val="20"/>
          <w:color w:val="auto"/>
        </w:rPr>
      </w:pPr>
      <w:r>
        <w:rPr>
          <w:rFonts w:ascii="Arial" w:cs="Arial" w:eastAsia="Arial" w:hAnsi="Arial"/>
          <w:sz w:val="18"/>
          <w:szCs w:val="18"/>
          <w:b w:val="1"/>
          <w:bCs w:val="1"/>
          <w:color w:val="auto"/>
        </w:rPr>
        <w:t>Watertown, MA 02472</w:t>
      </w:r>
    </w:p>
    <w:p>
      <w:pPr>
        <w:spacing w:after="0" w:line="9" w:lineRule="exact"/>
        <w:rPr>
          <w:sz w:val="24"/>
          <w:szCs w:val="24"/>
          <w:color w:val="auto"/>
        </w:rPr>
      </w:pPr>
    </w:p>
    <w:p>
      <w:pPr>
        <w:ind w:left="3920"/>
        <w:spacing w:after="0"/>
        <w:rPr>
          <w:sz w:val="20"/>
          <w:szCs w:val="20"/>
          <w:color w:val="auto"/>
        </w:rPr>
      </w:pPr>
      <w:r>
        <w:rPr>
          <w:rFonts w:ascii="Arial" w:cs="Arial" w:eastAsia="Arial" w:hAnsi="Arial"/>
          <w:sz w:val="17"/>
          <w:szCs w:val="17"/>
          <w:color w:val="auto"/>
        </w:rPr>
        <w:t>(Address of principal executive offices) (Zip Code)</w:t>
      </w:r>
    </w:p>
    <w:p>
      <w:pPr>
        <w:spacing w:after="0" w:line="218"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(617) 923-1400</w:t>
      </w:r>
    </w:p>
    <w:p>
      <w:pPr>
        <w:spacing w:after="0" w:line="27"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6"/>
          <w:szCs w:val="16"/>
          <w:color w:val="auto"/>
        </w:rPr>
        <w:t>(Former name or former address, if changed since last report)</w:t>
      </w:r>
    </w:p>
    <w:p>
      <w:pPr>
        <w:sectPr>
          <w:pgSz w:w="11900" w:h="16838" w:orient="portrait"/>
          <w:cols w:equalWidth="0" w:num="1">
            <w:col w:w="11080"/>
          </w:cols>
          <w:pgMar w:left="320" w:top="220" w:right="499" w:bottom="1440" w:gutter="0" w:footer="0" w:header="0"/>
          <w:type w:val="continuous"/>
        </w:sectPr>
      </w:pPr>
    </w:p>
    <w:p>
      <w:pPr>
        <w:spacing w:after="0" w:line="234"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21" w:lineRule="exact"/>
        <w:rPr>
          <w:sz w:val="24"/>
          <w:szCs w:val="24"/>
          <w:color w:val="auto"/>
        </w:rPr>
      </w:pPr>
    </w:p>
    <w:p>
      <w:pPr>
        <w:ind w:left="1380" w:hanging="1001"/>
        <w:spacing w:after="0"/>
        <w:tabs>
          <w:tab w:leader="none" w:pos="138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Arial" w:cs="Arial" w:eastAsia="Arial" w:hAnsi="Arial"/>
          <w:sz w:val="16"/>
          <w:szCs w:val="16"/>
          <w:color w:val="auto"/>
        </w:rPr>
      </w:pPr>
    </w:p>
    <w:p>
      <w:pPr>
        <w:ind w:left="1380" w:hanging="1001"/>
        <w:spacing w:after="0"/>
        <w:tabs>
          <w:tab w:leader="none" w:pos="138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Arial" w:cs="Arial" w:eastAsia="Arial" w:hAnsi="Arial"/>
          <w:sz w:val="16"/>
          <w:szCs w:val="16"/>
          <w:color w:val="auto"/>
        </w:rPr>
      </w:pPr>
    </w:p>
    <w:p>
      <w:pPr>
        <w:ind w:left="1380" w:hanging="1001"/>
        <w:spacing w:after="0"/>
        <w:tabs>
          <w:tab w:leader="none" w:pos="138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Arial" w:cs="Arial" w:eastAsia="Arial" w:hAnsi="Arial"/>
          <w:sz w:val="16"/>
          <w:szCs w:val="16"/>
          <w:color w:val="auto"/>
        </w:rPr>
      </w:pPr>
    </w:p>
    <w:p>
      <w:pPr>
        <w:ind w:left="1380" w:hanging="1001"/>
        <w:spacing w:after="0"/>
        <w:tabs>
          <w:tab w:leader="none" w:pos="138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0" w:lineRule="exact"/>
        <w:rPr>
          <w:sz w:val="24"/>
          <w:szCs w:val="24"/>
          <w:color w:val="auto"/>
        </w:rPr>
      </w:pPr>
    </w:p>
    <w:p>
      <w:pPr>
        <w:spacing w:after="0" w:line="242"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ectPr>
          <w:pgSz w:w="11900" w:h="16838" w:orient="portrait"/>
          <w:cols w:equalWidth="0" w:num="1">
            <w:col w:w="11080"/>
          </w:cols>
          <w:pgMar w:left="320" w:top="220" w:right="499" w:bottom="1440" w:gutter="0" w:footer="0" w:header="0"/>
          <w:type w:val="continuous"/>
        </w:sectPr>
      </w:pPr>
    </w:p>
    <w:p>
      <w:pPr>
        <w:spacing w:after="0" w:line="189" w:lineRule="exact"/>
        <w:rPr>
          <w:sz w:val="24"/>
          <w:szCs w:val="24"/>
          <w:color w:val="auto"/>
        </w:rPr>
      </w:pPr>
    </w:p>
    <w:p>
      <w:pPr>
        <w:ind w:left="1600"/>
        <w:spacing w:after="0"/>
        <w:rPr>
          <w:sz w:val="20"/>
          <w:szCs w:val="20"/>
          <w:color w:val="auto"/>
        </w:rPr>
      </w:pPr>
      <w:r>
        <w:rPr>
          <w:rFonts w:ascii="Arial" w:cs="Arial" w:eastAsia="Arial" w:hAnsi="Arial"/>
          <w:sz w:val="16"/>
          <w:szCs w:val="16"/>
          <w:color w:val="auto"/>
        </w:rPr>
        <w:t>Title of each class</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Arial" w:cs="Arial" w:eastAsia="Arial" w:hAnsi="Arial"/>
          <w:sz w:val="16"/>
          <w:szCs w:val="16"/>
          <w:color w:val="auto"/>
        </w:rPr>
        <w:t>Trading Symbol(s)</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Arial" w:cs="Arial" w:eastAsia="Arial" w:hAnsi="Arial"/>
          <w:sz w:val="16"/>
          <w:szCs w:val="16"/>
          <w:color w:val="auto"/>
        </w:rPr>
        <w:t>Name of each exchange on which registered</w:t>
      </w:r>
    </w:p>
    <w:p>
      <w:pPr>
        <w:spacing w:after="0" w:line="86" w:lineRule="exact"/>
        <w:rPr>
          <w:sz w:val="24"/>
          <w:szCs w:val="24"/>
          <w:color w:val="auto"/>
        </w:rPr>
      </w:pPr>
    </w:p>
    <w:p>
      <w:pPr>
        <w:sectPr>
          <w:pgSz w:w="11900" w:h="16838" w:orient="portrait"/>
          <w:cols w:equalWidth="0" w:num="3">
            <w:col w:w="4180" w:space="720"/>
            <w:col w:w="1720" w:space="720"/>
            <w:col w:w="3740"/>
          </w:cols>
          <w:pgMar w:left="320" w:top="220" w:right="499" w:bottom="1440" w:gutter="0" w:footer="0" w:header="0"/>
          <w:type w:val="continuous"/>
        </w:sectPr>
      </w:pPr>
    </w:p>
    <w:p>
      <w:pPr>
        <w:ind w:left="1680"/>
        <w:spacing w:after="0"/>
        <w:rPr>
          <w:sz w:val="20"/>
          <w:szCs w:val="20"/>
          <w:color w:val="auto"/>
        </w:rPr>
      </w:pPr>
      <w:r>
        <w:rPr>
          <w:rFonts w:ascii="Arial" w:cs="Arial" w:eastAsia="Arial" w:hAnsi="Arial"/>
          <w:sz w:val="16"/>
          <w:szCs w:val="16"/>
          <w:color w:val="auto"/>
        </w:rPr>
        <w:t>Common Stock,</w:t>
      </w:r>
    </w:p>
    <w:p>
      <w:pPr>
        <w:spacing w:after="0" w:line="20" w:lineRule="exact"/>
        <w:rPr>
          <w:sz w:val="24"/>
          <w:szCs w:val="24"/>
          <w:color w:val="auto"/>
        </w:rPr>
      </w:pPr>
      <w:r>
        <w:rPr>
          <w:sz w:val="24"/>
          <w:szCs w:val="24"/>
          <w:color w:val="auto"/>
        </w:rPr>
        <w:br w:type="column"/>
      </w:r>
    </w:p>
    <w:p>
      <w:pPr>
        <w:jc w:val="center"/>
        <w:ind w:right="1600"/>
        <w:spacing w:after="0"/>
        <w:rPr>
          <w:sz w:val="20"/>
          <w:szCs w:val="20"/>
          <w:color w:val="auto"/>
        </w:rPr>
      </w:pPr>
      <w:r>
        <w:rPr>
          <w:rFonts w:ascii="Arial" w:cs="Arial" w:eastAsia="Arial" w:hAnsi="Arial"/>
          <w:sz w:val="17"/>
          <w:szCs w:val="17"/>
          <w:color w:val="auto"/>
        </w:rPr>
        <w:t>SELB</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Nasdaq Global Market</w:t>
      </w:r>
    </w:p>
    <w:p>
      <w:pPr>
        <w:spacing w:after="0" w:line="86" w:lineRule="exact"/>
        <w:rPr>
          <w:sz w:val="24"/>
          <w:szCs w:val="24"/>
          <w:color w:val="auto"/>
        </w:rPr>
      </w:pPr>
    </w:p>
    <w:p>
      <w:pPr>
        <w:sectPr>
          <w:pgSz w:w="11900" w:h="16838" w:orient="portrait"/>
          <w:cols w:equalWidth="0" w:num="3">
            <w:col w:w="4640" w:space="720"/>
            <w:col w:w="2040" w:space="720"/>
            <w:col w:w="2960"/>
          </w:cols>
          <w:pgMar w:left="320" w:top="220" w:right="499" w:bottom="1440" w:gutter="0" w:footer="0" w:header="0"/>
          <w:type w:val="continuous"/>
        </w:sectPr>
      </w:pPr>
    </w:p>
    <w:p>
      <w:pPr>
        <w:ind w:left="1260"/>
        <w:spacing w:after="0"/>
        <w:rPr>
          <w:sz w:val="20"/>
          <w:szCs w:val="20"/>
          <w:color w:val="auto"/>
        </w:rPr>
      </w:pPr>
      <w:r>
        <w:rPr>
          <w:rFonts w:ascii="Arial" w:cs="Arial" w:eastAsia="Arial" w:hAnsi="Arial"/>
          <w:sz w:val="18"/>
          <w:szCs w:val="18"/>
          <w:color w:val="auto"/>
        </w:rPr>
        <w:t>$0.0001 par value per share</w:t>
      </w:r>
    </w:p>
    <w:p>
      <w:pPr>
        <w:spacing w:after="0" w:line="158" w:lineRule="exact"/>
        <w:rPr>
          <w:sz w:val="24"/>
          <w:szCs w:val="24"/>
          <w:color w:val="auto"/>
        </w:rPr>
      </w:pPr>
    </w:p>
    <w:p>
      <w:pPr>
        <w:ind w:right="3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320" w:top="220" w:right="4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37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On March 12, 2020, Selecta Biosciences, Inc. announced its financial results for the quarter and year ended December 31, 2019. The full text of the press release issued in connection with the announcement is furnished as Exhibit 99.1 to this Current Report and on Form 8-K.</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information contained in Item 2.02 of this Form 8-K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provided by specific reference in such a filing.</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 relating to Item 2.02 shall be deemed to be furnished, and not filed: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20" w:type="dxa"/>
            <w:vAlign w:val="bottom"/>
            <w:gridSpan w:val="4"/>
          </w:tcPr>
          <w:p>
            <w:pPr>
              <w:ind w:left="4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6500" w:type="dxa"/>
            <w:vAlign w:val="bottom"/>
            <w:vMerge w:val="restart"/>
          </w:tcPr>
          <w:p>
            <w:pPr>
              <w:ind w:left="14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820" w:type="dxa"/>
            <w:vAlign w:val="bottom"/>
            <w:gridSpan w:val="4"/>
          </w:tcPr>
          <w:p>
            <w:pPr>
              <w:ind w:left="40"/>
              <w:spacing w:after="0"/>
              <w:rPr>
                <w:sz w:val="20"/>
                <w:szCs w:val="20"/>
                <w:color w:val="auto"/>
              </w:rPr>
            </w:pPr>
            <w:r>
              <w:rPr>
                <w:rFonts w:ascii="Arial" w:cs="Arial" w:eastAsia="Arial" w:hAnsi="Arial"/>
                <w:sz w:val="14"/>
                <w:szCs w:val="14"/>
                <w:b w:val="1"/>
                <w:bCs w:val="1"/>
                <w:color w:val="auto"/>
              </w:rPr>
              <w:t>No.</w:t>
            </w:r>
          </w:p>
        </w:tc>
        <w:tc>
          <w:tcPr>
            <w:tcW w:w="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6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72"/>
        </w:trPr>
        <w:tc>
          <w:tcPr>
            <w:tcW w:w="780" w:type="dxa"/>
            <w:vAlign w:val="bottom"/>
            <w:tcBorders>
              <w:top w:val="single" w:sz="8" w:color="auto"/>
            </w:tcBorders>
            <w:gridSpan w:val="2"/>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99.</w:t>
              </w:r>
              <w:r>
                <w:rPr>
                  <w:rFonts w:ascii="Arial" w:cs="Arial" w:eastAsia="Arial" w:hAnsi="Arial"/>
                  <w:sz w:val="18"/>
                  <w:szCs w:val="18"/>
                  <w:u w:val="single" w:color="auto"/>
                  <w:color w:val="0000FF"/>
                </w:rPr>
                <w:t>1</w:t>
              </w:r>
            </w:hyperlink>
          </w:p>
        </w:tc>
        <w:tc>
          <w:tcPr>
            <w:tcW w:w="46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400" w:type="dxa"/>
            <w:vAlign w:val="bottom"/>
            <w:tcBorders>
              <w:top w:val="single" w:sz="8" w:color="auto"/>
            </w:tcBorders>
            <w:gridSpan w:val="2"/>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Press Release issued on March 12, 2020</w:t>
              </w:r>
            </w:hyperlink>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00" w:type="dxa"/>
            <w:vAlign w:val="bottom"/>
            <w:shd w:val="clear" w:color="auto" w:fill="0000FF"/>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391"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SELECTA BIOSCIENCES,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5520" w:val="left"/>
          <w:tab w:leader="none" w:pos="6100" w:val="left"/>
        </w:tabs>
        <w:rPr>
          <w:sz w:val="20"/>
          <w:szCs w:val="20"/>
          <w:color w:val="auto"/>
        </w:rPr>
      </w:pPr>
      <w:r>
        <w:rPr>
          <w:rFonts w:ascii="Arial" w:cs="Arial" w:eastAsia="Arial" w:hAnsi="Arial"/>
          <w:sz w:val="18"/>
          <w:szCs w:val="18"/>
          <w:color w:val="auto"/>
        </w:rPr>
        <w:t>Date: March 12,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31750</wp:posOffset>
            </wp:positionV>
            <wp:extent cx="32746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57"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Carsten Brunn, Ph.D.</w:t>
      </w:r>
    </w:p>
    <w:p>
      <w:pPr>
        <w:spacing w:after="0" w:line="6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00"/>
          </w:cols>
          <w:pgMar w:left="320" w:top="337" w:right="379" w:bottom="1440" w:gutter="0" w:footer="0" w:header="0"/>
        </w:sectPr>
      </w:pPr>
    </w:p>
    <w:bookmarkStart w:id="3" w:name="page4"/>
    <w:bookmarkEnd w:id="3"/>
    <w:p>
      <w:pPr>
        <w:ind w:left="1032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31750</wp:posOffset>
            </wp:positionV>
            <wp:extent cx="1748790"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48790"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Selecta Biosciences Reports Fourth Quarter 2019 and Year-End Financial Results</w:t>
      </w:r>
    </w:p>
    <w:p>
      <w:pPr>
        <w:spacing w:after="0" w:line="384"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i w:val="1"/>
          <w:iCs w:val="1"/>
          <w:color w:val="auto"/>
        </w:rPr>
      </w:pPr>
      <w:r>
        <w:rPr>
          <w:rFonts w:ascii="Arial" w:cs="Arial" w:eastAsia="Arial" w:hAnsi="Arial"/>
          <w:sz w:val="20"/>
          <w:szCs w:val="20"/>
          <w:i w:val="1"/>
          <w:iCs w:val="1"/>
          <w:color w:val="auto"/>
        </w:rPr>
        <w:t>Topline results from head-to-head COMPARE trial of SEL-212 in chronic refractory gout expected in Q3 2020</w:t>
      </w:r>
    </w:p>
    <w:p>
      <w:pPr>
        <w:spacing w:after="0" w:line="161" w:lineRule="exact"/>
        <w:rPr>
          <w:rFonts w:ascii="Arial" w:cs="Arial" w:eastAsia="Arial" w:hAnsi="Arial"/>
          <w:sz w:val="18"/>
          <w:szCs w:val="18"/>
          <w:i w:val="1"/>
          <w:iCs w:val="1"/>
          <w:color w:val="auto"/>
        </w:rPr>
      </w:pPr>
    </w:p>
    <w:p>
      <w:pPr>
        <w:ind w:left="660" w:hanging="328"/>
        <w:spacing w:after="0"/>
        <w:tabs>
          <w:tab w:leader="none" w:pos="660"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Received guidance from the FDA on SEL-212 Phase 3 clinical trial design; study to commence in 2H 2020</w:t>
      </w:r>
    </w:p>
    <w:p>
      <w:pPr>
        <w:spacing w:after="0" w:line="161" w:lineRule="exact"/>
        <w:rPr>
          <w:rFonts w:ascii="Arial" w:cs="Arial" w:eastAsia="Arial" w:hAnsi="Arial"/>
          <w:sz w:val="20"/>
          <w:szCs w:val="20"/>
          <w:i w:val="1"/>
          <w:iCs w:val="1"/>
          <w:color w:val="auto"/>
        </w:rPr>
      </w:pPr>
    </w:p>
    <w:p>
      <w:pPr>
        <w:ind w:left="660" w:hanging="328"/>
        <w:spacing w:after="0"/>
        <w:tabs>
          <w:tab w:leader="none" w:pos="660"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Gene therapy program expected to enter the clinic by the end of 2020</w:t>
      </w:r>
    </w:p>
    <w:p>
      <w:pPr>
        <w:spacing w:after="0" w:line="161" w:lineRule="exact"/>
        <w:rPr>
          <w:rFonts w:ascii="Arial" w:cs="Arial" w:eastAsia="Arial" w:hAnsi="Arial"/>
          <w:sz w:val="20"/>
          <w:szCs w:val="20"/>
          <w:i w:val="1"/>
          <w:iCs w:val="1"/>
          <w:color w:val="auto"/>
        </w:rPr>
      </w:pPr>
    </w:p>
    <w:p>
      <w:pPr>
        <w:ind w:left="660" w:hanging="328"/>
        <w:spacing w:after="0"/>
        <w:tabs>
          <w:tab w:leader="none" w:pos="660"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Company to host conference call today at 8:30 AM ET</w:t>
      </w:r>
    </w:p>
    <w:p>
      <w:pPr>
        <w:spacing w:after="0" w:line="372" w:lineRule="exact"/>
        <w:rPr>
          <w:sz w:val="20"/>
          <w:szCs w:val="20"/>
          <w:color w:val="auto"/>
        </w:rPr>
      </w:pPr>
    </w:p>
    <w:p>
      <w:pPr>
        <w:ind w:right="40"/>
        <w:spacing w:after="0" w:line="253" w:lineRule="auto"/>
        <w:rPr>
          <w:sz w:val="20"/>
          <w:szCs w:val="20"/>
          <w:color w:val="auto"/>
        </w:rPr>
      </w:pPr>
      <w:r>
        <w:rPr>
          <w:rFonts w:ascii="Arial" w:cs="Arial" w:eastAsia="Arial" w:hAnsi="Arial"/>
          <w:sz w:val="20"/>
          <w:szCs w:val="20"/>
          <w:b w:val="1"/>
          <w:bCs w:val="1"/>
          <w:color w:val="auto"/>
        </w:rPr>
        <w:t xml:space="preserve">Watertown, Mass., Mar. 12, 2020 </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Selecta Biosciences, Inc.</w:t>
      </w:r>
      <w:r>
        <w:rPr>
          <w:rFonts w:ascii="Arial" w:cs="Arial" w:eastAsia="Arial" w:hAnsi="Arial"/>
          <w:sz w:val="20"/>
          <w:szCs w:val="20"/>
          <w:b w:val="1"/>
          <w:bCs w:val="1"/>
          <w:color w:val="auto"/>
        </w:rPr>
        <w:t xml:space="preserve"> </w:t>
      </w:r>
      <w:r>
        <w:rPr>
          <w:rFonts w:ascii="Arial" w:cs="Arial" w:eastAsia="Arial" w:hAnsi="Arial"/>
          <w:sz w:val="20"/>
          <w:szCs w:val="20"/>
          <w:color w:val="auto"/>
        </w:rPr>
        <w:t>(NASDAQ: SELB), a clinical-stage biotechnology company focused on</w:t>
      </w:r>
      <w:r>
        <w:rPr>
          <w:rFonts w:ascii="Arial" w:cs="Arial" w:eastAsia="Arial" w:hAnsi="Arial"/>
          <w:sz w:val="20"/>
          <w:szCs w:val="20"/>
          <w:b w:val="1"/>
          <w:bCs w:val="1"/>
          <w:color w:val="auto"/>
        </w:rPr>
        <w:t xml:space="preserve"> </w:t>
      </w:r>
      <w:r>
        <w:rPr>
          <w:rFonts w:ascii="Arial" w:cs="Arial" w:eastAsia="Arial" w:hAnsi="Arial"/>
          <w:sz w:val="20"/>
          <w:szCs w:val="20"/>
          <w:color w:val="auto"/>
        </w:rPr>
        <w:t>unlocking the full potential of biologic therapies based on its immune tolerance platform, ImmTOR™, today reported financial results for the fourth quarter and year ended December 31, 2019.</w:t>
      </w:r>
    </w:p>
    <w:p>
      <w:pPr>
        <w:spacing w:after="0" w:line="183" w:lineRule="exact"/>
        <w:rPr>
          <w:sz w:val="20"/>
          <w:szCs w:val="20"/>
          <w:color w:val="auto"/>
        </w:rPr>
      </w:pPr>
    </w:p>
    <w:p>
      <w:pPr>
        <w:ind w:right="80"/>
        <w:spacing w:after="0" w:line="276" w:lineRule="auto"/>
        <w:rPr>
          <w:sz w:val="20"/>
          <w:szCs w:val="20"/>
          <w:color w:val="auto"/>
        </w:rPr>
      </w:pPr>
      <w:r>
        <w:rPr>
          <w:rFonts w:ascii="Arial" w:cs="Arial" w:eastAsia="Arial" w:hAnsi="Arial"/>
          <w:sz w:val="18"/>
          <w:szCs w:val="18"/>
          <w:color w:val="auto"/>
        </w:rPr>
        <w:t>“2019 was a pivotal year for Selecta. We made substantial clinical advancements, as we completed enrollment in the head-to-head COMPARE trial for our lead product candidate, SEL-212, in chronic refractory gout, and advanced our gene therapy program through strategic partnerships with AskBio. We also strengthened our organization with the addition of several key members to the executive team and welcomed a new Chairman of our Board of Directors, and completed a $70 million financing,” said Carsten Brunn, Ph.D., President and CEO of Selecta. “In the coming year, we look forward to reporting topline data from the COMPARE study, commencing the Phase 3 clinical program of SEL-212, and advancing our gene therapy program into the clinic in partnership with AskBio.”</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Recent Highlights and Anticipated Upcoming Milestones:</w:t>
      </w:r>
    </w:p>
    <w:p>
      <w:pPr>
        <w:spacing w:after="0" w:line="216" w:lineRule="exact"/>
        <w:rPr>
          <w:sz w:val="20"/>
          <w:szCs w:val="20"/>
          <w:color w:val="auto"/>
        </w:rPr>
      </w:pPr>
    </w:p>
    <w:p>
      <w:pPr>
        <w:ind w:left="660" w:right="180" w:hanging="328"/>
        <w:spacing w:after="0" w:line="24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b w:val="1"/>
          <w:bCs w:val="1"/>
          <w:color w:val="auto"/>
        </w:rPr>
        <w:t xml:space="preserve">Topline Results from COMPARE Clinical Trial Expected in the Third Quarter of 2020: </w:t>
      </w:r>
      <w:r>
        <w:rPr>
          <w:rFonts w:ascii="Arial" w:cs="Arial" w:eastAsia="Arial" w:hAnsi="Arial"/>
          <w:sz w:val="20"/>
          <w:szCs w:val="20"/>
          <w:color w:val="auto"/>
        </w:rPr>
        <w:t>In December 2019, we announced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completion of enrollment in the head-to-head COMPARE study of Selecta’s lead product candidate, SEL-212 (ImmTOR + pegadricase), vs. pegloticase. Topline data from this trial is expected in the third quarter of 2020. The trial is evaluating a once-monthly dose of SEL-212 compared to biweekly doses of pegloticase, with the primary endpoint of the maintenance of serum uric acid (SUA) levels of &lt;6mg/dL at three and six months.</w:t>
      </w:r>
    </w:p>
    <w:p>
      <w:pPr>
        <w:spacing w:after="0" w:line="184" w:lineRule="exact"/>
        <w:rPr>
          <w:rFonts w:ascii="Arial" w:cs="Arial" w:eastAsia="Arial" w:hAnsi="Arial"/>
          <w:sz w:val="18"/>
          <w:szCs w:val="18"/>
          <w:color w:val="auto"/>
        </w:rPr>
      </w:pPr>
    </w:p>
    <w:p>
      <w:pPr>
        <w:ind w:left="660" w:right="320" w:hanging="328"/>
        <w:spacing w:after="0" w:line="272"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9"/>
          <w:szCs w:val="19"/>
          <w:b w:val="1"/>
          <w:bCs w:val="1"/>
          <w:color w:val="auto"/>
        </w:rPr>
        <w:t xml:space="preserve">Meeting with FDA Provides Clarity on Phase 3 Clinical Program of SEL-212: </w:t>
      </w:r>
      <w:r>
        <w:rPr>
          <w:rFonts w:ascii="Arial" w:cs="Arial" w:eastAsia="Arial" w:hAnsi="Arial"/>
          <w:sz w:val="19"/>
          <w:szCs w:val="19"/>
          <w:color w:val="auto"/>
        </w:rPr>
        <w:t>Selecta held a meeting with the U.S. Food and</w:t>
      </w:r>
      <w:r>
        <w:rPr>
          <w:rFonts w:ascii="Arial" w:cs="Arial" w:eastAsia="Arial" w:hAnsi="Arial"/>
          <w:sz w:val="19"/>
          <w:szCs w:val="19"/>
          <w:b w:val="1"/>
          <w:bCs w:val="1"/>
          <w:color w:val="auto"/>
        </w:rPr>
        <w:t xml:space="preserve"> </w:t>
      </w:r>
      <w:r>
        <w:rPr>
          <w:rFonts w:ascii="Arial" w:cs="Arial" w:eastAsia="Arial" w:hAnsi="Arial"/>
          <w:sz w:val="19"/>
          <w:szCs w:val="19"/>
          <w:color w:val="auto"/>
        </w:rPr>
        <w:t>Drug Administration (FDA) in January 2020 to inform the design of the planned Phase 3 clinical program. Selecta plans to commence its Phase 3 clinical program of SEL-212 against placebo in the second half of 2020.</w:t>
      </w:r>
    </w:p>
    <w:p>
      <w:pPr>
        <w:spacing w:after="0" w:line="161" w:lineRule="exact"/>
        <w:rPr>
          <w:rFonts w:ascii="Arial" w:cs="Arial" w:eastAsia="Arial" w:hAnsi="Arial"/>
          <w:sz w:val="17"/>
          <w:szCs w:val="17"/>
          <w:color w:val="auto"/>
        </w:rPr>
      </w:pPr>
    </w:p>
    <w:p>
      <w:pPr>
        <w:ind w:left="660" w:right="720" w:hanging="328"/>
        <w:spacing w:after="0" w:line="25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b w:val="1"/>
          <w:bCs w:val="1"/>
          <w:color w:val="auto"/>
        </w:rPr>
        <w:t xml:space="preserve">Gene Therapy Program in the Clinic by the End of 2020: </w:t>
      </w:r>
      <w:r>
        <w:rPr>
          <w:rFonts w:ascii="Arial" w:cs="Arial" w:eastAsia="Arial" w:hAnsi="Arial"/>
          <w:sz w:val="20"/>
          <w:szCs w:val="20"/>
          <w:color w:val="auto"/>
        </w:rPr>
        <w:t>In August 2019, Selecta announced a strategic partnership with</w:t>
      </w:r>
      <w:r>
        <w:rPr>
          <w:rFonts w:ascii="Arial" w:cs="Arial" w:eastAsia="Arial" w:hAnsi="Arial"/>
          <w:sz w:val="20"/>
          <w:szCs w:val="20"/>
          <w:b w:val="1"/>
          <w:bCs w:val="1"/>
          <w:color w:val="auto"/>
        </w:rPr>
        <w:t xml:space="preserve"> </w:t>
      </w:r>
      <w:r>
        <w:rPr>
          <w:rFonts w:ascii="Arial" w:cs="Arial" w:eastAsia="Arial" w:hAnsi="Arial"/>
          <w:sz w:val="20"/>
          <w:szCs w:val="20"/>
          <w:color w:val="auto"/>
        </w:rPr>
        <w:t>Asklepios BioPharmaceutical, Inc. (AskBio), to jointly develop, manufacture, and commercialize a broad portfolio of next-generation AAV gene therapies. This</w:t>
      </w: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553" w:right="339" w:bottom="1440" w:gutter="0" w:footer="0" w:header="0"/>
        </w:sectPr>
      </w:pPr>
    </w:p>
    <w:bookmarkStart w:id="4" w:name="page5"/>
    <w:bookmarkEnd w:id="4"/>
    <w:p>
      <w:pPr>
        <w:ind w:left="660" w:right="40"/>
        <w:spacing w:after="0" w:line="234" w:lineRule="auto"/>
        <w:rPr>
          <w:sz w:val="20"/>
          <w:szCs w:val="20"/>
          <w:color w:val="auto"/>
        </w:rPr>
      </w:pPr>
      <w:r>
        <w:rPr>
          <w:rFonts w:ascii="Arial" w:cs="Arial" w:eastAsia="Arial" w:hAnsi="Arial"/>
          <w:sz w:val="20"/>
          <w:szCs w:val="20"/>
          <w:color w:val="auto"/>
        </w:rPr>
        <w:t>partnership will leverage the unique proprietary technology platforms of both companies with a human proof of concept trial to validate this portfolio of products and their potential for re-dosing in patients, which could represent a significant advancement in the gene therapy field. Selecta and AskBio anticipate entering the clinic by the end of 2020. Additionally, the Company intends to advance its proprietary program in ornithine transcarbamylase (OTC) deficiency.</w:t>
      </w:r>
    </w:p>
    <w:p>
      <w:pPr>
        <w:spacing w:after="0" w:line="191" w:lineRule="exact"/>
        <w:rPr>
          <w:sz w:val="20"/>
          <w:szCs w:val="20"/>
          <w:color w:val="auto"/>
        </w:rPr>
      </w:pPr>
    </w:p>
    <w:p>
      <w:pPr>
        <w:ind w:left="660" w:right="80" w:hanging="328"/>
        <w:spacing w:after="0" w:line="277"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8"/>
          <w:szCs w:val="18"/>
          <w:b w:val="1"/>
          <w:bCs w:val="1"/>
          <w:color w:val="auto"/>
        </w:rPr>
        <w:t xml:space="preserve">Broadened Strategic Partnership with AskBio: </w:t>
      </w:r>
      <w:r>
        <w:rPr>
          <w:rFonts w:ascii="Arial" w:cs="Arial" w:eastAsia="Arial" w:hAnsi="Arial"/>
          <w:sz w:val="18"/>
          <w:szCs w:val="18"/>
          <w:color w:val="auto"/>
        </w:rPr>
        <w:t>In December 2019, Selecta and AskBio jointly announced that the companies</w:t>
      </w:r>
      <w:r>
        <w:rPr>
          <w:rFonts w:ascii="Arial" w:cs="Arial" w:eastAsia="Arial" w:hAnsi="Arial"/>
          <w:sz w:val="18"/>
          <w:szCs w:val="18"/>
          <w:b w:val="1"/>
          <w:bCs w:val="1"/>
          <w:color w:val="auto"/>
        </w:rPr>
        <w:t xml:space="preserve"> </w:t>
      </w:r>
      <w:r>
        <w:rPr>
          <w:rFonts w:ascii="Arial" w:cs="Arial" w:eastAsia="Arial" w:hAnsi="Arial"/>
          <w:sz w:val="18"/>
          <w:szCs w:val="18"/>
          <w:color w:val="auto"/>
        </w:rPr>
        <w:t>entered into a license agreement under which AskBio exercised its option to exclusively license rights to develop and commercialize Selecta’s immune tolerance platform, ImmTOR, for use in adeno-associated virus (AAV) gene therapy for the treatment of Pompe disease. Affecting 5,000-10,000 people worldwide, Pompe disease is a rare, genetic, lysosomal storage disease characterized by the abnormal buildup of a sugar molecule called glycogen inside cells. Under the terms of the agreement, Selecta received upfront payments of $7 million and is eligible to receive milestone payments of $237 million plus royalties on product sales.</w:t>
      </w:r>
    </w:p>
    <w:p>
      <w:pPr>
        <w:spacing w:after="0" w:line="173" w:lineRule="exact"/>
        <w:rPr>
          <w:rFonts w:ascii="Arial" w:cs="Arial" w:eastAsia="Arial" w:hAnsi="Arial"/>
          <w:sz w:val="16"/>
          <w:szCs w:val="16"/>
          <w:color w:val="auto"/>
        </w:rPr>
      </w:pPr>
    </w:p>
    <w:p>
      <w:pPr>
        <w:ind w:left="660" w:right="40" w:hanging="328"/>
        <w:spacing w:after="0" w:line="25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20"/>
          <w:szCs w:val="20"/>
          <w:b w:val="1"/>
          <w:bCs w:val="1"/>
          <w:color w:val="auto"/>
        </w:rPr>
        <w:t xml:space="preserve">Raised $70 Million in a Private Placement: </w:t>
      </w:r>
      <w:r>
        <w:rPr>
          <w:rFonts w:ascii="Arial" w:cs="Arial" w:eastAsia="Arial" w:hAnsi="Arial"/>
          <w:sz w:val="20"/>
          <w:szCs w:val="20"/>
          <w:color w:val="auto"/>
        </w:rPr>
        <w:t>In December 2019, Selecta announced the closing of a transaction to sell securities in a</w:t>
      </w:r>
      <w:r>
        <w:rPr>
          <w:rFonts w:ascii="Arial" w:cs="Arial" w:eastAsia="Arial" w:hAnsi="Arial"/>
          <w:sz w:val="20"/>
          <w:szCs w:val="20"/>
          <w:b w:val="1"/>
          <w:bCs w:val="1"/>
          <w:color w:val="auto"/>
        </w:rPr>
        <w:t xml:space="preserve"> </w:t>
      </w:r>
      <w:r>
        <w:rPr>
          <w:rFonts w:ascii="Arial" w:cs="Arial" w:eastAsia="Arial" w:hAnsi="Arial"/>
          <w:sz w:val="20"/>
          <w:szCs w:val="20"/>
          <w:color w:val="auto"/>
        </w:rPr>
        <w:t>private placement with institutional investors and certain members of the Company’s Board of Directors, resulting in gross proceeds of approximately $70 million.</w:t>
      </w:r>
    </w:p>
    <w:p>
      <w:pPr>
        <w:spacing w:after="0" w:line="190" w:lineRule="exact"/>
        <w:rPr>
          <w:rFonts w:ascii="Arial" w:cs="Arial" w:eastAsia="Arial" w:hAnsi="Arial"/>
          <w:sz w:val="18"/>
          <w:szCs w:val="18"/>
          <w:color w:val="auto"/>
        </w:rPr>
      </w:pPr>
    </w:p>
    <w:p>
      <w:pPr>
        <w:ind w:left="660" w:right="40" w:hanging="328"/>
        <w:spacing w:after="0" w:line="272" w:lineRule="auto"/>
        <w:tabs>
          <w:tab w:leader="none" w:pos="660" w:val="left"/>
        </w:tabs>
        <w:numPr>
          <w:ilvl w:val="0"/>
          <w:numId w:val="4"/>
        </w:numPr>
        <w:rPr>
          <w:rFonts w:ascii="Arial" w:cs="Arial" w:eastAsia="Arial" w:hAnsi="Arial"/>
          <w:sz w:val="19"/>
          <w:szCs w:val="19"/>
          <w:color w:val="auto"/>
        </w:rPr>
      </w:pPr>
      <w:r>
        <w:rPr>
          <w:rFonts w:ascii="Arial" w:cs="Arial" w:eastAsia="Arial" w:hAnsi="Arial"/>
          <w:sz w:val="19"/>
          <w:szCs w:val="19"/>
          <w:b w:val="1"/>
          <w:bCs w:val="1"/>
          <w:color w:val="auto"/>
        </w:rPr>
        <w:t xml:space="preserve">Strengthened Board of Directors: </w:t>
      </w:r>
      <w:r>
        <w:rPr>
          <w:rFonts w:ascii="Arial" w:cs="Arial" w:eastAsia="Arial" w:hAnsi="Arial"/>
          <w:sz w:val="19"/>
          <w:szCs w:val="19"/>
          <w:color w:val="auto"/>
        </w:rPr>
        <w:t>In November 2019, Selecta announced the appointment of Carrie S. Cox to the position of</w:t>
      </w:r>
      <w:r>
        <w:rPr>
          <w:rFonts w:ascii="Arial" w:cs="Arial" w:eastAsia="Arial" w:hAnsi="Arial"/>
          <w:sz w:val="19"/>
          <w:szCs w:val="19"/>
          <w:b w:val="1"/>
          <w:bCs w:val="1"/>
          <w:color w:val="auto"/>
        </w:rPr>
        <w:t xml:space="preserve"> </w:t>
      </w:r>
      <w:r>
        <w:rPr>
          <w:rFonts w:ascii="Arial" w:cs="Arial" w:eastAsia="Arial" w:hAnsi="Arial"/>
          <w:sz w:val="19"/>
          <w:szCs w:val="19"/>
          <w:color w:val="auto"/>
        </w:rPr>
        <w:t>Chairman of the Board of Directors. A renowned industry leader and successful biopharmaceutical executive, Ms. Cox has served on multiple Boards, and has held the position of Chair, for several biopharmaceutical companies.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Fourth Quarter and Full Year 2019 Financial Results:</w:t>
      </w:r>
    </w:p>
    <w:p>
      <w:pPr>
        <w:spacing w:after="0" w:line="229" w:lineRule="exact"/>
        <w:rPr>
          <w:sz w:val="20"/>
          <w:szCs w:val="20"/>
          <w:color w:val="auto"/>
        </w:rPr>
      </w:pPr>
    </w:p>
    <w:p>
      <w:pPr>
        <w:ind w:left="660" w:right="20" w:hanging="328"/>
        <w:spacing w:after="0" w:line="346" w:lineRule="auto"/>
        <w:tabs>
          <w:tab w:leader="none" w:pos="660" w:val="left"/>
        </w:tabs>
        <w:numPr>
          <w:ilvl w:val="0"/>
          <w:numId w:val="5"/>
        </w:numPr>
        <w:rPr>
          <w:rFonts w:ascii="Arial" w:cs="Arial" w:eastAsia="Arial" w:hAnsi="Arial"/>
          <w:sz w:val="15"/>
          <w:szCs w:val="15"/>
          <w:color w:val="auto"/>
        </w:rPr>
      </w:pPr>
      <w:r>
        <w:rPr>
          <w:rFonts w:ascii="Arial" w:cs="Arial" w:eastAsia="Arial" w:hAnsi="Arial"/>
          <w:sz w:val="16"/>
          <w:szCs w:val="16"/>
          <w:b w:val="1"/>
          <w:bCs w:val="1"/>
          <w:color w:val="auto"/>
        </w:rPr>
        <w:t xml:space="preserve">Cash Position: </w:t>
      </w:r>
      <w:r>
        <w:rPr>
          <w:rFonts w:ascii="Arial" w:cs="Arial" w:eastAsia="Arial" w:hAnsi="Arial"/>
          <w:sz w:val="16"/>
          <w:szCs w:val="16"/>
          <w:color w:val="auto"/>
        </w:rPr>
        <w:t>Selecta had $91.6 million in cash, cash equivalents, and restricted cash as of December 31, 2019, which compares to</w:t>
      </w:r>
      <w:r>
        <w:rPr>
          <w:rFonts w:ascii="Arial" w:cs="Arial" w:eastAsia="Arial" w:hAnsi="Arial"/>
          <w:sz w:val="16"/>
          <w:szCs w:val="16"/>
          <w:b w:val="1"/>
          <w:bCs w:val="1"/>
          <w:color w:val="auto"/>
        </w:rPr>
        <w:t xml:space="preserve"> </w:t>
      </w:r>
      <w:r>
        <w:rPr>
          <w:rFonts w:ascii="Arial" w:cs="Arial" w:eastAsia="Arial" w:hAnsi="Arial"/>
          <w:sz w:val="16"/>
          <w:szCs w:val="16"/>
          <w:color w:val="auto"/>
        </w:rPr>
        <w:t>cash, cash equivalents, restricted cash, and short-term investments of $35.9 million as of September 30, 2019. Selecta believes its available cash, cash equivalents, and restricted cash will be sufficient to meet its operating requirements into the first quarter of 2021.</w:t>
      </w:r>
    </w:p>
    <w:p>
      <w:pPr>
        <w:spacing w:after="0" w:line="128" w:lineRule="exact"/>
        <w:rPr>
          <w:rFonts w:ascii="Arial" w:cs="Arial" w:eastAsia="Arial" w:hAnsi="Arial"/>
          <w:sz w:val="15"/>
          <w:szCs w:val="15"/>
          <w:color w:val="auto"/>
        </w:rPr>
      </w:pPr>
    </w:p>
    <w:p>
      <w:pPr>
        <w:ind w:left="1300" w:right="740" w:hanging="320"/>
        <w:spacing w:after="0" w:line="260" w:lineRule="auto"/>
        <w:tabs>
          <w:tab w:leader="none" w:pos="1300" w:val="left"/>
        </w:tabs>
        <w:numPr>
          <w:ilvl w:val="1"/>
          <w:numId w:val="5"/>
        </w:numPr>
        <w:rPr>
          <w:rFonts w:ascii="Arial" w:cs="Arial" w:eastAsia="Arial" w:hAnsi="Arial"/>
          <w:sz w:val="20"/>
          <w:szCs w:val="20"/>
          <w:color w:val="auto"/>
        </w:rPr>
      </w:pPr>
      <w:r>
        <w:rPr>
          <w:rFonts w:ascii="Arial" w:cs="Arial" w:eastAsia="Arial" w:hAnsi="Arial"/>
          <w:sz w:val="20"/>
          <w:szCs w:val="20"/>
          <w:color w:val="auto"/>
        </w:rPr>
        <w:t>Net cash used in operating activities was $12.9 million and $51.4 million for the fourth quarter and fiscal year 2019, respectively, as compared to $12.7 million and $59.2 million for the same periods in 2018.</w:t>
      </w:r>
    </w:p>
    <w:p>
      <w:pPr>
        <w:spacing w:after="0" w:line="184" w:lineRule="exact"/>
        <w:rPr>
          <w:rFonts w:ascii="Arial" w:cs="Arial" w:eastAsia="Arial" w:hAnsi="Arial"/>
          <w:sz w:val="20"/>
          <w:szCs w:val="20"/>
          <w:color w:val="auto"/>
        </w:rPr>
      </w:pPr>
    </w:p>
    <w:p>
      <w:pPr>
        <w:ind w:left="660" w:right="40" w:hanging="328"/>
        <w:spacing w:after="0" w:line="277"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8"/>
          <w:szCs w:val="18"/>
          <w:b w:val="1"/>
          <w:bCs w:val="1"/>
          <w:color w:val="auto"/>
        </w:rPr>
        <w:t xml:space="preserve">Research and Development Expenses: </w:t>
      </w:r>
      <w:r>
        <w:rPr>
          <w:rFonts w:ascii="Arial" w:cs="Arial" w:eastAsia="Arial" w:hAnsi="Arial"/>
          <w:sz w:val="18"/>
          <w:szCs w:val="18"/>
          <w:color w:val="auto"/>
        </w:rPr>
        <w:t>Research and development expenses for the fourth quarter and fiscal year 2019 were $15.2</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and $42.7 million, respectively, which compares with $10.3 million and $47.7 million for the same periods in 2018. The quarterly increase reflects additional costs incurred specific to our Phase 2 head-to-head (COMPARE) clinical trial of SEL-212, for which we completed enrollment in December 2019. The decrease year over year reflects reduced costs in 2019 due to the completion of prior programs in 2018, combined with reduced salaries and benefits resulting from the headcount reduction in early 2019. The cost reductions were offset by an overall increase in costs incurred on our lead product candidate, SEL-212.</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555" w:right="339" w:bottom="1440" w:gutter="0" w:footer="0" w:header="0"/>
        </w:sectPr>
      </w:pPr>
    </w:p>
    <w:bookmarkStart w:id="5" w:name="page6"/>
    <w:bookmarkEnd w:id="5"/>
    <w:p>
      <w:pPr>
        <w:ind w:left="660" w:right="160" w:hanging="328"/>
        <w:spacing w:after="0" w:line="24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20"/>
          <w:szCs w:val="20"/>
          <w:b w:val="1"/>
          <w:bCs w:val="1"/>
          <w:color w:val="auto"/>
        </w:rPr>
        <w:t xml:space="preserve">General and Administrative Expenses: </w:t>
      </w:r>
      <w:r>
        <w:rPr>
          <w:rFonts w:ascii="Arial" w:cs="Arial" w:eastAsia="Arial" w:hAnsi="Arial"/>
          <w:sz w:val="20"/>
          <w:szCs w:val="20"/>
          <w:color w:val="auto"/>
        </w:rPr>
        <w:t>General and administrative expenses for the fourth quarter and fiscal year 2019 were $4.1</w:t>
      </w:r>
      <w:r>
        <w:rPr>
          <w:rFonts w:ascii="Arial" w:cs="Arial" w:eastAsia="Arial" w:hAnsi="Arial"/>
          <w:sz w:val="20"/>
          <w:szCs w:val="20"/>
          <w:b w:val="1"/>
          <w:bCs w:val="1"/>
          <w:color w:val="auto"/>
        </w:rPr>
        <w:t xml:space="preserve"> </w:t>
      </w:r>
      <w:r>
        <w:rPr>
          <w:rFonts w:ascii="Arial" w:cs="Arial" w:eastAsia="Arial" w:hAnsi="Arial"/>
          <w:sz w:val="20"/>
          <w:szCs w:val="20"/>
          <w:color w:val="auto"/>
        </w:rPr>
        <w:t>million and $16.4 million, respectively, which compares with $5.1 million and $18.2 million for the same periods in 2018. The decrease is the result of lower salaries and stock compensation expense resulting from reduced headcount at the end of 2018, combined with reduced patent and professional fees.</w:t>
      </w:r>
    </w:p>
    <w:p>
      <w:pPr>
        <w:spacing w:after="0" w:line="196" w:lineRule="exact"/>
        <w:rPr>
          <w:rFonts w:ascii="Arial" w:cs="Arial" w:eastAsia="Arial" w:hAnsi="Arial"/>
          <w:sz w:val="18"/>
          <w:szCs w:val="18"/>
          <w:color w:val="auto"/>
        </w:rPr>
      </w:pPr>
    </w:p>
    <w:p>
      <w:pPr>
        <w:ind w:left="660" w:right="120" w:hanging="328"/>
        <w:spacing w:after="0" w:line="25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20"/>
          <w:szCs w:val="20"/>
          <w:b w:val="1"/>
          <w:bCs w:val="1"/>
          <w:color w:val="auto"/>
        </w:rPr>
        <w:t xml:space="preserve">Net Loss: </w:t>
      </w:r>
      <w:r>
        <w:rPr>
          <w:rFonts w:ascii="Arial" w:cs="Arial" w:eastAsia="Arial" w:hAnsi="Arial"/>
          <w:sz w:val="20"/>
          <w:szCs w:val="20"/>
          <w:color w:val="auto"/>
        </w:rPr>
        <w:t>For the fourth quarter and fiscal year 2019, Selecta reported a net loss of $14.9 million, or $0.28 per share and $55.4</w:t>
      </w:r>
      <w:r>
        <w:rPr>
          <w:rFonts w:ascii="Arial" w:cs="Arial" w:eastAsia="Arial" w:hAnsi="Arial"/>
          <w:sz w:val="20"/>
          <w:szCs w:val="20"/>
          <w:b w:val="1"/>
          <w:bCs w:val="1"/>
          <w:color w:val="auto"/>
        </w:rPr>
        <w:t xml:space="preserve"> </w:t>
      </w:r>
      <w:r>
        <w:rPr>
          <w:rFonts w:ascii="Arial" w:cs="Arial" w:eastAsia="Arial" w:hAnsi="Arial"/>
          <w:sz w:val="20"/>
          <w:szCs w:val="20"/>
          <w:color w:val="auto"/>
        </w:rPr>
        <w:t>million, or $1.22 per share, compared to a net loss of $14.7 million, or $0.65 per share, and $65.3 million, or $2.92 per share, for the same periods in 2018.</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Conference Call and Webcast Reminder:</w:t>
      </w:r>
    </w:p>
    <w:p>
      <w:pPr>
        <w:spacing w:after="0" w:line="22" w:lineRule="exact"/>
        <w:rPr>
          <w:sz w:val="20"/>
          <w:szCs w:val="20"/>
          <w:color w:val="auto"/>
        </w:rPr>
      </w:pPr>
    </w:p>
    <w:p>
      <w:pPr>
        <w:ind w:right="100"/>
        <w:spacing w:after="0" w:line="256" w:lineRule="auto"/>
        <w:rPr>
          <w:sz w:val="20"/>
          <w:szCs w:val="20"/>
          <w:color w:val="auto"/>
        </w:rPr>
      </w:pPr>
      <w:r>
        <w:rPr>
          <w:rFonts w:ascii="Arial" w:cs="Arial" w:eastAsia="Arial" w:hAnsi="Arial"/>
          <w:sz w:val="19"/>
          <w:szCs w:val="19"/>
          <w:color w:val="auto"/>
        </w:rPr>
        <w:t xml:space="preserve">Selecta management will host a conference call at 8:30 AM ET today to provide a corporate update and review the company’s fourth quarter 2019 financial results. Individuals may participate in the live call via telephone by dialing (844) 845-4170 (domestic) or (412) 717-9621 (international) and may access a teleconference replay for one week by dialing (877) 344-7529 (domestic) or (412) 317-0088 (international) and using confirmation code 10138603. Investors and the public can access the live and archived webcast of this call and a copy of the presentation via the Investors &amp; Media section of the company’s website, </w:t>
      </w:r>
      <w:r>
        <w:rPr>
          <w:rFonts w:ascii="Arial" w:cs="Arial" w:eastAsia="Arial" w:hAnsi="Arial"/>
          <w:sz w:val="19"/>
          <w:szCs w:val="19"/>
          <w:u w:val="single" w:color="auto"/>
          <w:color w:val="0000FF"/>
        </w:rPr>
        <w:t>www.selectabio.com</w:t>
      </w:r>
      <w:r>
        <w:rPr>
          <w:rFonts w:ascii="Arial" w:cs="Arial" w:eastAsia="Arial" w:hAnsi="Arial"/>
          <w:sz w:val="19"/>
          <w:szCs w:val="19"/>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Selecta Biosciences, Inc.</w:t>
      </w:r>
    </w:p>
    <w:p>
      <w:pPr>
        <w:spacing w:after="0" w:line="22" w:lineRule="exact"/>
        <w:rPr>
          <w:sz w:val="20"/>
          <w:szCs w:val="20"/>
          <w:color w:val="auto"/>
        </w:rPr>
      </w:pPr>
    </w:p>
    <w:p>
      <w:pPr>
        <w:ind w:right="40"/>
        <w:spacing w:after="0"/>
        <w:rPr>
          <w:sz w:val="20"/>
          <w:szCs w:val="20"/>
          <w:color w:val="auto"/>
        </w:rPr>
      </w:pPr>
      <w:r>
        <w:rPr>
          <w:rFonts w:ascii="Arial" w:cs="Arial" w:eastAsia="Arial" w:hAnsi="Arial"/>
          <w:sz w:val="20"/>
          <w:szCs w:val="20"/>
          <w:color w:val="auto"/>
        </w:rPr>
        <w:t xml:space="preserve">Selecta Biosciences, Inc. is a clinical-stage biotechnology company focused on unlocking the full potential of biologic therapies based on its immune tolerance technology (ImmTOR) platform. Selecta plans to combine ImmTOR with a range of biologic therapies for rare and serious diseases that require new treatment options due to high immunogenicity. The company’s current proprietary pipeline includes ImmTOR-powered therapeutic enzyme and gene therapy product candidates. SEL-212, the company’s lead product candidate, is being developed to treat chronic refractory gout patients and resolve their debilitating symptoms, including flares and gouty arthritis. Selecta’s proprietary gene therapy product candidates are in preclinical development for certain rare inborn errors of metabolism and incorporate ImmTOR with the goal of addressing barriers to repeat administration. Selecta is based in Watertown, Massachusetts. For more information, please visit </w:t>
      </w:r>
      <w:r>
        <w:rPr>
          <w:rFonts w:ascii="Arial" w:cs="Arial" w:eastAsia="Arial" w:hAnsi="Arial"/>
          <w:sz w:val="20"/>
          <w:szCs w:val="20"/>
          <w:u w:val="single" w:color="auto"/>
          <w:color w:val="0000FF"/>
        </w:rPr>
        <w:t>http://selectabio.com</w:t>
      </w:r>
      <w:r>
        <w:rPr>
          <w:rFonts w:ascii="Arial" w:cs="Arial" w:eastAsia="Arial" w:hAnsi="Arial"/>
          <w:sz w:val="20"/>
          <w:szCs w:val="20"/>
          <w:color w:val="000000"/>
        </w:rPr>
        <w:t>.</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2" w:lineRule="exact"/>
        <w:rPr>
          <w:sz w:val="20"/>
          <w:szCs w:val="20"/>
          <w:color w:val="auto"/>
        </w:rPr>
      </w:pPr>
    </w:p>
    <w:p>
      <w:pPr>
        <w:spacing w:after="0" w:line="253" w:lineRule="auto"/>
        <w:rPr>
          <w:sz w:val="20"/>
          <w:szCs w:val="20"/>
          <w:color w:val="auto"/>
        </w:rPr>
      </w:pPr>
      <w:r>
        <w:rPr>
          <w:rFonts w:ascii="Arial" w:cs="Arial" w:eastAsia="Arial" w:hAnsi="Arial"/>
          <w:sz w:val="19"/>
          <w:szCs w:val="19"/>
          <w:i w:val="1"/>
          <w:iCs w:val="1"/>
          <w:color w:val="auto"/>
        </w:rPr>
        <w:t>Any statements in this press release about the future expectations, plans and prospects of Selecta Biosciences, Inc. (“the company”), including without limitation, statements regarding the progress of the clinical development of SEL-212, expectations surrounding the enrollment and design of the Phase 2 head-to-head (COMPARE) clinical trial comparing SEL-212 and Krystexxa, timing of related data readouts and the ability of the COMPARE results to inform the planned Phase 3 clinical trial of SEL-212, the anticipated timing of the planned Phase 3 clinical trial, whether the head-to-head trial with Krystexxa will demonstrate superiority, the unique proprietary technology platform of the company and the unique proprietary platform of its partners, the potential of ImmTOR to enable re-dosing of AAV gene therapy, the potential of SEL-212 to fulfill unmet needs in chronic refractory gout patients including sustained SUA reduction, reduced flares, and once monthly dosing, the company’s commercial plans, the ability of the company’s ImmTOR platform, including SEL-212, to unlock the full potential of biologic therapies, the potential of SEL-212 to treat chronic refractory gout patients and resolve their debilitating symptoms, the potential treatment applications for product candidates utilizing the ImmTOR platform in areas such as enzyme therapy and gene therapy, the ability of the ImmTOR platform to enhance transgene expression, the ability of the Company and AskBio to develop gene therapy products using ImmTOR and</w:t>
      </w:r>
    </w:p>
    <w:p>
      <w:pPr>
        <w:spacing w:after="0" w:line="200" w:lineRule="exact"/>
        <w:rPr>
          <w:sz w:val="20"/>
          <w:szCs w:val="20"/>
          <w:color w:val="auto"/>
        </w:rPr>
      </w:pPr>
    </w:p>
    <w:p>
      <w:pPr>
        <w:spacing w:after="0" w:line="3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549" w:right="339" w:bottom="1440" w:gutter="0" w:footer="0" w:header="0"/>
        </w:sectPr>
      </w:pPr>
    </w:p>
    <w:bookmarkStart w:id="6" w:name="page7"/>
    <w:bookmarkEnd w:id="6"/>
    <w:p>
      <w:pPr>
        <w:spacing w:after="0" w:line="268" w:lineRule="auto"/>
        <w:rPr>
          <w:sz w:val="20"/>
          <w:szCs w:val="20"/>
          <w:color w:val="auto"/>
        </w:rPr>
      </w:pPr>
      <w:r>
        <w:rPr>
          <w:rFonts w:ascii="Arial" w:cs="Arial" w:eastAsia="Arial" w:hAnsi="Arial"/>
          <w:sz w:val="18"/>
          <w:szCs w:val="18"/>
          <w:i w:val="1"/>
          <w:iCs w:val="1"/>
          <w:color w:val="auto"/>
        </w:rPr>
        <w:t>AskBio’s core technology, the novelty of treatment paradigms that the Company and AskBio are able to develop, the potential of any therapies developed by the Company and AskBio to fulfill unmet medical needs, AskBio’s ability to make milestone payments, AskBio’s ability to develop and commercialize a drug product containing ImmTOR for the treatment of Pompe disease, the company’s plan to apply its ImmTOR technology platform to a range of biologics for rare and serious diseases, the potential of the company’s two gene therapy product candidates to enable repeat administration, the Company’s ability to re-dose patients and the potential of ImmTOR to allow for re-dosing, the potential of the ImmTOR technology platform generally and the company’s ability to grow its strategic partnerships, the Company’s plans to present at the American College of Rheumatology Annual Meeting, the sufficiency of the company’s cash, cash equivalents and short-term investments, and other statements containing the words “anticipate,” “believe,” “continue,” “could,” “estimate,” “expect,” “hypothesize,” “intend,” “may,” “plan,” “potential,” “predict,” “project,” “should,” “target,” “would,” and similar expressions, constitute forward-looking statements within the meaning of The Private Securities Litigation Reform Act of 1995. Actual results may differ materially from those indicated by such forward-looking statements as a result of various important factors, including, but not limited to, the following: the uncertainties inherent in the initiation, completion and cost of clinical trials including their uncertain outcomes, the availability and timing of data from ongoing and future clinical trials and the results of such trials, whether preliminary results from a particular clinical trial will be predictive of the final results of that trial or whether results of early clinical trials will be indicative of the results of later clinical trials, the unproven approach of the company’s ImmTOR technology, potential delays in enrollment of patients, undesirable side effects of the company’s product candidates, its reliance on third parties to manufacture its product candidates and to conduct its clinical trials, the company’s inability to maintain its existing or future collaborations, licenses or contractual relationships, its inability to protect its proprietary technology and intellectual property, management’s ability to perform as expected, potential delays in regulatory approvals, the availability of funding sufficient for its foreseeable and unforeseeable operating expenses and capital expenditure requirements, the company’s recurring losses from operations and negative cash flows from operations raise substantial doubt regarding its ability to continue as a going concern, substantial fluctuation in the price of its common stock, and other important factors discussed in the “Risk Factors” section of the company’s most recent Annual Report on Form 10-K, and in other filings that the company makes with the Securities and Exchange Commission. In addition, any forward-looking statements included in this press release represent the company’s views only as of the date of its publication and should not be relied upon as representing its views as of any subsequent date. The company specifically disclaims any intention to update any forward-looking statements included in this press release.</w:t>
      </w: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555" w:right="33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18"/>
          <w:szCs w:val="18"/>
          <w:b w:val="1"/>
          <w:bCs w:val="1"/>
          <w:color w:val="auto"/>
        </w:rPr>
        <w:t>Selecta Biosciences, Inc. and Subsidiaries</w:t>
      </w:r>
    </w:p>
    <w:p>
      <w:pPr>
        <w:spacing w:after="0" w:line="6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spacing w:after="0" w:line="6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(Amounts in thousands, except share data and par value)</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 2019</w:t>
            </w:r>
          </w:p>
        </w:tc>
        <w:tc>
          <w:tcPr>
            <w:tcW w:w="240" w:type="dxa"/>
            <w:vAlign w:val="bottom"/>
          </w:tcPr>
          <w:p>
            <w:pPr>
              <w:spacing w:after="0"/>
              <w:rPr>
                <w:sz w:val="16"/>
                <w:szCs w:val="16"/>
                <w:color w:val="auto"/>
              </w:rPr>
            </w:pPr>
          </w:p>
        </w:tc>
        <w:tc>
          <w:tcPr>
            <w:tcW w:w="1660" w:type="dxa"/>
            <w:vAlign w:val="bottom"/>
          </w:tcPr>
          <w:p>
            <w:pPr>
              <w:jc w:val="right"/>
              <w:ind w:right="288"/>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474"/>
        </w:trPr>
        <w:tc>
          <w:tcPr>
            <w:tcW w:w="728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240" w:type="dxa"/>
            <w:vAlign w:val="bottom"/>
            <w:tcBorders>
              <w:top w:val="single" w:sz="8" w:color="auto"/>
            </w:tcBorders>
          </w:tcPr>
          <w:p>
            <w:pPr>
              <w:spacing w:after="0"/>
              <w:rPr>
                <w:sz w:val="24"/>
                <w:szCs w:val="24"/>
                <w:color w:val="auto"/>
              </w:rPr>
            </w:pPr>
          </w:p>
        </w:tc>
        <w:tc>
          <w:tcPr>
            <w:tcW w:w="1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280" w:type="dxa"/>
            <w:vAlign w:val="bottom"/>
          </w:tcPr>
          <w:p>
            <w:pPr>
              <w:spacing w:after="0"/>
              <w:rPr>
                <w:sz w:val="20"/>
                <w:szCs w:val="20"/>
                <w:color w:val="auto"/>
              </w:rPr>
            </w:pPr>
            <w:r>
              <w:rPr>
                <w:rFonts w:ascii="Arial" w:cs="Arial" w:eastAsia="Arial" w:hAnsi="Arial"/>
                <w:sz w:val="14"/>
                <w:szCs w:val="14"/>
                <w:b w:val="1"/>
                <w:bCs w:val="1"/>
                <w:color w:val="auto"/>
              </w:rPr>
              <w:t>Current assets:</w:t>
            </w:r>
          </w:p>
        </w:tc>
        <w:tc>
          <w:tcPr>
            <w:tcW w:w="24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280" w:type="dxa"/>
            <w:vAlign w:val="bottom"/>
          </w:tcPr>
          <w:p>
            <w:pPr>
              <w:spacing w:after="0"/>
              <w:rPr>
                <w:sz w:val="20"/>
                <w:szCs w:val="20"/>
                <w:color w:val="auto"/>
              </w:rPr>
            </w:pPr>
            <w:r>
              <w:rPr>
                <w:rFonts w:ascii="Arial" w:cs="Arial" w:eastAsia="Arial" w:hAnsi="Arial"/>
                <w:sz w:val="14"/>
                <w:szCs w:val="14"/>
                <w:color w:val="auto"/>
              </w:rPr>
              <w:t>Cash and cash equivalents</w:t>
            </w: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680" w:type="dxa"/>
            <w:vAlign w:val="bottom"/>
            <w:vMerge w:val="restart"/>
          </w:tcPr>
          <w:p>
            <w:pPr>
              <w:jc w:val="right"/>
              <w:ind w:right="28"/>
              <w:spacing w:after="0"/>
              <w:rPr>
                <w:sz w:val="20"/>
                <w:szCs w:val="20"/>
                <w:color w:val="auto"/>
              </w:rPr>
            </w:pPr>
            <w:r>
              <w:rPr>
                <w:rFonts w:ascii="Arial" w:cs="Arial" w:eastAsia="Arial" w:hAnsi="Arial"/>
                <w:sz w:val="14"/>
                <w:szCs w:val="14"/>
                <w:color w:val="auto"/>
              </w:rPr>
              <w:t>89,893</w:t>
            </w:r>
          </w:p>
        </w:tc>
        <w:tc>
          <w:tcPr>
            <w:tcW w:w="100" w:type="dxa"/>
            <w:vAlign w:val="bottom"/>
          </w:tcPr>
          <w:p>
            <w:pPr>
              <w:spacing w:after="0"/>
              <w:rPr>
                <w:sz w:val="23"/>
                <w:szCs w:val="23"/>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660" w:type="dxa"/>
            <w:vAlign w:val="bottom"/>
            <w:vMerge w:val="restart"/>
          </w:tcPr>
          <w:p>
            <w:pPr>
              <w:jc w:val="right"/>
              <w:ind w:right="28"/>
              <w:spacing w:after="0"/>
              <w:rPr>
                <w:sz w:val="20"/>
                <w:szCs w:val="20"/>
                <w:color w:val="auto"/>
              </w:rPr>
            </w:pPr>
            <w:r>
              <w:rPr>
                <w:rFonts w:ascii="Arial" w:cs="Arial" w:eastAsia="Arial" w:hAnsi="Arial"/>
                <w:sz w:val="14"/>
                <w:szCs w:val="14"/>
                <w:color w:val="auto"/>
              </w:rPr>
              <w:t>37,403</w:t>
            </w:r>
          </w:p>
        </w:tc>
        <w:tc>
          <w:tcPr>
            <w:tcW w:w="0" w:type="dxa"/>
            <w:vAlign w:val="bottom"/>
          </w:tcPr>
          <w:p>
            <w:pPr>
              <w:spacing w:after="0"/>
              <w:rPr>
                <w:sz w:val="1"/>
                <w:szCs w:val="1"/>
                <w:color w:val="auto"/>
              </w:rPr>
            </w:pPr>
          </w:p>
        </w:tc>
      </w:tr>
      <w:tr>
        <w:trPr>
          <w:trHeight w:val="68"/>
        </w:trPr>
        <w:tc>
          <w:tcPr>
            <w:tcW w:w="728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6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7280" w:type="dxa"/>
            <w:vAlign w:val="bottom"/>
          </w:tcPr>
          <w:p>
            <w:pPr>
              <w:spacing w:after="0"/>
              <w:rPr>
                <w:sz w:val="20"/>
                <w:szCs w:val="20"/>
                <w:color w:val="auto"/>
              </w:rPr>
            </w:pPr>
            <w:r>
              <w:rPr>
                <w:rFonts w:ascii="Arial" w:cs="Arial" w:eastAsia="Arial" w:hAnsi="Arial"/>
                <w:sz w:val="14"/>
                <w:szCs w:val="14"/>
                <w:color w:val="auto"/>
              </w:rPr>
              <w:t>Restricted cash</w:t>
            </w:r>
          </w:p>
        </w:tc>
        <w:tc>
          <w:tcPr>
            <w:tcW w:w="240" w:type="dxa"/>
            <w:vAlign w:val="bottom"/>
          </w:tcPr>
          <w:p>
            <w:pPr>
              <w:spacing w:after="0"/>
              <w:rPr>
                <w:sz w:val="17"/>
                <w:szCs w:val="17"/>
                <w:color w:val="auto"/>
              </w:rPr>
            </w:pPr>
          </w:p>
        </w:tc>
        <w:tc>
          <w:tcPr>
            <w:tcW w:w="1680" w:type="dxa"/>
            <w:vAlign w:val="bottom"/>
            <w:vMerge w:val="restart"/>
          </w:tcPr>
          <w:p>
            <w:pPr>
              <w:jc w:val="right"/>
              <w:ind w:right="28"/>
              <w:spacing w:after="0"/>
              <w:rPr>
                <w:sz w:val="20"/>
                <w:szCs w:val="20"/>
                <w:color w:val="auto"/>
              </w:rPr>
            </w:pPr>
            <w:r>
              <w:rPr>
                <w:rFonts w:ascii="Arial" w:cs="Arial" w:eastAsia="Arial" w:hAnsi="Arial"/>
                <w:sz w:val="14"/>
                <w:szCs w:val="14"/>
                <w:color w:val="auto"/>
              </w:rPr>
              <w:t>279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7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7280" w:type="dxa"/>
            <w:vAlign w:val="bottom"/>
          </w:tcPr>
          <w:p>
            <w:pPr>
              <w:spacing w:after="0"/>
              <w:rPr>
                <w:sz w:val="20"/>
                <w:szCs w:val="20"/>
                <w:color w:val="auto"/>
              </w:rPr>
            </w:pPr>
            <w:r>
              <w:rPr>
                <w:rFonts w:ascii="Arial" w:cs="Arial" w:eastAsia="Arial" w:hAnsi="Arial"/>
                <w:sz w:val="14"/>
                <w:szCs w:val="14"/>
                <w:color w:val="auto"/>
              </w:rPr>
              <w:t>Accounts receivable</w:t>
            </w:r>
          </w:p>
        </w:tc>
        <w:tc>
          <w:tcPr>
            <w:tcW w:w="240" w:type="dxa"/>
            <w:vAlign w:val="bottom"/>
          </w:tcPr>
          <w:p>
            <w:pPr>
              <w:spacing w:after="0"/>
              <w:rPr>
                <w:sz w:val="17"/>
                <w:szCs w:val="17"/>
                <w:color w:val="auto"/>
              </w:rPr>
            </w:pPr>
          </w:p>
        </w:tc>
        <w:tc>
          <w:tcPr>
            <w:tcW w:w="1680" w:type="dxa"/>
            <w:vAlign w:val="bottom"/>
            <w:vMerge w:val="restart"/>
          </w:tcPr>
          <w:p>
            <w:pPr>
              <w:jc w:val="right"/>
              <w:ind w:right="28"/>
              <w:spacing w:after="0"/>
              <w:rPr>
                <w:sz w:val="20"/>
                <w:szCs w:val="20"/>
                <w:color w:val="auto"/>
              </w:rPr>
            </w:pPr>
            <w:r>
              <w:rPr>
                <w:rFonts w:ascii="Arial" w:cs="Arial" w:eastAsia="Arial" w:hAnsi="Arial"/>
                <w:sz w:val="14"/>
                <w:szCs w:val="14"/>
                <w:color w:val="auto"/>
              </w:rPr>
              <w:t>5,000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7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7280" w:type="dxa"/>
            <w:vAlign w:val="bottom"/>
          </w:tcPr>
          <w:p>
            <w:pPr>
              <w:spacing w:after="0"/>
              <w:rPr>
                <w:sz w:val="20"/>
                <w:szCs w:val="20"/>
                <w:color w:val="auto"/>
              </w:rPr>
            </w:pPr>
            <w:r>
              <w:rPr>
                <w:rFonts w:ascii="Arial" w:cs="Arial" w:eastAsia="Arial" w:hAnsi="Arial"/>
                <w:sz w:val="14"/>
                <w:szCs w:val="14"/>
                <w:color w:val="auto"/>
              </w:rPr>
              <w:t>Prepaid expenses and other current assets</w:t>
            </w:r>
          </w:p>
        </w:tc>
        <w:tc>
          <w:tcPr>
            <w:tcW w:w="240" w:type="dxa"/>
            <w:vAlign w:val="bottom"/>
          </w:tcPr>
          <w:p>
            <w:pPr>
              <w:spacing w:after="0"/>
              <w:rPr>
                <w:sz w:val="17"/>
                <w:szCs w:val="17"/>
                <w:color w:val="auto"/>
              </w:rPr>
            </w:pPr>
          </w:p>
        </w:tc>
        <w:tc>
          <w:tcPr>
            <w:tcW w:w="1680" w:type="dxa"/>
            <w:vAlign w:val="bottom"/>
            <w:vMerge w:val="restart"/>
          </w:tcPr>
          <w:p>
            <w:pPr>
              <w:jc w:val="right"/>
              <w:ind w:right="28"/>
              <w:spacing w:after="0"/>
              <w:rPr>
                <w:sz w:val="20"/>
                <w:szCs w:val="20"/>
                <w:color w:val="auto"/>
              </w:rPr>
            </w:pPr>
            <w:r>
              <w:rPr>
                <w:rFonts w:ascii="Arial" w:cs="Arial" w:eastAsia="Arial" w:hAnsi="Arial"/>
                <w:sz w:val="14"/>
                <w:szCs w:val="14"/>
                <w:color w:val="auto"/>
              </w:rPr>
              <w:t>1,495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vMerge w:val="restart"/>
          </w:tcPr>
          <w:p>
            <w:pPr>
              <w:jc w:val="right"/>
              <w:ind w:right="28"/>
              <w:spacing w:after="0"/>
              <w:rPr>
                <w:sz w:val="20"/>
                <w:szCs w:val="20"/>
                <w:color w:val="auto"/>
              </w:rPr>
            </w:pPr>
            <w:r>
              <w:rPr>
                <w:rFonts w:ascii="Arial" w:cs="Arial" w:eastAsia="Arial" w:hAnsi="Arial"/>
                <w:sz w:val="14"/>
                <w:szCs w:val="14"/>
                <w:color w:val="auto"/>
              </w:rPr>
              <w:t>4,673</w:t>
            </w:r>
          </w:p>
        </w:tc>
        <w:tc>
          <w:tcPr>
            <w:tcW w:w="0" w:type="dxa"/>
            <w:vAlign w:val="bottom"/>
          </w:tcPr>
          <w:p>
            <w:pPr>
              <w:spacing w:after="0"/>
              <w:rPr>
                <w:sz w:val="1"/>
                <w:szCs w:val="1"/>
                <w:color w:val="auto"/>
              </w:rPr>
            </w:pPr>
          </w:p>
        </w:tc>
      </w:tr>
      <w:tr>
        <w:trPr>
          <w:trHeight w:val="73"/>
        </w:trPr>
        <w:tc>
          <w:tcPr>
            <w:tcW w:w="728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68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6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280" w:type="dxa"/>
            <w:vAlign w:val="bottom"/>
          </w:tcPr>
          <w:p>
            <w:pPr>
              <w:spacing w:after="0"/>
              <w:rPr>
                <w:sz w:val="20"/>
                <w:szCs w:val="20"/>
                <w:color w:val="auto"/>
              </w:rPr>
            </w:pPr>
            <w:r>
              <w:rPr>
                <w:rFonts w:ascii="Arial" w:cs="Arial" w:eastAsia="Arial" w:hAnsi="Arial"/>
                <w:sz w:val="14"/>
                <w:szCs w:val="14"/>
                <w:color w:val="auto"/>
              </w:rPr>
              <w:t>Total current assets</w:t>
            </w:r>
          </w:p>
        </w:tc>
        <w:tc>
          <w:tcPr>
            <w:tcW w:w="240" w:type="dxa"/>
            <w:vAlign w:val="bottom"/>
          </w:tcPr>
          <w:p>
            <w:pPr>
              <w:spacing w:after="0"/>
              <w:rPr>
                <w:sz w:val="15"/>
                <w:szCs w:val="15"/>
                <w:color w:val="auto"/>
              </w:rPr>
            </w:pPr>
          </w:p>
        </w:tc>
        <w:tc>
          <w:tcPr>
            <w:tcW w:w="1680" w:type="dxa"/>
            <w:vAlign w:val="bottom"/>
            <w:vMerge w:val="restart"/>
          </w:tcPr>
          <w:p>
            <w:pPr>
              <w:jc w:val="right"/>
              <w:ind w:right="28"/>
              <w:spacing w:after="0"/>
              <w:rPr>
                <w:sz w:val="20"/>
                <w:szCs w:val="20"/>
                <w:color w:val="auto"/>
              </w:rPr>
            </w:pPr>
            <w:r>
              <w:rPr>
                <w:rFonts w:ascii="Arial" w:cs="Arial" w:eastAsia="Arial" w:hAnsi="Arial"/>
                <w:sz w:val="14"/>
                <w:szCs w:val="14"/>
                <w:color w:val="auto"/>
              </w:rPr>
              <w:t>96,667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vMerge w:val="restart"/>
          </w:tcPr>
          <w:p>
            <w:pPr>
              <w:jc w:val="right"/>
              <w:ind w:right="28"/>
              <w:spacing w:after="0"/>
              <w:rPr>
                <w:sz w:val="20"/>
                <w:szCs w:val="20"/>
                <w:color w:val="auto"/>
              </w:rPr>
            </w:pPr>
            <w:r>
              <w:rPr>
                <w:rFonts w:ascii="Arial" w:cs="Arial" w:eastAsia="Arial" w:hAnsi="Arial"/>
                <w:sz w:val="14"/>
                <w:szCs w:val="14"/>
                <w:color w:val="auto"/>
              </w:rPr>
              <w:t>42,076</w:t>
            </w:r>
          </w:p>
        </w:tc>
        <w:tc>
          <w:tcPr>
            <w:tcW w:w="0" w:type="dxa"/>
            <w:vAlign w:val="bottom"/>
          </w:tcPr>
          <w:p>
            <w:pPr>
              <w:spacing w:after="0"/>
              <w:rPr>
                <w:sz w:val="1"/>
                <w:szCs w:val="1"/>
                <w:color w:val="auto"/>
              </w:rPr>
            </w:pPr>
          </w:p>
        </w:tc>
      </w:tr>
      <w:tr>
        <w:trPr>
          <w:trHeight w:val="68"/>
        </w:trPr>
        <w:tc>
          <w:tcPr>
            <w:tcW w:w="7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728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240" w:type="dxa"/>
            <w:vAlign w:val="bottom"/>
          </w:tcPr>
          <w:p>
            <w:pPr>
              <w:spacing w:after="0"/>
              <w:rPr>
                <w:sz w:val="17"/>
                <w:szCs w:val="17"/>
                <w:color w:val="auto"/>
              </w:rPr>
            </w:pPr>
          </w:p>
        </w:tc>
        <w:tc>
          <w:tcPr>
            <w:tcW w:w="1680" w:type="dxa"/>
            <w:vAlign w:val="bottom"/>
            <w:vMerge w:val="restart"/>
          </w:tcPr>
          <w:p>
            <w:pPr>
              <w:jc w:val="right"/>
              <w:ind w:right="28"/>
              <w:spacing w:after="0"/>
              <w:rPr>
                <w:sz w:val="20"/>
                <w:szCs w:val="20"/>
                <w:color w:val="auto"/>
              </w:rPr>
            </w:pPr>
            <w:r>
              <w:rPr>
                <w:rFonts w:ascii="Arial" w:cs="Arial" w:eastAsia="Arial" w:hAnsi="Arial"/>
                <w:sz w:val="14"/>
                <w:szCs w:val="14"/>
                <w:color w:val="auto"/>
              </w:rPr>
              <w:t>1,222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vMerge w:val="restart"/>
          </w:tcPr>
          <w:p>
            <w:pPr>
              <w:jc w:val="right"/>
              <w:ind w:right="28"/>
              <w:spacing w:after="0"/>
              <w:rPr>
                <w:sz w:val="20"/>
                <w:szCs w:val="20"/>
                <w:color w:val="auto"/>
              </w:rPr>
            </w:pPr>
            <w:r>
              <w:rPr>
                <w:rFonts w:ascii="Arial" w:cs="Arial" w:eastAsia="Arial" w:hAnsi="Arial"/>
                <w:sz w:val="14"/>
                <w:szCs w:val="14"/>
                <w:color w:val="auto"/>
              </w:rPr>
              <w:t>2,127</w:t>
            </w:r>
          </w:p>
        </w:tc>
        <w:tc>
          <w:tcPr>
            <w:tcW w:w="0" w:type="dxa"/>
            <w:vAlign w:val="bottom"/>
          </w:tcPr>
          <w:p>
            <w:pPr>
              <w:spacing w:after="0"/>
              <w:rPr>
                <w:sz w:val="1"/>
                <w:szCs w:val="1"/>
                <w:color w:val="auto"/>
              </w:rPr>
            </w:pPr>
          </w:p>
        </w:tc>
      </w:tr>
      <w:tr>
        <w:trPr>
          <w:trHeight w:val="68"/>
        </w:trPr>
        <w:tc>
          <w:tcPr>
            <w:tcW w:w="7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7280" w:type="dxa"/>
            <w:vAlign w:val="bottom"/>
          </w:tcPr>
          <w:p>
            <w:pPr>
              <w:spacing w:after="0"/>
              <w:rPr>
                <w:sz w:val="20"/>
                <w:szCs w:val="20"/>
                <w:color w:val="auto"/>
              </w:rPr>
            </w:pPr>
            <w:r>
              <w:rPr>
                <w:rFonts w:ascii="Arial" w:cs="Arial" w:eastAsia="Arial" w:hAnsi="Arial"/>
                <w:sz w:val="14"/>
                <w:szCs w:val="14"/>
                <w:color w:val="auto"/>
              </w:rPr>
              <w:t>Right-of-use asset, net</w:t>
            </w:r>
          </w:p>
        </w:tc>
        <w:tc>
          <w:tcPr>
            <w:tcW w:w="240" w:type="dxa"/>
            <w:vAlign w:val="bottom"/>
          </w:tcPr>
          <w:p>
            <w:pPr>
              <w:spacing w:after="0"/>
              <w:rPr>
                <w:sz w:val="17"/>
                <w:szCs w:val="17"/>
                <w:color w:val="auto"/>
              </w:rPr>
            </w:pPr>
          </w:p>
        </w:tc>
        <w:tc>
          <w:tcPr>
            <w:tcW w:w="1680" w:type="dxa"/>
            <w:vAlign w:val="bottom"/>
            <w:vMerge w:val="restart"/>
          </w:tcPr>
          <w:p>
            <w:pPr>
              <w:jc w:val="right"/>
              <w:ind w:right="28"/>
              <w:spacing w:after="0"/>
              <w:rPr>
                <w:sz w:val="20"/>
                <w:szCs w:val="20"/>
                <w:color w:val="auto"/>
              </w:rPr>
            </w:pPr>
            <w:r>
              <w:rPr>
                <w:rFonts w:ascii="Arial" w:cs="Arial" w:eastAsia="Arial" w:hAnsi="Arial"/>
                <w:sz w:val="14"/>
                <w:szCs w:val="14"/>
                <w:color w:val="auto"/>
              </w:rPr>
              <w:t>301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7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7280" w:type="dxa"/>
            <w:vAlign w:val="bottom"/>
          </w:tcPr>
          <w:p>
            <w:pPr>
              <w:spacing w:after="0"/>
              <w:rPr>
                <w:sz w:val="20"/>
                <w:szCs w:val="20"/>
                <w:color w:val="auto"/>
              </w:rPr>
            </w:pPr>
            <w:r>
              <w:rPr>
                <w:rFonts w:ascii="Arial" w:cs="Arial" w:eastAsia="Arial" w:hAnsi="Arial"/>
                <w:sz w:val="14"/>
                <w:szCs w:val="14"/>
                <w:color w:val="auto"/>
              </w:rPr>
              <w:t>Long-term restricted cash</w:t>
            </w:r>
          </w:p>
        </w:tc>
        <w:tc>
          <w:tcPr>
            <w:tcW w:w="240" w:type="dxa"/>
            <w:vAlign w:val="bottom"/>
          </w:tcPr>
          <w:p>
            <w:pPr>
              <w:spacing w:after="0"/>
              <w:rPr>
                <w:sz w:val="17"/>
                <w:szCs w:val="17"/>
                <w:color w:val="auto"/>
              </w:rPr>
            </w:pPr>
          </w:p>
        </w:tc>
        <w:tc>
          <w:tcPr>
            <w:tcW w:w="1680" w:type="dxa"/>
            <w:vAlign w:val="bottom"/>
            <w:vMerge w:val="restart"/>
          </w:tcPr>
          <w:p>
            <w:pPr>
              <w:jc w:val="right"/>
              <w:ind w:right="28"/>
              <w:spacing w:after="0"/>
              <w:rPr>
                <w:sz w:val="20"/>
                <w:szCs w:val="20"/>
                <w:color w:val="auto"/>
              </w:rPr>
            </w:pPr>
            <w:r>
              <w:rPr>
                <w:rFonts w:ascii="Arial" w:cs="Arial" w:eastAsia="Arial" w:hAnsi="Arial"/>
                <w:sz w:val="14"/>
                <w:szCs w:val="14"/>
                <w:color w:val="auto"/>
              </w:rPr>
              <w:t>1,379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vMerge w:val="restart"/>
          </w:tcPr>
          <w:p>
            <w:pPr>
              <w:jc w:val="right"/>
              <w:ind w:right="28"/>
              <w:spacing w:after="0"/>
              <w:rPr>
                <w:sz w:val="20"/>
                <w:szCs w:val="20"/>
                <w:color w:val="auto"/>
              </w:rPr>
            </w:pPr>
            <w:r>
              <w:rPr>
                <w:rFonts w:ascii="Arial" w:cs="Arial" w:eastAsia="Arial" w:hAnsi="Arial"/>
                <w:sz w:val="14"/>
                <w:szCs w:val="14"/>
                <w:color w:val="auto"/>
              </w:rPr>
              <w:t>279</w:t>
            </w:r>
          </w:p>
        </w:tc>
        <w:tc>
          <w:tcPr>
            <w:tcW w:w="0" w:type="dxa"/>
            <w:vAlign w:val="bottom"/>
          </w:tcPr>
          <w:p>
            <w:pPr>
              <w:spacing w:after="0"/>
              <w:rPr>
                <w:sz w:val="1"/>
                <w:szCs w:val="1"/>
                <w:color w:val="auto"/>
              </w:rPr>
            </w:pPr>
          </w:p>
        </w:tc>
      </w:tr>
      <w:tr>
        <w:trPr>
          <w:trHeight w:val="73"/>
        </w:trPr>
        <w:tc>
          <w:tcPr>
            <w:tcW w:w="728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68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6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280" w:type="dxa"/>
            <w:vAlign w:val="bottom"/>
          </w:tcPr>
          <w:p>
            <w:pPr>
              <w:spacing w:after="0"/>
              <w:rPr>
                <w:sz w:val="20"/>
                <w:szCs w:val="20"/>
                <w:color w:val="auto"/>
              </w:rPr>
            </w:pPr>
            <w:r>
              <w:rPr>
                <w:rFonts w:ascii="Arial" w:cs="Arial" w:eastAsia="Arial" w:hAnsi="Arial"/>
                <w:sz w:val="14"/>
                <w:szCs w:val="14"/>
                <w:color w:val="auto"/>
              </w:rPr>
              <w:t>Total assets</w:t>
            </w: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680" w:type="dxa"/>
            <w:vAlign w:val="bottom"/>
            <w:vMerge w:val="restart"/>
          </w:tcPr>
          <w:p>
            <w:pPr>
              <w:jc w:val="right"/>
              <w:ind w:right="28"/>
              <w:spacing w:after="0"/>
              <w:rPr>
                <w:sz w:val="20"/>
                <w:szCs w:val="20"/>
                <w:color w:val="auto"/>
              </w:rPr>
            </w:pPr>
            <w:r>
              <w:rPr>
                <w:rFonts w:ascii="Arial" w:cs="Arial" w:eastAsia="Arial" w:hAnsi="Arial"/>
                <w:sz w:val="14"/>
                <w:szCs w:val="14"/>
                <w:color w:val="auto"/>
              </w:rPr>
              <w:t>99,569</w:t>
            </w:r>
          </w:p>
        </w:tc>
        <w:tc>
          <w:tcPr>
            <w:tcW w:w="100" w:type="dxa"/>
            <w:vAlign w:val="bottom"/>
          </w:tcPr>
          <w:p>
            <w:pPr>
              <w:spacing w:after="0"/>
              <w:rPr>
                <w:sz w:val="15"/>
                <w:szCs w:val="15"/>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660" w:type="dxa"/>
            <w:vAlign w:val="bottom"/>
            <w:vMerge w:val="restart"/>
          </w:tcPr>
          <w:p>
            <w:pPr>
              <w:jc w:val="right"/>
              <w:ind w:right="28"/>
              <w:spacing w:after="0"/>
              <w:rPr>
                <w:sz w:val="20"/>
                <w:szCs w:val="20"/>
                <w:color w:val="auto"/>
              </w:rPr>
            </w:pPr>
            <w:r>
              <w:rPr>
                <w:rFonts w:ascii="Arial" w:cs="Arial" w:eastAsia="Arial" w:hAnsi="Arial"/>
                <w:sz w:val="14"/>
                <w:szCs w:val="14"/>
                <w:color w:val="auto"/>
              </w:rPr>
              <w:t>44,482</w:t>
            </w:r>
          </w:p>
        </w:tc>
        <w:tc>
          <w:tcPr>
            <w:tcW w:w="0" w:type="dxa"/>
            <w:vAlign w:val="bottom"/>
          </w:tcPr>
          <w:p>
            <w:pPr>
              <w:spacing w:after="0"/>
              <w:rPr>
                <w:sz w:val="1"/>
                <w:szCs w:val="1"/>
                <w:color w:val="auto"/>
              </w:rPr>
            </w:pPr>
          </w:p>
        </w:tc>
      </w:tr>
      <w:tr>
        <w:trPr>
          <w:trHeight w:val="65"/>
        </w:trPr>
        <w:tc>
          <w:tcPr>
            <w:tcW w:w="7280" w:type="dxa"/>
            <w:vAlign w:val="bottom"/>
          </w:tcPr>
          <w:p>
            <w:pPr>
              <w:spacing w:after="0"/>
              <w:rPr>
                <w:sz w:val="5"/>
                <w:szCs w:val="5"/>
                <w:color w:val="auto"/>
              </w:rPr>
            </w:pPr>
          </w:p>
        </w:tc>
        <w:tc>
          <w:tcPr>
            <w:tcW w:w="240" w:type="dxa"/>
            <w:vAlign w:val="bottom"/>
            <w:tcBorders>
              <w:bottom w:val="single" w:sz="8" w:color="auto"/>
            </w:tcBorders>
            <w:vMerge w:val="continue"/>
          </w:tcPr>
          <w:p>
            <w:pPr>
              <w:spacing w:after="0"/>
              <w:rPr>
                <w:sz w:val="5"/>
                <w:szCs w:val="5"/>
                <w:color w:val="auto"/>
              </w:rPr>
            </w:pPr>
          </w:p>
        </w:tc>
        <w:tc>
          <w:tcPr>
            <w:tcW w:w="16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Borders>
              <w:bottom w:val="single" w:sz="8" w:color="auto"/>
            </w:tcBorders>
            <w:vMerge w:val="continue"/>
          </w:tcPr>
          <w:p>
            <w:pPr>
              <w:spacing w:after="0"/>
              <w:rPr>
                <w:sz w:val="5"/>
                <w:szCs w:val="5"/>
                <w:color w:val="auto"/>
              </w:rPr>
            </w:pPr>
          </w:p>
        </w:tc>
        <w:tc>
          <w:tcPr>
            <w:tcW w:w="16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28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equity (deficit)</w:t>
            </w: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728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7280" w:type="dxa"/>
            <w:vAlign w:val="bottom"/>
          </w:tcPr>
          <w:p>
            <w:pPr>
              <w:spacing w:after="0"/>
              <w:rPr>
                <w:sz w:val="20"/>
                <w:szCs w:val="20"/>
                <w:color w:val="auto"/>
              </w:rPr>
            </w:pPr>
            <w:r>
              <w:rPr>
                <w:rFonts w:ascii="Arial" w:cs="Arial" w:eastAsia="Arial" w:hAnsi="Arial"/>
                <w:sz w:val="14"/>
                <w:szCs w:val="14"/>
                <w:b w:val="1"/>
                <w:bCs w:val="1"/>
                <w:color w:val="auto"/>
              </w:rPr>
              <w:t>Current liabilities:</w:t>
            </w:r>
          </w:p>
        </w:tc>
        <w:tc>
          <w:tcPr>
            <w:tcW w:w="24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280" w:type="dxa"/>
            <w:vAlign w:val="bottom"/>
          </w:tcPr>
          <w:p>
            <w:pPr>
              <w:spacing w:after="0"/>
              <w:rPr>
                <w:sz w:val="20"/>
                <w:szCs w:val="20"/>
                <w:color w:val="auto"/>
              </w:rPr>
            </w:pPr>
            <w:r>
              <w:rPr>
                <w:rFonts w:ascii="Arial" w:cs="Arial" w:eastAsia="Arial" w:hAnsi="Arial"/>
                <w:sz w:val="14"/>
                <w:szCs w:val="14"/>
                <w:color w:val="auto"/>
              </w:rPr>
              <w:t>Accounts payable</w:t>
            </w: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680" w:type="dxa"/>
            <w:vAlign w:val="bottom"/>
            <w:vMerge w:val="restart"/>
          </w:tcPr>
          <w:p>
            <w:pPr>
              <w:jc w:val="right"/>
              <w:ind w:right="28"/>
              <w:spacing w:after="0"/>
              <w:rPr>
                <w:sz w:val="20"/>
                <w:szCs w:val="20"/>
                <w:color w:val="auto"/>
              </w:rPr>
            </w:pPr>
            <w:r>
              <w:rPr>
                <w:rFonts w:ascii="Arial" w:cs="Arial" w:eastAsia="Arial" w:hAnsi="Arial"/>
                <w:sz w:val="14"/>
                <w:szCs w:val="14"/>
                <w:color w:val="auto"/>
              </w:rPr>
              <w:t>500</w:t>
            </w:r>
          </w:p>
        </w:tc>
        <w:tc>
          <w:tcPr>
            <w:tcW w:w="100" w:type="dxa"/>
            <w:vAlign w:val="bottom"/>
          </w:tcPr>
          <w:p>
            <w:pPr>
              <w:spacing w:after="0"/>
              <w:rPr>
                <w:sz w:val="23"/>
                <w:szCs w:val="23"/>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660" w:type="dxa"/>
            <w:vAlign w:val="bottom"/>
            <w:vMerge w:val="restart"/>
          </w:tcPr>
          <w:p>
            <w:pPr>
              <w:jc w:val="right"/>
              <w:ind w:right="28"/>
              <w:spacing w:after="0"/>
              <w:rPr>
                <w:sz w:val="20"/>
                <w:szCs w:val="20"/>
                <w:color w:val="auto"/>
              </w:rPr>
            </w:pPr>
            <w:r>
              <w:rPr>
                <w:rFonts w:ascii="Arial" w:cs="Arial" w:eastAsia="Arial" w:hAnsi="Arial"/>
                <w:sz w:val="14"/>
                <w:szCs w:val="14"/>
                <w:color w:val="auto"/>
              </w:rPr>
              <w:t>1,100</w:t>
            </w:r>
          </w:p>
        </w:tc>
        <w:tc>
          <w:tcPr>
            <w:tcW w:w="0" w:type="dxa"/>
            <w:vAlign w:val="bottom"/>
          </w:tcPr>
          <w:p>
            <w:pPr>
              <w:spacing w:after="0"/>
              <w:rPr>
                <w:sz w:val="1"/>
                <w:szCs w:val="1"/>
                <w:color w:val="auto"/>
              </w:rPr>
            </w:pPr>
          </w:p>
        </w:tc>
      </w:tr>
      <w:tr>
        <w:trPr>
          <w:trHeight w:val="68"/>
        </w:trPr>
        <w:tc>
          <w:tcPr>
            <w:tcW w:w="728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6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7280" w:type="dxa"/>
            <w:vAlign w:val="bottom"/>
          </w:tcPr>
          <w:p>
            <w:pPr>
              <w:spacing w:after="0"/>
              <w:rPr>
                <w:sz w:val="20"/>
                <w:szCs w:val="20"/>
                <w:color w:val="auto"/>
              </w:rPr>
            </w:pPr>
            <w:r>
              <w:rPr>
                <w:rFonts w:ascii="Arial" w:cs="Arial" w:eastAsia="Arial" w:hAnsi="Arial"/>
                <w:sz w:val="14"/>
                <w:szCs w:val="14"/>
                <w:color w:val="auto"/>
              </w:rPr>
              <w:t>Accrued expenses</w:t>
            </w:r>
          </w:p>
        </w:tc>
        <w:tc>
          <w:tcPr>
            <w:tcW w:w="240" w:type="dxa"/>
            <w:vAlign w:val="bottom"/>
          </w:tcPr>
          <w:p>
            <w:pPr>
              <w:spacing w:after="0"/>
              <w:rPr>
                <w:sz w:val="17"/>
                <w:szCs w:val="17"/>
                <w:color w:val="auto"/>
              </w:rPr>
            </w:pPr>
          </w:p>
        </w:tc>
        <w:tc>
          <w:tcPr>
            <w:tcW w:w="1680" w:type="dxa"/>
            <w:vAlign w:val="bottom"/>
            <w:vMerge w:val="restart"/>
          </w:tcPr>
          <w:p>
            <w:pPr>
              <w:jc w:val="right"/>
              <w:ind w:right="28"/>
              <w:spacing w:after="0"/>
              <w:rPr>
                <w:sz w:val="20"/>
                <w:szCs w:val="20"/>
                <w:color w:val="auto"/>
              </w:rPr>
            </w:pPr>
            <w:r>
              <w:rPr>
                <w:rFonts w:ascii="Arial" w:cs="Arial" w:eastAsia="Arial" w:hAnsi="Arial"/>
                <w:sz w:val="14"/>
                <w:szCs w:val="14"/>
                <w:color w:val="auto"/>
              </w:rPr>
              <w:t>13,492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vMerge w:val="restart"/>
          </w:tcPr>
          <w:p>
            <w:pPr>
              <w:jc w:val="right"/>
              <w:ind w:right="28"/>
              <w:spacing w:after="0"/>
              <w:rPr>
                <w:sz w:val="20"/>
                <w:szCs w:val="20"/>
                <w:color w:val="auto"/>
              </w:rPr>
            </w:pPr>
            <w:r>
              <w:rPr>
                <w:rFonts w:ascii="Arial" w:cs="Arial" w:eastAsia="Arial" w:hAnsi="Arial"/>
                <w:sz w:val="14"/>
                <w:szCs w:val="14"/>
                <w:color w:val="auto"/>
              </w:rPr>
              <w:t>11,700</w:t>
            </w:r>
          </w:p>
        </w:tc>
        <w:tc>
          <w:tcPr>
            <w:tcW w:w="0" w:type="dxa"/>
            <w:vAlign w:val="bottom"/>
          </w:tcPr>
          <w:p>
            <w:pPr>
              <w:spacing w:after="0"/>
              <w:rPr>
                <w:sz w:val="1"/>
                <w:szCs w:val="1"/>
                <w:color w:val="auto"/>
              </w:rPr>
            </w:pPr>
          </w:p>
        </w:tc>
      </w:tr>
      <w:tr>
        <w:trPr>
          <w:trHeight w:val="68"/>
        </w:trPr>
        <w:tc>
          <w:tcPr>
            <w:tcW w:w="7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7280" w:type="dxa"/>
            <w:vAlign w:val="bottom"/>
          </w:tcPr>
          <w:p>
            <w:pPr>
              <w:spacing w:after="0"/>
              <w:rPr>
                <w:sz w:val="20"/>
                <w:szCs w:val="20"/>
                <w:color w:val="auto"/>
              </w:rPr>
            </w:pPr>
            <w:r>
              <w:rPr>
                <w:rFonts w:ascii="Arial" w:cs="Arial" w:eastAsia="Arial" w:hAnsi="Arial"/>
                <w:sz w:val="14"/>
                <w:szCs w:val="14"/>
                <w:color w:val="auto"/>
              </w:rPr>
              <w:t>Loan payable</w:t>
            </w:r>
          </w:p>
        </w:tc>
        <w:tc>
          <w:tcPr>
            <w:tcW w:w="240" w:type="dxa"/>
            <w:vAlign w:val="bottom"/>
          </w:tcPr>
          <w:p>
            <w:pPr>
              <w:spacing w:after="0"/>
              <w:rPr>
                <w:sz w:val="17"/>
                <w:szCs w:val="17"/>
                <w:color w:val="auto"/>
              </w:rPr>
            </w:pPr>
          </w:p>
        </w:tc>
        <w:tc>
          <w:tcPr>
            <w:tcW w:w="1680" w:type="dxa"/>
            <w:vAlign w:val="bottom"/>
            <w:vMerge w:val="restart"/>
          </w:tcPr>
          <w:p>
            <w:pPr>
              <w:jc w:val="right"/>
              <w:ind w:right="28"/>
              <w:spacing w:after="0"/>
              <w:rPr>
                <w:sz w:val="20"/>
                <w:szCs w:val="20"/>
                <w:color w:val="auto"/>
              </w:rPr>
            </w:pPr>
            <w:r>
              <w:rPr>
                <w:rFonts w:ascii="Arial" w:cs="Arial" w:eastAsia="Arial" w:hAnsi="Arial"/>
                <w:sz w:val="14"/>
                <w:szCs w:val="14"/>
                <w:color w:val="auto"/>
              </w:rPr>
              <w:t>18,905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vMerge w:val="restart"/>
          </w:tcPr>
          <w:p>
            <w:pPr>
              <w:jc w:val="right"/>
              <w:ind w:right="28"/>
              <w:spacing w:after="0"/>
              <w:rPr>
                <w:sz w:val="20"/>
                <w:szCs w:val="20"/>
                <w:color w:val="auto"/>
              </w:rPr>
            </w:pPr>
            <w:r>
              <w:rPr>
                <w:rFonts w:ascii="Arial" w:cs="Arial" w:eastAsia="Arial" w:hAnsi="Arial"/>
                <w:sz w:val="14"/>
                <w:szCs w:val="14"/>
                <w:color w:val="auto"/>
              </w:rPr>
              <w:t>21,385</w:t>
            </w:r>
          </w:p>
        </w:tc>
        <w:tc>
          <w:tcPr>
            <w:tcW w:w="0" w:type="dxa"/>
            <w:vAlign w:val="bottom"/>
          </w:tcPr>
          <w:p>
            <w:pPr>
              <w:spacing w:after="0"/>
              <w:rPr>
                <w:sz w:val="1"/>
                <w:szCs w:val="1"/>
                <w:color w:val="auto"/>
              </w:rPr>
            </w:pPr>
          </w:p>
        </w:tc>
      </w:tr>
      <w:tr>
        <w:trPr>
          <w:trHeight w:val="68"/>
        </w:trPr>
        <w:tc>
          <w:tcPr>
            <w:tcW w:w="7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7280" w:type="dxa"/>
            <w:vAlign w:val="bottom"/>
          </w:tcPr>
          <w:p>
            <w:pPr>
              <w:spacing w:after="0"/>
              <w:rPr>
                <w:sz w:val="20"/>
                <w:szCs w:val="20"/>
                <w:color w:val="auto"/>
              </w:rPr>
            </w:pPr>
            <w:r>
              <w:rPr>
                <w:rFonts w:ascii="Arial" w:cs="Arial" w:eastAsia="Arial" w:hAnsi="Arial"/>
                <w:sz w:val="14"/>
                <w:szCs w:val="14"/>
                <w:color w:val="auto"/>
              </w:rPr>
              <w:t>Lease liability</w:t>
            </w:r>
          </w:p>
        </w:tc>
        <w:tc>
          <w:tcPr>
            <w:tcW w:w="240" w:type="dxa"/>
            <w:vAlign w:val="bottom"/>
          </w:tcPr>
          <w:p>
            <w:pPr>
              <w:spacing w:after="0"/>
              <w:rPr>
                <w:sz w:val="17"/>
                <w:szCs w:val="17"/>
                <w:color w:val="auto"/>
              </w:rPr>
            </w:pPr>
          </w:p>
        </w:tc>
        <w:tc>
          <w:tcPr>
            <w:tcW w:w="1680" w:type="dxa"/>
            <w:vAlign w:val="bottom"/>
            <w:vMerge w:val="restart"/>
          </w:tcPr>
          <w:p>
            <w:pPr>
              <w:jc w:val="right"/>
              <w:ind w:right="28"/>
              <w:spacing w:after="0"/>
              <w:rPr>
                <w:sz w:val="20"/>
                <w:szCs w:val="20"/>
                <w:color w:val="auto"/>
              </w:rPr>
            </w:pPr>
            <w:r>
              <w:rPr>
                <w:rFonts w:ascii="Arial" w:cs="Arial" w:eastAsia="Arial" w:hAnsi="Arial"/>
                <w:sz w:val="14"/>
                <w:szCs w:val="14"/>
                <w:color w:val="auto"/>
              </w:rPr>
              <w:t>372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7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7280" w:type="dxa"/>
            <w:vAlign w:val="bottom"/>
          </w:tcPr>
          <w:p>
            <w:pPr>
              <w:spacing w:after="0"/>
              <w:rPr>
                <w:sz w:val="20"/>
                <w:szCs w:val="20"/>
                <w:color w:val="auto"/>
              </w:rPr>
            </w:pPr>
            <w:r>
              <w:rPr>
                <w:rFonts w:ascii="Arial" w:cs="Arial" w:eastAsia="Arial" w:hAnsi="Arial"/>
                <w:sz w:val="14"/>
                <w:szCs w:val="14"/>
                <w:color w:val="auto"/>
              </w:rPr>
              <w:t>Deferred revenue</w:t>
            </w:r>
          </w:p>
        </w:tc>
        <w:tc>
          <w:tcPr>
            <w:tcW w:w="240" w:type="dxa"/>
            <w:vAlign w:val="bottom"/>
          </w:tcPr>
          <w:p>
            <w:pPr>
              <w:spacing w:after="0"/>
              <w:rPr>
                <w:sz w:val="17"/>
                <w:szCs w:val="17"/>
                <w:color w:val="auto"/>
              </w:rPr>
            </w:pPr>
          </w:p>
        </w:tc>
        <w:tc>
          <w:tcPr>
            <w:tcW w:w="1680" w:type="dxa"/>
            <w:vAlign w:val="bottom"/>
            <w:vMerge w:val="restart"/>
          </w:tcPr>
          <w:p>
            <w:pPr>
              <w:jc w:val="right"/>
              <w:ind w:right="28"/>
              <w:spacing w:after="0"/>
              <w:rPr>
                <w:sz w:val="20"/>
                <w:szCs w:val="20"/>
                <w:color w:val="auto"/>
              </w:rPr>
            </w:pPr>
            <w:r>
              <w:rPr>
                <w:rFonts w:ascii="Arial" w:cs="Arial" w:eastAsia="Arial" w:hAnsi="Arial"/>
                <w:sz w:val="14"/>
                <w:szCs w:val="14"/>
                <w:color w:val="auto"/>
              </w:rPr>
              <w:t>1,674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vMerge w:val="restart"/>
          </w:tcPr>
          <w:p>
            <w:pPr>
              <w:jc w:val="right"/>
              <w:ind w:right="28"/>
              <w:spacing w:after="0"/>
              <w:rPr>
                <w:sz w:val="20"/>
                <w:szCs w:val="20"/>
                <w:color w:val="auto"/>
              </w:rPr>
            </w:pPr>
            <w:r>
              <w:rPr>
                <w:rFonts w:ascii="Arial" w:cs="Arial" w:eastAsia="Arial" w:hAnsi="Arial"/>
                <w:sz w:val="14"/>
                <w:szCs w:val="14"/>
                <w:color w:val="auto"/>
              </w:rPr>
              <w:t>959</w:t>
            </w:r>
          </w:p>
        </w:tc>
        <w:tc>
          <w:tcPr>
            <w:tcW w:w="0" w:type="dxa"/>
            <w:vAlign w:val="bottom"/>
          </w:tcPr>
          <w:p>
            <w:pPr>
              <w:spacing w:after="0"/>
              <w:rPr>
                <w:sz w:val="1"/>
                <w:szCs w:val="1"/>
                <w:color w:val="auto"/>
              </w:rPr>
            </w:pPr>
          </w:p>
        </w:tc>
      </w:tr>
      <w:tr>
        <w:trPr>
          <w:trHeight w:val="73"/>
        </w:trPr>
        <w:tc>
          <w:tcPr>
            <w:tcW w:w="728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68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6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280" w:type="dxa"/>
            <w:vAlign w:val="bottom"/>
          </w:tcPr>
          <w:p>
            <w:pPr>
              <w:spacing w:after="0"/>
              <w:rPr>
                <w:sz w:val="20"/>
                <w:szCs w:val="20"/>
                <w:color w:val="auto"/>
              </w:rPr>
            </w:pPr>
            <w:r>
              <w:rPr>
                <w:rFonts w:ascii="Arial" w:cs="Arial" w:eastAsia="Arial" w:hAnsi="Arial"/>
                <w:sz w:val="14"/>
                <w:szCs w:val="14"/>
                <w:color w:val="auto"/>
              </w:rPr>
              <w:t>Total current liabilities</w:t>
            </w:r>
          </w:p>
        </w:tc>
        <w:tc>
          <w:tcPr>
            <w:tcW w:w="240" w:type="dxa"/>
            <w:vAlign w:val="bottom"/>
          </w:tcPr>
          <w:p>
            <w:pPr>
              <w:spacing w:after="0"/>
              <w:rPr>
                <w:sz w:val="15"/>
                <w:szCs w:val="15"/>
                <w:color w:val="auto"/>
              </w:rPr>
            </w:pPr>
          </w:p>
        </w:tc>
        <w:tc>
          <w:tcPr>
            <w:tcW w:w="1680" w:type="dxa"/>
            <w:vAlign w:val="bottom"/>
            <w:vMerge w:val="restart"/>
          </w:tcPr>
          <w:p>
            <w:pPr>
              <w:jc w:val="right"/>
              <w:ind w:right="28"/>
              <w:spacing w:after="0"/>
              <w:rPr>
                <w:sz w:val="20"/>
                <w:szCs w:val="20"/>
                <w:color w:val="auto"/>
              </w:rPr>
            </w:pPr>
            <w:r>
              <w:rPr>
                <w:rFonts w:ascii="Arial" w:cs="Arial" w:eastAsia="Arial" w:hAnsi="Arial"/>
                <w:sz w:val="14"/>
                <w:szCs w:val="14"/>
                <w:color w:val="auto"/>
              </w:rPr>
              <w:t>34,943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vMerge w:val="restart"/>
          </w:tcPr>
          <w:p>
            <w:pPr>
              <w:jc w:val="right"/>
              <w:ind w:right="28"/>
              <w:spacing w:after="0"/>
              <w:rPr>
                <w:sz w:val="20"/>
                <w:szCs w:val="20"/>
                <w:color w:val="auto"/>
              </w:rPr>
            </w:pPr>
            <w:r>
              <w:rPr>
                <w:rFonts w:ascii="Arial" w:cs="Arial" w:eastAsia="Arial" w:hAnsi="Arial"/>
                <w:sz w:val="14"/>
                <w:szCs w:val="14"/>
                <w:color w:val="auto"/>
              </w:rPr>
              <w:t>35,144</w:t>
            </w:r>
          </w:p>
        </w:tc>
        <w:tc>
          <w:tcPr>
            <w:tcW w:w="0" w:type="dxa"/>
            <w:vAlign w:val="bottom"/>
          </w:tcPr>
          <w:p>
            <w:pPr>
              <w:spacing w:after="0"/>
              <w:rPr>
                <w:sz w:val="1"/>
                <w:szCs w:val="1"/>
                <w:color w:val="auto"/>
              </w:rPr>
            </w:pPr>
          </w:p>
        </w:tc>
      </w:tr>
      <w:tr>
        <w:trPr>
          <w:trHeight w:val="68"/>
        </w:trPr>
        <w:tc>
          <w:tcPr>
            <w:tcW w:w="7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7280" w:type="dxa"/>
            <w:vAlign w:val="bottom"/>
          </w:tcPr>
          <w:p>
            <w:pPr>
              <w:spacing w:after="0" w:line="161" w:lineRule="exact"/>
              <w:rPr>
                <w:sz w:val="20"/>
                <w:szCs w:val="20"/>
                <w:color w:val="auto"/>
              </w:rPr>
            </w:pPr>
            <w:r>
              <w:rPr>
                <w:rFonts w:ascii="Arial" w:cs="Arial" w:eastAsia="Arial" w:hAnsi="Arial"/>
                <w:sz w:val="14"/>
                <w:szCs w:val="14"/>
                <w:b w:val="1"/>
                <w:bCs w:val="1"/>
                <w:color w:val="auto"/>
              </w:rPr>
              <w:t>Non</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current liabilities:</w:t>
            </w: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7280" w:type="dxa"/>
            <w:vAlign w:val="bottom"/>
          </w:tcPr>
          <w:p>
            <w:pPr>
              <w:spacing w:after="0"/>
              <w:rPr>
                <w:sz w:val="20"/>
                <w:szCs w:val="20"/>
                <w:color w:val="auto"/>
              </w:rPr>
            </w:pPr>
            <w:r>
              <w:rPr>
                <w:rFonts w:ascii="Arial" w:cs="Arial" w:eastAsia="Arial" w:hAnsi="Arial"/>
                <w:sz w:val="14"/>
                <w:szCs w:val="14"/>
                <w:color w:val="auto"/>
              </w:rPr>
              <w:t>Deferred revenue</w:t>
            </w:r>
          </w:p>
        </w:tc>
        <w:tc>
          <w:tcPr>
            <w:tcW w:w="240" w:type="dxa"/>
            <w:vAlign w:val="bottom"/>
          </w:tcPr>
          <w:p>
            <w:pPr>
              <w:spacing w:after="0"/>
              <w:rPr>
                <w:sz w:val="23"/>
                <w:szCs w:val="23"/>
                <w:color w:val="auto"/>
              </w:rPr>
            </w:pPr>
          </w:p>
        </w:tc>
        <w:tc>
          <w:tcPr>
            <w:tcW w:w="1680" w:type="dxa"/>
            <w:vAlign w:val="bottom"/>
            <w:vMerge w:val="restart"/>
          </w:tcPr>
          <w:p>
            <w:pPr>
              <w:jc w:val="right"/>
              <w:ind w:right="28"/>
              <w:spacing w:after="0"/>
              <w:rPr>
                <w:sz w:val="20"/>
                <w:szCs w:val="20"/>
                <w:color w:val="auto"/>
              </w:rPr>
            </w:pPr>
            <w:r>
              <w:rPr>
                <w:rFonts w:ascii="Arial" w:cs="Arial" w:eastAsia="Arial" w:hAnsi="Arial"/>
                <w:sz w:val="14"/>
                <w:szCs w:val="14"/>
                <w:color w:val="auto"/>
              </w:rPr>
              <w:t>14,680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60" w:type="dxa"/>
            <w:vAlign w:val="bottom"/>
            <w:vMerge w:val="restart"/>
          </w:tcPr>
          <w:p>
            <w:pPr>
              <w:jc w:val="right"/>
              <w:ind w:right="28"/>
              <w:spacing w:after="0"/>
              <w:rPr>
                <w:sz w:val="20"/>
                <w:szCs w:val="20"/>
                <w:color w:val="auto"/>
              </w:rPr>
            </w:pPr>
            <w:r>
              <w:rPr>
                <w:rFonts w:ascii="Arial" w:cs="Arial" w:eastAsia="Arial" w:hAnsi="Arial"/>
                <w:sz w:val="14"/>
                <w:szCs w:val="14"/>
                <w:color w:val="auto"/>
              </w:rPr>
              <w:t>13,818</w:t>
            </w:r>
          </w:p>
        </w:tc>
        <w:tc>
          <w:tcPr>
            <w:tcW w:w="0" w:type="dxa"/>
            <w:vAlign w:val="bottom"/>
          </w:tcPr>
          <w:p>
            <w:pPr>
              <w:spacing w:after="0"/>
              <w:rPr>
                <w:sz w:val="1"/>
                <w:szCs w:val="1"/>
                <w:color w:val="auto"/>
              </w:rPr>
            </w:pPr>
          </w:p>
        </w:tc>
      </w:tr>
      <w:tr>
        <w:trPr>
          <w:trHeight w:val="68"/>
        </w:trPr>
        <w:tc>
          <w:tcPr>
            <w:tcW w:w="7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7280" w:type="dxa"/>
            <w:vAlign w:val="bottom"/>
          </w:tcPr>
          <w:p>
            <w:pPr>
              <w:spacing w:after="0"/>
              <w:rPr>
                <w:sz w:val="20"/>
                <w:szCs w:val="20"/>
                <w:color w:val="auto"/>
              </w:rPr>
            </w:pPr>
            <w:r>
              <w:rPr>
                <w:rFonts w:ascii="Arial" w:cs="Arial" w:eastAsia="Arial" w:hAnsi="Arial"/>
                <w:sz w:val="14"/>
                <w:szCs w:val="14"/>
                <w:color w:val="auto"/>
              </w:rPr>
              <w:t>Warrant liabilities</w:t>
            </w:r>
          </w:p>
        </w:tc>
        <w:tc>
          <w:tcPr>
            <w:tcW w:w="240" w:type="dxa"/>
            <w:vAlign w:val="bottom"/>
          </w:tcPr>
          <w:p>
            <w:pPr>
              <w:spacing w:after="0"/>
              <w:rPr>
                <w:sz w:val="17"/>
                <w:szCs w:val="17"/>
                <w:color w:val="auto"/>
              </w:rPr>
            </w:pPr>
          </w:p>
        </w:tc>
        <w:tc>
          <w:tcPr>
            <w:tcW w:w="1680" w:type="dxa"/>
            <w:vAlign w:val="bottom"/>
            <w:vMerge w:val="restart"/>
          </w:tcPr>
          <w:p>
            <w:pPr>
              <w:jc w:val="right"/>
              <w:ind w:right="28"/>
              <w:spacing w:after="0"/>
              <w:rPr>
                <w:sz w:val="20"/>
                <w:szCs w:val="20"/>
                <w:color w:val="auto"/>
              </w:rPr>
            </w:pPr>
            <w:r>
              <w:rPr>
                <w:rFonts w:ascii="Arial" w:cs="Arial" w:eastAsia="Arial" w:hAnsi="Arial"/>
                <w:sz w:val="14"/>
                <w:szCs w:val="14"/>
                <w:color w:val="auto"/>
              </w:rPr>
              <w:t>41,549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7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7280" w:type="dxa"/>
            <w:vAlign w:val="bottom"/>
          </w:tcPr>
          <w:p>
            <w:pPr>
              <w:spacing w:after="0" w:line="161" w:lineRule="exact"/>
              <w:rPr>
                <w:sz w:val="20"/>
                <w:szCs w:val="20"/>
                <w:color w:val="auto"/>
              </w:rPr>
            </w:pPr>
            <w:r>
              <w:rPr>
                <w:rFonts w:ascii="Arial" w:cs="Arial" w:eastAsia="Arial" w:hAnsi="Arial"/>
                <w:sz w:val="14"/>
                <w:szCs w:val="14"/>
                <w:color w:val="auto"/>
              </w:rPr>
              <w:t>Other long</w:t>
            </w:r>
            <w:r>
              <w:rPr>
                <w:rFonts w:ascii="MS PGothic" w:cs="MS PGothic" w:eastAsia="MS PGothic" w:hAnsi="MS PGothic"/>
                <w:sz w:val="14"/>
                <w:szCs w:val="14"/>
                <w:color w:val="auto"/>
              </w:rPr>
              <w:t>‑</w:t>
            </w:r>
            <w:r>
              <w:rPr>
                <w:rFonts w:ascii="Arial" w:cs="Arial" w:eastAsia="Arial" w:hAnsi="Arial"/>
                <w:sz w:val="14"/>
                <w:szCs w:val="14"/>
                <w:color w:val="auto"/>
              </w:rPr>
              <w:t>term liabilities</w:t>
            </w:r>
          </w:p>
        </w:tc>
        <w:tc>
          <w:tcPr>
            <w:tcW w:w="240" w:type="dxa"/>
            <w:vAlign w:val="bottom"/>
          </w:tcPr>
          <w:p>
            <w:pPr>
              <w:spacing w:after="0"/>
              <w:rPr>
                <w:sz w:val="17"/>
                <w:szCs w:val="17"/>
                <w:color w:val="auto"/>
              </w:rPr>
            </w:pPr>
          </w:p>
        </w:tc>
        <w:tc>
          <w:tcPr>
            <w:tcW w:w="17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660" w:type="dxa"/>
            <w:vAlign w:val="bottom"/>
            <w:vMerge w:val="restart"/>
          </w:tcPr>
          <w:p>
            <w:pPr>
              <w:jc w:val="right"/>
              <w:ind w:right="28"/>
              <w:spacing w:after="0"/>
              <w:rPr>
                <w:sz w:val="20"/>
                <w:szCs w:val="20"/>
                <w:color w:val="auto"/>
              </w:rPr>
            </w:pPr>
            <w:r>
              <w:rPr>
                <w:rFonts w:ascii="Arial" w:cs="Arial" w:eastAsia="Arial" w:hAnsi="Arial"/>
                <w:sz w:val="14"/>
                <w:szCs w:val="14"/>
                <w:color w:val="auto"/>
              </w:rPr>
              <w:t>938</w:t>
            </w:r>
          </w:p>
        </w:tc>
        <w:tc>
          <w:tcPr>
            <w:tcW w:w="0" w:type="dxa"/>
            <w:vAlign w:val="bottom"/>
          </w:tcPr>
          <w:p>
            <w:pPr>
              <w:spacing w:after="0"/>
              <w:rPr>
                <w:sz w:val="1"/>
                <w:szCs w:val="1"/>
                <w:color w:val="auto"/>
              </w:rPr>
            </w:pPr>
          </w:p>
        </w:tc>
      </w:tr>
      <w:tr>
        <w:trPr>
          <w:trHeight w:val="73"/>
        </w:trPr>
        <w:tc>
          <w:tcPr>
            <w:tcW w:w="7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78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1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280" w:type="dxa"/>
            <w:vAlign w:val="bottom"/>
          </w:tcPr>
          <w:p>
            <w:pPr>
              <w:spacing w:after="0"/>
              <w:rPr>
                <w:sz w:val="20"/>
                <w:szCs w:val="20"/>
                <w:color w:val="auto"/>
              </w:rPr>
            </w:pPr>
            <w:r>
              <w:rPr>
                <w:rFonts w:ascii="Arial" w:cs="Arial" w:eastAsia="Arial" w:hAnsi="Arial"/>
                <w:sz w:val="14"/>
                <w:szCs w:val="14"/>
                <w:color w:val="auto"/>
              </w:rPr>
              <w:t>Total liabilities</w:t>
            </w:r>
          </w:p>
        </w:tc>
        <w:tc>
          <w:tcPr>
            <w:tcW w:w="24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91,172</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49,900</w:t>
            </w:r>
          </w:p>
        </w:tc>
        <w:tc>
          <w:tcPr>
            <w:tcW w:w="0" w:type="dxa"/>
            <w:vAlign w:val="bottom"/>
          </w:tcPr>
          <w:p>
            <w:pPr>
              <w:spacing w:after="0"/>
              <w:rPr>
                <w:sz w:val="1"/>
                <w:szCs w:val="1"/>
                <w:color w:val="auto"/>
              </w:rPr>
            </w:pPr>
          </w:p>
        </w:tc>
      </w:tr>
      <w:tr>
        <w:trPr>
          <w:trHeight w:val="73"/>
        </w:trPr>
        <w:tc>
          <w:tcPr>
            <w:tcW w:w="728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68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6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280" w:type="dxa"/>
            <w:vAlign w:val="bottom"/>
          </w:tcPr>
          <w:p>
            <w:pPr>
              <w:spacing w:after="0"/>
              <w:rPr>
                <w:sz w:val="20"/>
                <w:szCs w:val="20"/>
                <w:color w:val="auto"/>
              </w:rPr>
            </w:pPr>
            <w:r>
              <w:rPr>
                <w:rFonts w:ascii="Arial" w:cs="Arial" w:eastAsia="Arial" w:hAnsi="Arial"/>
                <w:sz w:val="14"/>
                <w:szCs w:val="14"/>
                <w:b w:val="1"/>
                <w:bCs w:val="1"/>
                <w:color w:val="auto"/>
              </w:rPr>
              <w:t>Stockholders’ equity (deficit):</w:t>
            </w:r>
          </w:p>
        </w:tc>
        <w:tc>
          <w:tcPr>
            <w:tcW w:w="2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7280" w:type="dxa"/>
            <w:vAlign w:val="bottom"/>
          </w:tcPr>
          <w:p>
            <w:pPr>
              <w:spacing w:after="0"/>
              <w:rPr>
                <w:sz w:val="20"/>
                <w:szCs w:val="20"/>
                <w:color w:val="auto"/>
              </w:rPr>
            </w:pPr>
            <w:r>
              <w:rPr>
                <w:rFonts w:ascii="Arial" w:cs="Arial" w:eastAsia="Arial" w:hAnsi="Arial"/>
                <w:sz w:val="14"/>
                <w:szCs w:val="14"/>
                <w:color w:val="auto"/>
                <w:w w:val="94"/>
              </w:rPr>
              <w:t>Preferred stock, $0.0001 par value; 10,000,000 shares authorized; no shares issued and outstanding at December 31, 2019</w:t>
            </w:r>
          </w:p>
        </w:tc>
        <w:tc>
          <w:tcPr>
            <w:tcW w:w="2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7280" w:type="dxa"/>
            <w:vAlign w:val="bottom"/>
          </w:tcPr>
          <w:p>
            <w:pPr>
              <w:spacing w:after="0"/>
              <w:rPr>
                <w:sz w:val="20"/>
                <w:szCs w:val="20"/>
                <w:color w:val="auto"/>
              </w:rPr>
            </w:pPr>
            <w:r>
              <w:rPr>
                <w:rFonts w:ascii="Arial" w:cs="Arial" w:eastAsia="Arial" w:hAnsi="Arial"/>
                <w:sz w:val="14"/>
                <w:szCs w:val="14"/>
                <w:color w:val="auto"/>
              </w:rPr>
              <w:t>and December 31, 2018, respectively</w:t>
            </w:r>
          </w:p>
        </w:tc>
        <w:tc>
          <w:tcPr>
            <w:tcW w:w="240" w:type="dxa"/>
            <w:vAlign w:val="bottom"/>
          </w:tcPr>
          <w:p>
            <w:pPr>
              <w:spacing w:after="0"/>
              <w:rPr>
                <w:sz w:val="15"/>
                <w:szCs w:val="15"/>
                <w:color w:val="auto"/>
              </w:rPr>
            </w:pPr>
          </w:p>
        </w:tc>
        <w:tc>
          <w:tcPr>
            <w:tcW w:w="1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6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7280" w:type="dxa"/>
            <w:vAlign w:val="bottom"/>
          </w:tcPr>
          <w:p>
            <w:pPr>
              <w:spacing w:after="0"/>
              <w:rPr>
                <w:sz w:val="20"/>
                <w:szCs w:val="20"/>
                <w:color w:val="auto"/>
              </w:rPr>
            </w:pPr>
            <w:r>
              <w:rPr>
                <w:rFonts w:ascii="Arial" w:cs="Arial" w:eastAsia="Arial" w:hAnsi="Arial"/>
                <w:sz w:val="14"/>
                <w:szCs w:val="14"/>
                <w:color w:val="auto"/>
              </w:rPr>
              <w:t>Common stock, $0.0001 par value; 200,000,000 shares authorized; 86,325,547 and 22,471,776 shares issued and</w:t>
            </w:r>
          </w:p>
        </w:tc>
        <w:tc>
          <w:tcPr>
            <w:tcW w:w="2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7280" w:type="dxa"/>
            <w:vAlign w:val="bottom"/>
          </w:tcPr>
          <w:p>
            <w:pPr>
              <w:spacing w:after="0"/>
              <w:rPr>
                <w:sz w:val="20"/>
                <w:szCs w:val="20"/>
                <w:color w:val="auto"/>
              </w:rPr>
            </w:pPr>
            <w:r>
              <w:rPr>
                <w:rFonts w:ascii="Arial" w:cs="Arial" w:eastAsia="Arial" w:hAnsi="Arial"/>
                <w:sz w:val="14"/>
                <w:szCs w:val="14"/>
                <w:color w:val="auto"/>
              </w:rPr>
              <w:t>outstanding as of December 31, 2019 and December 31, 2018, respectively</w:t>
            </w:r>
          </w:p>
        </w:tc>
        <w:tc>
          <w:tcPr>
            <w:tcW w:w="240" w:type="dxa"/>
            <w:vAlign w:val="bottom"/>
          </w:tcPr>
          <w:p>
            <w:pPr>
              <w:spacing w:after="0"/>
              <w:rPr>
                <w:sz w:val="15"/>
                <w:szCs w:val="15"/>
                <w:color w:val="auto"/>
              </w:rPr>
            </w:pPr>
          </w:p>
        </w:tc>
        <w:tc>
          <w:tcPr>
            <w:tcW w:w="1680" w:type="dxa"/>
            <w:vAlign w:val="bottom"/>
          </w:tcPr>
          <w:p>
            <w:pPr>
              <w:jc w:val="right"/>
              <w:ind w:right="2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3"/>
        </w:trPr>
        <w:tc>
          <w:tcPr>
            <w:tcW w:w="7280" w:type="dxa"/>
            <w:vAlign w:val="bottom"/>
          </w:tcPr>
          <w:p>
            <w:pPr>
              <w:spacing w:after="0"/>
              <w:rPr>
                <w:sz w:val="20"/>
                <w:szCs w:val="20"/>
                <w:color w:val="auto"/>
              </w:rPr>
            </w:pPr>
            <w:r>
              <w:rPr>
                <w:rFonts w:ascii="Arial" w:cs="Arial" w:eastAsia="Arial" w:hAnsi="Arial"/>
                <w:sz w:val="14"/>
                <w:szCs w:val="14"/>
                <w:color w:val="auto"/>
              </w:rPr>
              <w:t>Additional paid-in capital</w:t>
            </w:r>
          </w:p>
        </w:tc>
        <w:tc>
          <w:tcPr>
            <w:tcW w:w="240" w:type="dxa"/>
            <w:vAlign w:val="bottom"/>
          </w:tcPr>
          <w:p>
            <w:pPr>
              <w:spacing w:after="0"/>
              <w:rPr>
                <w:sz w:val="17"/>
                <w:szCs w:val="17"/>
                <w:color w:val="auto"/>
              </w:rPr>
            </w:pPr>
          </w:p>
        </w:tc>
        <w:tc>
          <w:tcPr>
            <w:tcW w:w="1680" w:type="dxa"/>
            <w:vAlign w:val="bottom"/>
            <w:vMerge w:val="restart"/>
          </w:tcPr>
          <w:p>
            <w:pPr>
              <w:jc w:val="right"/>
              <w:ind w:right="28"/>
              <w:spacing w:after="0"/>
              <w:rPr>
                <w:sz w:val="20"/>
                <w:szCs w:val="20"/>
                <w:color w:val="auto"/>
              </w:rPr>
            </w:pPr>
            <w:r>
              <w:rPr>
                <w:rFonts w:ascii="Arial" w:cs="Arial" w:eastAsia="Arial" w:hAnsi="Arial"/>
                <w:sz w:val="14"/>
                <w:szCs w:val="14"/>
                <w:color w:val="auto"/>
              </w:rPr>
              <w:t>348,664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vMerge w:val="restart"/>
          </w:tcPr>
          <w:p>
            <w:pPr>
              <w:jc w:val="right"/>
              <w:ind w:right="28"/>
              <w:spacing w:after="0"/>
              <w:rPr>
                <w:sz w:val="20"/>
                <w:szCs w:val="20"/>
                <w:color w:val="auto"/>
              </w:rPr>
            </w:pPr>
            <w:r>
              <w:rPr>
                <w:rFonts w:ascii="Arial" w:cs="Arial" w:eastAsia="Arial" w:hAnsi="Arial"/>
                <w:sz w:val="14"/>
                <w:szCs w:val="14"/>
                <w:color w:val="auto"/>
              </w:rPr>
              <w:t>279,539</w:t>
            </w:r>
          </w:p>
        </w:tc>
        <w:tc>
          <w:tcPr>
            <w:tcW w:w="0" w:type="dxa"/>
            <w:vAlign w:val="bottom"/>
          </w:tcPr>
          <w:p>
            <w:pPr>
              <w:spacing w:after="0"/>
              <w:rPr>
                <w:sz w:val="1"/>
                <w:szCs w:val="1"/>
                <w:color w:val="auto"/>
              </w:rPr>
            </w:pPr>
          </w:p>
        </w:tc>
      </w:tr>
      <w:tr>
        <w:trPr>
          <w:trHeight w:val="68"/>
        </w:trPr>
        <w:tc>
          <w:tcPr>
            <w:tcW w:w="7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7280" w:type="dxa"/>
            <w:vAlign w:val="bottom"/>
          </w:tcPr>
          <w:p>
            <w:pPr>
              <w:spacing w:after="0"/>
              <w:rPr>
                <w:sz w:val="20"/>
                <w:szCs w:val="20"/>
                <w:color w:val="auto"/>
              </w:rPr>
            </w:pPr>
            <w:r>
              <w:rPr>
                <w:rFonts w:ascii="Arial" w:cs="Arial" w:eastAsia="Arial" w:hAnsi="Arial"/>
                <w:sz w:val="14"/>
                <w:szCs w:val="14"/>
                <w:color w:val="auto"/>
              </w:rPr>
              <w:t>Accumulated deficit</w:t>
            </w:r>
          </w:p>
        </w:tc>
        <w:tc>
          <w:tcPr>
            <w:tcW w:w="240" w:type="dxa"/>
            <w:vAlign w:val="bottom"/>
          </w:tcPr>
          <w:p>
            <w:pPr>
              <w:spacing w:after="0"/>
              <w:rPr>
                <w:sz w:val="17"/>
                <w:szCs w:val="17"/>
                <w:color w:val="auto"/>
              </w:rPr>
            </w:pPr>
          </w:p>
        </w:tc>
        <w:tc>
          <w:tcPr>
            <w:tcW w:w="1680" w:type="dxa"/>
            <w:vAlign w:val="bottom"/>
            <w:vMerge w:val="restart"/>
          </w:tcPr>
          <w:p>
            <w:pPr>
              <w:jc w:val="right"/>
              <w:spacing w:after="0"/>
              <w:rPr>
                <w:sz w:val="20"/>
                <w:szCs w:val="20"/>
                <w:color w:val="auto"/>
              </w:rPr>
            </w:pPr>
            <w:r>
              <w:rPr>
                <w:rFonts w:ascii="Arial" w:cs="Arial" w:eastAsia="Arial" w:hAnsi="Arial"/>
                <w:sz w:val="14"/>
                <w:szCs w:val="14"/>
                <w:color w:val="auto"/>
              </w:rPr>
              <w:t>(335,753)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vMerge w:val="restart"/>
          </w:tcPr>
          <w:p>
            <w:pPr>
              <w:jc w:val="right"/>
              <w:spacing w:after="0"/>
              <w:rPr>
                <w:sz w:val="20"/>
                <w:szCs w:val="20"/>
                <w:color w:val="auto"/>
              </w:rPr>
            </w:pPr>
            <w:r>
              <w:rPr>
                <w:rFonts w:ascii="Arial" w:cs="Arial" w:eastAsia="Arial" w:hAnsi="Arial"/>
                <w:sz w:val="14"/>
                <w:szCs w:val="14"/>
                <w:color w:val="auto"/>
              </w:rPr>
              <w:t>(280,403)</w:t>
            </w:r>
          </w:p>
        </w:tc>
        <w:tc>
          <w:tcPr>
            <w:tcW w:w="0" w:type="dxa"/>
            <w:vAlign w:val="bottom"/>
          </w:tcPr>
          <w:p>
            <w:pPr>
              <w:spacing w:after="0"/>
              <w:rPr>
                <w:sz w:val="1"/>
                <w:szCs w:val="1"/>
                <w:color w:val="auto"/>
              </w:rPr>
            </w:pPr>
          </w:p>
        </w:tc>
      </w:tr>
      <w:tr>
        <w:trPr>
          <w:trHeight w:val="68"/>
        </w:trPr>
        <w:tc>
          <w:tcPr>
            <w:tcW w:w="7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7280" w:type="dxa"/>
            <w:vAlign w:val="bottom"/>
          </w:tcPr>
          <w:p>
            <w:pPr>
              <w:spacing w:after="0"/>
              <w:rPr>
                <w:sz w:val="20"/>
                <w:szCs w:val="20"/>
                <w:color w:val="auto"/>
              </w:rPr>
            </w:pPr>
            <w:r>
              <w:rPr>
                <w:rFonts w:ascii="Arial" w:cs="Arial" w:eastAsia="Arial" w:hAnsi="Arial"/>
                <w:sz w:val="14"/>
                <w:szCs w:val="14"/>
                <w:color w:val="auto"/>
              </w:rPr>
              <w:t>Accumulated other comprehensive loss</w:t>
            </w:r>
          </w:p>
        </w:tc>
        <w:tc>
          <w:tcPr>
            <w:tcW w:w="240" w:type="dxa"/>
            <w:vAlign w:val="bottom"/>
          </w:tcPr>
          <w:p>
            <w:pPr>
              <w:spacing w:after="0"/>
              <w:rPr>
                <w:sz w:val="17"/>
                <w:szCs w:val="17"/>
                <w:color w:val="auto"/>
              </w:rPr>
            </w:pPr>
          </w:p>
        </w:tc>
        <w:tc>
          <w:tcPr>
            <w:tcW w:w="1680" w:type="dxa"/>
            <w:vAlign w:val="bottom"/>
            <w:vMerge w:val="restart"/>
          </w:tcPr>
          <w:p>
            <w:pPr>
              <w:jc w:val="right"/>
              <w:spacing w:after="0"/>
              <w:rPr>
                <w:sz w:val="20"/>
                <w:szCs w:val="20"/>
                <w:color w:val="auto"/>
              </w:rPr>
            </w:pPr>
            <w:r>
              <w:rPr>
                <w:rFonts w:ascii="Arial" w:cs="Arial" w:eastAsia="Arial" w:hAnsi="Arial"/>
                <w:sz w:val="14"/>
                <w:szCs w:val="14"/>
                <w:color w:val="auto"/>
              </w:rPr>
              <w:t>(4,523)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vMerge w:val="restart"/>
          </w:tcPr>
          <w:p>
            <w:pPr>
              <w:jc w:val="right"/>
              <w:spacing w:after="0"/>
              <w:rPr>
                <w:sz w:val="20"/>
                <w:szCs w:val="20"/>
                <w:color w:val="auto"/>
              </w:rPr>
            </w:pPr>
            <w:r>
              <w:rPr>
                <w:rFonts w:ascii="Arial" w:cs="Arial" w:eastAsia="Arial" w:hAnsi="Arial"/>
                <w:sz w:val="14"/>
                <w:szCs w:val="14"/>
                <w:color w:val="auto"/>
              </w:rPr>
              <w:t>(4,557)</w:t>
            </w:r>
          </w:p>
        </w:tc>
        <w:tc>
          <w:tcPr>
            <w:tcW w:w="0" w:type="dxa"/>
            <w:vAlign w:val="bottom"/>
          </w:tcPr>
          <w:p>
            <w:pPr>
              <w:spacing w:after="0"/>
              <w:rPr>
                <w:sz w:val="1"/>
                <w:szCs w:val="1"/>
                <w:color w:val="auto"/>
              </w:rPr>
            </w:pPr>
          </w:p>
        </w:tc>
      </w:tr>
      <w:tr>
        <w:trPr>
          <w:trHeight w:val="73"/>
        </w:trPr>
        <w:tc>
          <w:tcPr>
            <w:tcW w:w="728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68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6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280" w:type="dxa"/>
            <w:vAlign w:val="bottom"/>
          </w:tcPr>
          <w:p>
            <w:pPr>
              <w:spacing w:after="0"/>
              <w:rPr>
                <w:sz w:val="20"/>
                <w:szCs w:val="20"/>
                <w:color w:val="auto"/>
              </w:rPr>
            </w:pPr>
            <w:r>
              <w:rPr>
                <w:rFonts w:ascii="Arial" w:cs="Arial" w:eastAsia="Arial" w:hAnsi="Arial"/>
                <w:sz w:val="14"/>
                <w:szCs w:val="14"/>
                <w:color w:val="auto"/>
              </w:rPr>
              <w:t>Total stockholders’ equity (deficit)</w:t>
            </w:r>
          </w:p>
        </w:tc>
        <w:tc>
          <w:tcPr>
            <w:tcW w:w="240" w:type="dxa"/>
            <w:vAlign w:val="bottom"/>
          </w:tcPr>
          <w:p>
            <w:pPr>
              <w:spacing w:after="0"/>
              <w:rPr>
                <w:sz w:val="15"/>
                <w:szCs w:val="15"/>
                <w:color w:val="auto"/>
              </w:rPr>
            </w:pPr>
          </w:p>
        </w:tc>
        <w:tc>
          <w:tcPr>
            <w:tcW w:w="1680" w:type="dxa"/>
            <w:vAlign w:val="bottom"/>
            <w:vMerge w:val="restart"/>
          </w:tcPr>
          <w:p>
            <w:pPr>
              <w:jc w:val="right"/>
              <w:ind w:right="28"/>
              <w:spacing w:after="0"/>
              <w:rPr>
                <w:sz w:val="20"/>
                <w:szCs w:val="20"/>
                <w:color w:val="auto"/>
              </w:rPr>
            </w:pPr>
            <w:r>
              <w:rPr>
                <w:rFonts w:ascii="Arial" w:cs="Arial" w:eastAsia="Arial" w:hAnsi="Arial"/>
                <w:sz w:val="14"/>
                <w:szCs w:val="14"/>
                <w:color w:val="auto"/>
              </w:rPr>
              <w:t>8,397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vMerge w:val="restart"/>
          </w:tcPr>
          <w:p>
            <w:pPr>
              <w:jc w:val="right"/>
              <w:spacing w:after="0"/>
              <w:rPr>
                <w:sz w:val="20"/>
                <w:szCs w:val="20"/>
                <w:color w:val="auto"/>
              </w:rPr>
            </w:pPr>
            <w:r>
              <w:rPr>
                <w:rFonts w:ascii="Arial" w:cs="Arial" w:eastAsia="Arial" w:hAnsi="Arial"/>
                <w:sz w:val="14"/>
                <w:szCs w:val="14"/>
                <w:color w:val="auto"/>
              </w:rPr>
              <w:t>(5,418)</w:t>
            </w:r>
          </w:p>
        </w:tc>
        <w:tc>
          <w:tcPr>
            <w:tcW w:w="0" w:type="dxa"/>
            <w:vAlign w:val="bottom"/>
          </w:tcPr>
          <w:p>
            <w:pPr>
              <w:spacing w:after="0"/>
              <w:rPr>
                <w:sz w:val="1"/>
                <w:szCs w:val="1"/>
                <w:color w:val="auto"/>
              </w:rPr>
            </w:pPr>
          </w:p>
        </w:tc>
      </w:tr>
      <w:tr>
        <w:trPr>
          <w:trHeight w:val="73"/>
        </w:trPr>
        <w:tc>
          <w:tcPr>
            <w:tcW w:w="728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68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6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280" w:type="dxa"/>
            <w:vAlign w:val="bottom"/>
          </w:tcPr>
          <w:p>
            <w:pPr>
              <w:spacing w:after="0"/>
              <w:rPr>
                <w:sz w:val="20"/>
                <w:szCs w:val="20"/>
                <w:color w:val="auto"/>
              </w:rPr>
            </w:pPr>
            <w:r>
              <w:rPr>
                <w:rFonts w:ascii="Arial" w:cs="Arial" w:eastAsia="Arial" w:hAnsi="Arial"/>
                <w:sz w:val="14"/>
                <w:szCs w:val="14"/>
                <w:color w:val="auto"/>
              </w:rPr>
              <w:t>Total liabilities and stockholders’ equity (deficit)</w:t>
            </w: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680" w:type="dxa"/>
            <w:vAlign w:val="bottom"/>
            <w:vMerge w:val="restart"/>
          </w:tcPr>
          <w:p>
            <w:pPr>
              <w:jc w:val="right"/>
              <w:ind w:right="28"/>
              <w:spacing w:after="0"/>
              <w:rPr>
                <w:sz w:val="20"/>
                <w:szCs w:val="20"/>
                <w:color w:val="auto"/>
              </w:rPr>
            </w:pPr>
            <w:r>
              <w:rPr>
                <w:rFonts w:ascii="Arial" w:cs="Arial" w:eastAsia="Arial" w:hAnsi="Arial"/>
                <w:sz w:val="14"/>
                <w:szCs w:val="14"/>
                <w:color w:val="auto"/>
              </w:rPr>
              <w:t>99,569</w:t>
            </w:r>
          </w:p>
        </w:tc>
        <w:tc>
          <w:tcPr>
            <w:tcW w:w="100" w:type="dxa"/>
            <w:vAlign w:val="bottom"/>
          </w:tcPr>
          <w:p>
            <w:pPr>
              <w:spacing w:after="0"/>
              <w:rPr>
                <w:sz w:val="15"/>
                <w:szCs w:val="15"/>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660" w:type="dxa"/>
            <w:vAlign w:val="bottom"/>
            <w:vMerge w:val="restart"/>
          </w:tcPr>
          <w:p>
            <w:pPr>
              <w:jc w:val="right"/>
              <w:ind w:right="28"/>
              <w:spacing w:after="0"/>
              <w:rPr>
                <w:sz w:val="20"/>
                <w:szCs w:val="20"/>
                <w:color w:val="auto"/>
              </w:rPr>
            </w:pPr>
            <w:r>
              <w:rPr>
                <w:rFonts w:ascii="Arial" w:cs="Arial" w:eastAsia="Arial" w:hAnsi="Arial"/>
                <w:sz w:val="14"/>
                <w:szCs w:val="14"/>
                <w:color w:val="auto"/>
              </w:rPr>
              <w:t>44,482</w:t>
            </w:r>
          </w:p>
        </w:tc>
        <w:tc>
          <w:tcPr>
            <w:tcW w:w="0" w:type="dxa"/>
            <w:vAlign w:val="bottom"/>
          </w:tcPr>
          <w:p>
            <w:pPr>
              <w:spacing w:after="0"/>
              <w:rPr>
                <w:sz w:val="1"/>
                <w:szCs w:val="1"/>
                <w:color w:val="auto"/>
              </w:rPr>
            </w:pPr>
          </w:p>
        </w:tc>
      </w:tr>
      <w:tr>
        <w:trPr>
          <w:trHeight w:val="65"/>
        </w:trPr>
        <w:tc>
          <w:tcPr>
            <w:tcW w:w="7280" w:type="dxa"/>
            <w:vAlign w:val="bottom"/>
          </w:tcPr>
          <w:p>
            <w:pPr>
              <w:spacing w:after="0"/>
              <w:rPr>
                <w:sz w:val="5"/>
                <w:szCs w:val="5"/>
                <w:color w:val="auto"/>
              </w:rPr>
            </w:pPr>
          </w:p>
        </w:tc>
        <w:tc>
          <w:tcPr>
            <w:tcW w:w="240" w:type="dxa"/>
            <w:vAlign w:val="bottom"/>
            <w:tcBorders>
              <w:bottom w:val="single" w:sz="8" w:color="auto"/>
            </w:tcBorders>
            <w:vMerge w:val="continue"/>
          </w:tcPr>
          <w:p>
            <w:pPr>
              <w:spacing w:after="0"/>
              <w:rPr>
                <w:sz w:val="5"/>
                <w:szCs w:val="5"/>
                <w:color w:val="auto"/>
              </w:rPr>
            </w:pPr>
          </w:p>
        </w:tc>
        <w:tc>
          <w:tcPr>
            <w:tcW w:w="16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Borders>
              <w:bottom w:val="single" w:sz="8" w:color="auto"/>
            </w:tcBorders>
            <w:vMerge w:val="continue"/>
          </w:tcPr>
          <w:p>
            <w:pPr>
              <w:spacing w:after="0"/>
              <w:rPr>
                <w:sz w:val="5"/>
                <w:szCs w:val="5"/>
                <w:color w:val="auto"/>
              </w:rPr>
            </w:pPr>
          </w:p>
        </w:tc>
        <w:tc>
          <w:tcPr>
            <w:tcW w:w="16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00"/>
          </w:cols>
          <w:pgMar w:left="360" w:top="823"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Selecta Biosciences, Inc. and Subsidiaries</w:t>
      </w:r>
    </w:p>
    <w:p>
      <w:pPr>
        <w:spacing w:after="0" w:line="63"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63"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(Amounts in thousands, except share data and per share data)</w:t>
      </w:r>
    </w:p>
    <w:p>
      <w:pPr>
        <w:spacing w:after="0" w:line="200" w:lineRule="exact"/>
        <w:rPr>
          <w:sz w:val="20"/>
          <w:szCs w:val="20"/>
          <w:color w:val="auto"/>
        </w:rPr>
      </w:pPr>
    </w:p>
    <w:p>
      <w:pPr>
        <w:spacing w:after="0" w:line="35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2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December 31,</w:t>
            </w:r>
          </w:p>
        </w:tc>
        <w:tc>
          <w:tcPr>
            <w:tcW w:w="400" w:type="dxa"/>
            <w:vAlign w:val="bottom"/>
          </w:tcPr>
          <w:p>
            <w:pPr>
              <w:spacing w:after="0"/>
              <w:rPr>
                <w:sz w:val="16"/>
                <w:szCs w:val="16"/>
                <w:color w:val="auto"/>
              </w:rPr>
            </w:pPr>
          </w:p>
        </w:tc>
        <w:tc>
          <w:tcPr>
            <w:tcW w:w="3060" w:type="dxa"/>
            <w:vAlign w:val="bottom"/>
            <w:gridSpan w:val="4"/>
          </w:tcPr>
          <w:p>
            <w:pPr>
              <w:jc w:val="right"/>
              <w:ind w:right="848"/>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63"/>
        </w:trPr>
        <w:tc>
          <w:tcPr>
            <w:tcW w:w="4120" w:type="dxa"/>
            <w:vAlign w:val="bottom"/>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0"/>
        </w:trPr>
        <w:tc>
          <w:tcPr>
            <w:tcW w:w="4120" w:type="dxa"/>
            <w:vAlign w:val="bottom"/>
          </w:tcPr>
          <w:p>
            <w:pPr>
              <w:spacing w:after="0"/>
              <w:rPr>
                <w:sz w:val="20"/>
                <w:szCs w:val="20"/>
                <w:color w:val="auto"/>
              </w:rPr>
            </w:pPr>
            <w:r>
              <w:rPr>
                <w:rFonts w:ascii="Arial" w:cs="Arial" w:eastAsia="Arial" w:hAnsi="Arial"/>
                <w:sz w:val="14"/>
                <w:szCs w:val="14"/>
                <w:color w:val="auto"/>
              </w:rPr>
              <w:t>Grant and collaboration revenue</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6,654</w:t>
            </w:r>
          </w:p>
        </w:tc>
        <w:tc>
          <w:tcPr>
            <w:tcW w:w="120" w:type="dxa"/>
            <w:vAlign w:val="bottom"/>
          </w:tcPr>
          <w:p>
            <w:pPr>
              <w:spacing w:after="0"/>
              <w:rPr>
                <w:sz w:val="16"/>
                <w:szCs w:val="16"/>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903</w:t>
            </w:r>
          </w:p>
        </w:tc>
        <w:tc>
          <w:tcPr>
            <w:tcW w:w="100" w:type="dxa"/>
            <w:vAlign w:val="bottom"/>
          </w:tcPr>
          <w:p>
            <w:pPr>
              <w:spacing w:after="0"/>
              <w:rPr>
                <w:sz w:val="16"/>
                <w:szCs w:val="16"/>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6,677</w:t>
            </w:r>
          </w:p>
        </w:tc>
        <w:tc>
          <w:tcPr>
            <w:tcW w:w="100" w:type="dxa"/>
            <w:vAlign w:val="bottom"/>
          </w:tcPr>
          <w:p>
            <w:pPr>
              <w:spacing w:after="0"/>
              <w:rPr>
                <w:sz w:val="16"/>
                <w:szCs w:val="16"/>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903</w:t>
            </w:r>
          </w:p>
        </w:tc>
        <w:tc>
          <w:tcPr>
            <w:tcW w:w="0" w:type="dxa"/>
            <w:vAlign w:val="bottom"/>
          </w:tcPr>
          <w:p>
            <w:pPr>
              <w:spacing w:after="0"/>
              <w:rPr>
                <w:sz w:val="1"/>
                <w:szCs w:val="1"/>
                <w:color w:val="auto"/>
              </w:rPr>
            </w:pPr>
          </w:p>
        </w:tc>
      </w:tr>
      <w:tr>
        <w:trPr>
          <w:trHeight w:val="257"/>
        </w:trPr>
        <w:tc>
          <w:tcPr>
            <w:tcW w:w="4120" w:type="dxa"/>
            <w:vAlign w:val="bottom"/>
          </w:tcPr>
          <w:p>
            <w:pPr>
              <w:spacing w:after="0"/>
              <w:rPr>
                <w:sz w:val="20"/>
                <w:szCs w:val="20"/>
                <w:color w:val="auto"/>
              </w:rPr>
            </w:pPr>
            <w:r>
              <w:rPr>
                <w:rFonts w:ascii="Arial" w:cs="Arial" w:eastAsia="Arial" w:hAnsi="Arial"/>
                <w:sz w:val="14"/>
                <w:szCs w:val="14"/>
                <w:color w:val="auto"/>
              </w:rPr>
              <w:t>Operating expenses:</w:t>
            </w: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120" w:type="dxa"/>
            <w:vAlign w:val="bottom"/>
          </w:tcPr>
          <w:p>
            <w:pPr>
              <w:ind w:left="140"/>
              <w:spacing w:after="0"/>
              <w:rPr>
                <w:sz w:val="20"/>
                <w:szCs w:val="20"/>
                <w:color w:val="auto"/>
              </w:rPr>
            </w:pPr>
            <w:r>
              <w:rPr>
                <w:rFonts w:ascii="Arial" w:cs="Arial" w:eastAsia="Arial" w:hAnsi="Arial"/>
                <w:sz w:val="14"/>
                <w:szCs w:val="14"/>
                <w:color w:val="auto"/>
              </w:rPr>
              <w:t>Research and development</w:t>
            </w:r>
          </w:p>
        </w:tc>
        <w:tc>
          <w:tcPr>
            <w:tcW w:w="40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15,152</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10,256</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42,743</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47,687</w:t>
            </w:r>
          </w:p>
        </w:tc>
        <w:tc>
          <w:tcPr>
            <w:tcW w:w="0" w:type="dxa"/>
            <w:vAlign w:val="bottom"/>
          </w:tcPr>
          <w:p>
            <w:pPr>
              <w:spacing w:after="0"/>
              <w:rPr>
                <w:sz w:val="1"/>
                <w:szCs w:val="1"/>
                <w:color w:val="auto"/>
              </w:rPr>
            </w:pPr>
          </w:p>
        </w:tc>
      </w:tr>
      <w:tr>
        <w:trPr>
          <w:trHeight w:val="270"/>
        </w:trPr>
        <w:tc>
          <w:tcPr>
            <w:tcW w:w="4120" w:type="dxa"/>
            <w:vAlign w:val="bottom"/>
          </w:tcPr>
          <w:p>
            <w:pPr>
              <w:ind w:left="140"/>
              <w:spacing w:after="0"/>
              <w:rPr>
                <w:sz w:val="20"/>
                <w:szCs w:val="20"/>
                <w:color w:val="auto"/>
              </w:rPr>
            </w:pPr>
            <w:r>
              <w:rPr>
                <w:rFonts w:ascii="Arial" w:cs="Arial" w:eastAsia="Arial" w:hAnsi="Arial"/>
                <w:sz w:val="14"/>
                <w:szCs w:val="14"/>
                <w:color w:val="auto"/>
              </w:rPr>
              <w:t>General and administrative</w:t>
            </w:r>
          </w:p>
        </w:tc>
        <w:tc>
          <w:tcPr>
            <w:tcW w:w="40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4,072</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5,146</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16,389</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18,238</w:t>
            </w:r>
          </w:p>
        </w:tc>
        <w:tc>
          <w:tcPr>
            <w:tcW w:w="0" w:type="dxa"/>
            <w:vAlign w:val="bottom"/>
          </w:tcPr>
          <w:p>
            <w:pPr>
              <w:spacing w:after="0"/>
              <w:rPr>
                <w:sz w:val="1"/>
                <w:szCs w:val="1"/>
                <w:color w:val="auto"/>
              </w:rPr>
            </w:pPr>
          </w:p>
        </w:tc>
      </w:tr>
      <w:tr>
        <w:trPr>
          <w:trHeight w:val="80"/>
        </w:trPr>
        <w:tc>
          <w:tcPr>
            <w:tcW w:w="4120" w:type="dxa"/>
            <w:vAlign w:val="bottom"/>
            <w:vMerge w:val="restart"/>
          </w:tcPr>
          <w:p>
            <w:pPr>
              <w:spacing w:after="0"/>
              <w:rPr>
                <w:sz w:val="20"/>
                <w:szCs w:val="20"/>
                <w:color w:val="auto"/>
              </w:rPr>
            </w:pPr>
            <w:r>
              <w:rPr>
                <w:rFonts w:ascii="Arial" w:cs="Arial" w:eastAsia="Arial" w:hAnsi="Arial"/>
                <w:sz w:val="14"/>
                <w:szCs w:val="14"/>
                <w:color w:val="auto"/>
              </w:rPr>
              <w:t>Total operating expenses</w:t>
            </w:r>
          </w:p>
        </w:tc>
        <w:tc>
          <w:tcPr>
            <w:tcW w:w="40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412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19,224</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15,402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59,132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65,925</w:t>
            </w:r>
          </w:p>
        </w:tc>
        <w:tc>
          <w:tcPr>
            <w:tcW w:w="0" w:type="dxa"/>
            <w:vAlign w:val="bottom"/>
          </w:tcPr>
          <w:p>
            <w:pPr>
              <w:spacing w:after="0"/>
              <w:rPr>
                <w:sz w:val="1"/>
                <w:szCs w:val="1"/>
                <w:color w:val="auto"/>
              </w:rPr>
            </w:pPr>
          </w:p>
        </w:tc>
      </w:tr>
      <w:tr>
        <w:trPr>
          <w:trHeight w:val="66"/>
        </w:trPr>
        <w:tc>
          <w:tcPr>
            <w:tcW w:w="4120" w:type="dxa"/>
            <w:vAlign w:val="bottom"/>
            <w:vMerge w:val="restart"/>
          </w:tcPr>
          <w:p>
            <w:pPr>
              <w:spacing w:after="0"/>
              <w:rPr>
                <w:sz w:val="20"/>
                <w:szCs w:val="20"/>
                <w:color w:val="auto"/>
              </w:rPr>
            </w:pPr>
            <w:r>
              <w:rPr>
                <w:rFonts w:ascii="Arial" w:cs="Arial" w:eastAsia="Arial" w:hAnsi="Arial"/>
                <w:sz w:val="14"/>
                <w:szCs w:val="14"/>
                <w:color w:val="auto"/>
              </w:rPr>
              <w:t>Loss from operations</w:t>
            </w:r>
          </w:p>
        </w:tc>
        <w:tc>
          <w:tcPr>
            <w:tcW w:w="4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412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(12,570)</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(14,499)</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(52,455)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(65,022)</w:t>
            </w:r>
          </w:p>
        </w:tc>
        <w:tc>
          <w:tcPr>
            <w:tcW w:w="0" w:type="dxa"/>
            <w:vAlign w:val="bottom"/>
          </w:tcPr>
          <w:p>
            <w:pPr>
              <w:spacing w:after="0"/>
              <w:rPr>
                <w:sz w:val="1"/>
                <w:szCs w:val="1"/>
                <w:color w:val="auto"/>
              </w:rPr>
            </w:pPr>
          </w:p>
        </w:tc>
      </w:tr>
      <w:tr>
        <w:trPr>
          <w:trHeight w:val="257"/>
        </w:trPr>
        <w:tc>
          <w:tcPr>
            <w:tcW w:w="4120" w:type="dxa"/>
            <w:vAlign w:val="bottom"/>
          </w:tcPr>
          <w:p>
            <w:pPr>
              <w:spacing w:after="0"/>
              <w:rPr>
                <w:sz w:val="20"/>
                <w:szCs w:val="20"/>
                <w:color w:val="auto"/>
              </w:rPr>
            </w:pPr>
            <w:r>
              <w:rPr>
                <w:rFonts w:ascii="Arial" w:cs="Arial" w:eastAsia="Arial" w:hAnsi="Arial"/>
                <w:sz w:val="14"/>
                <w:szCs w:val="14"/>
                <w:color w:val="auto"/>
              </w:rPr>
              <w:t>Investment income</w:t>
            </w:r>
          </w:p>
        </w:tc>
        <w:tc>
          <w:tcPr>
            <w:tcW w:w="40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127</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221</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834</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1,050</w:t>
            </w:r>
          </w:p>
        </w:tc>
        <w:tc>
          <w:tcPr>
            <w:tcW w:w="0" w:type="dxa"/>
            <w:vAlign w:val="bottom"/>
          </w:tcPr>
          <w:p>
            <w:pPr>
              <w:spacing w:after="0"/>
              <w:rPr>
                <w:sz w:val="1"/>
                <w:szCs w:val="1"/>
                <w:color w:val="auto"/>
              </w:rPr>
            </w:pPr>
          </w:p>
        </w:tc>
      </w:tr>
      <w:tr>
        <w:trPr>
          <w:trHeight w:val="270"/>
        </w:trPr>
        <w:tc>
          <w:tcPr>
            <w:tcW w:w="4120" w:type="dxa"/>
            <w:vAlign w:val="bottom"/>
          </w:tcPr>
          <w:p>
            <w:pPr>
              <w:spacing w:after="0"/>
              <w:rPr>
                <w:sz w:val="20"/>
                <w:szCs w:val="20"/>
                <w:color w:val="auto"/>
              </w:rPr>
            </w:pPr>
            <w:r>
              <w:rPr>
                <w:rFonts w:ascii="Arial" w:cs="Arial" w:eastAsia="Arial" w:hAnsi="Arial"/>
                <w:sz w:val="14"/>
                <w:szCs w:val="14"/>
                <w:color w:val="auto"/>
              </w:rPr>
              <w:t>Foreign currency transaction (loss), net</w:t>
            </w:r>
          </w:p>
        </w:tc>
        <w:tc>
          <w:tcPr>
            <w:tcW w:w="400" w:type="dxa"/>
            <w:vAlign w:val="bottom"/>
          </w:tcPr>
          <w:p>
            <w:pPr>
              <w:spacing w:after="0"/>
              <w:rPr>
                <w:sz w:val="23"/>
                <w:szCs w:val="23"/>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270"/>
        </w:trPr>
        <w:tc>
          <w:tcPr>
            <w:tcW w:w="4120" w:type="dxa"/>
            <w:vAlign w:val="bottom"/>
          </w:tcPr>
          <w:p>
            <w:pPr>
              <w:spacing w:after="0"/>
              <w:rPr>
                <w:sz w:val="20"/>
                <w:szCs w:val="20"/>
                <w:color w:val="auto"/>
              </w:rPr>
            </w:pPr>
            <w:r>
              <w:rPr>
                <w:rFonts w:ascii="Arial" w:cs="Arial" w:eastAsia="Arial" w:hAnsi="Arial"/>
                <w:sz w:val="14"/>
                <w:szCs w:val="14"/>
                <w:color w:val="auto"/>
              </w:rPr>
              <w:t>Interest expense</w:t>
            </w:r>
          </w:p>
        </w:tc>
        <w:tc>
          <w:tcPr>
            <w:tcW w:w="400" w:type="dxa"/>
            <w:vAlign w:val="bottom"/>
          </w:tcPr>
          <w:p>
            <w:pPr>
              <w:spacing w:after="0"/>
              <w:rPr>
                <w:sz w:val="23"/>
                <w:szCs w:val="23"/>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(335)</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(395)</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(1,519)</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(1,494)</w:t>
            </w:r>
          </w:p>
        </w:tc>
        <w:tc>
          <w:tcPr>
            <w:tcW w:w="0" w:type="dxa"/>
            <w:vAlign w:val="bottom"/>
          </w:tcPr>
          <w:p>
            <w:pPr>
              <w:spacing w:after="0"/>
              <w:rPr>
                <w:sz w:val="1"/>
                <w:szCs w:val="1"/>
                <w:color w:val="auto"/>
              </w:rPr>
            </w:pPr>
          </w:p>
        </w:tc>
      </w:tr>
      <w:tr>
        <w:trPr>
          <w:trHeight w:val="270"/>
        </w:trPr>
        <w:tc>
          <w:tcPr>
            <w:tcW w:w="4120" w:type="dxa"/>
            <w:vAlign w:val="bottom"/>
          </w:tcPr>
          <w:p>
            <w:pPr>
              <w:spacing w:after="0"/>
              <w:rPr>
                <w:sz w:val="20"/>
                <w:szCs w:val="20"/>
                <w:color w:val="auto"/>
              </w:rPr>
            </w:pPr>
            <w:r>
              <w:rPr>
                <w:rFonts w:ascii="Arial" w:cs="Arial" w:eastAsia="Arial" w:hAnsi="Arial"/>
                <w:sz w:val="14"/>
                <w:szCs w:val="14"/>
                <w:color w:val="auto"/>
              </w:rPr>
              <w:t>Change in fair value of warrant liabilities</w:t>
            </w:r>
          </w:p>
        </w:tc>
        <w:tc>
          <w:tcPr>
            <w:tcW w:w="400" w:type="dxa"/>
            <w:vAlign w:val="bottom"/>
          </w:tcPr>
          <w:p>
            <w:pPr>
              <w:spacing w:after="0"/>
              <w:rPr>
                <w:sz w:val="23"/>
                <w:szCs w:val="23"/>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(857)</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(857)</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4120" w:type="dxa"/>
            <w:vAlign w:val="bottom"/>
          </w:tcPr>
          <w:p>
            <w:pPr>
              <w:spacing w:after="0"/>
              <w:rPr>
                <w:sz w:val="20"/>
                <w:szCs w:val="20"/>
                <w:color w:val="auto"/>
              </w:rPr>
            </w:pPr>
            <w:r>
              <w:rPr>
                <w:rFonts w:ascii="Arial" w:cs="Arial" w:eastAsia="Arial" w:hAnsi="Arial"/>
                <w:sz w:val="14"/>
                <w:szCs w:val="14"/>
                <w:color w:val="auto"/>
              </w:rPr>
              <w:t>Other (expense), net</w:t>
            </w:r>
          </w:p>
        </w:tc>
        <w:tc>
          <w:tcPr>
            <w:tcW w:w="400" w:type="dxa"/>
            <w:vAlign w:val="bottom"/>
          </w:tcPr>
          <w:p>
            <w:pPr>
              <w:spacing w:after="0"/>
              <w:rPr>
                <w:sz w:val="23"/>
                <w:szCs w:val="23"/>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(1,239)</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(1,306)</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80"/>
        </w:trPr>
        <w:tc>
          <w:tcPr>
            <w:tcW w:w="4120" w:type="dxa"/>
            <w:vAlign w:val="bottom"/>
            <w:vMerge w:val="restart"/>
          </w:tcPr>
          <w:p>
            <w:pPr>
              <w:spacing w:after="0"/>
              <w:rPr>
                <w:sz w:val="20"/>
                <w:szCs w:val="20"/>
                <w:color w:val="auto"/>
              </w:rPr>
            </w:pPr>
            <w:r>
              <w:rPr>
                <w:rFonts w:ascii="Arial" w:cs="Arial" w:eastAsia="Arial" w:hAnsi="Arial"/>
                <w:sz w:val="14"/>
                <w:szCs w:val="14"/>
                <w:color w:val="auto"/>
              </w:rPr>
              <w:t>Net loss</w:t>
            </w:r>
          </w:p>
        </w:tc>
        <w:tc>
          <w:tcPr>
            <w:tcW w:w="40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412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(14,888)</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(14,651)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(55,350)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(65,336)</w:t>
            </w:r>
          </w:p>
        </w:tc>
        <w:tc>
          <w:tcPr>
            <w:tcW w:w="0" w:type="dxa"/>
            <w:vAlign w:val="bottom"/>
          </w:tcPr>
          <w:p>
            <w:pPr>
              <w:spacing w:after="0"/>
              <w:rPr>
                <w:sz w:val="1"/>
                <w:szCs w:val="1"/>
                <w:color w:val="auto"/>
              </w:rPr>
            </w:pPr>
          </w:p>
        </w:tc>
      </w:tr>
      <w:tr>
        <w:trPr>
          <w:trHeight w:val="66"/>
        </w:trPr>
        <w:tc>
          <w:tcPr>
            <w:tcW w:w="4120" w:type="dxa"/>
            <w:vAlign w:val="bottom"/>
            <w:vMerge w:val="restart"/>
          </w:tcPr>
          <w:p>
            <w:pPr>
              <w:spacing w:after="0"/>
              <w:rPr>
                <w:sz w:val="20"/>
                <w:szCs w:val="20"/>
                <w:color w:val="auto"/>
              </w:rPr>
            </w:pPr>
            <w:r>
              <w:rPr>
                <w:rFonts w:ascii="Arial" w:cs="Arial" w:eastAsia="Arial" w:hAnsi="Arial"/>
                <w:sz w:val="14"/>
                <w:szCs w:val="14"/>
                <w:color w:val="auto"/>
              </w:rPr>
              <w:t>Other comprehensive loss:</w:t>
            </w:r>
          </w:p>
        </w:tc>
        <w:tc>
          <w:tcPr>
            <w:tcW w:w="4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412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4120" w:type="dxa"/>
            <w:vAlign w:val="bottom"/>
          </w:tcPr>
          <w:p>
            <w:pPr>
              <w:ind w:left="140"/>
              <w:spacing w:after="0"/>
              <w:rPr>
                <w:sz w:val="20"/>
                <w:szCs w:val="20"/>
                <w:color w:val="auto"/>
              </w:rPr>
            </w:pPr>
            <w:r>
              <w:rPr>
                <w:rFonts w:ascii="Arial" w:cs="Arial" w:eastAsia="Arial" w:hAnsi="Arial"/>
                <w:sz w:val="14"/>
                <w:szCs w:val="14"/>
                <w:color w:val="auto"/>
              </w:rPr>
              <w:t>Foreign currency translation adjustment</w:t>
            </w:r>
          </w:p>
        </w:tc>
        <w:tc>
          <w:tcPr>
            <w:tcW w:w="400" w:type="dxa"/>
            <w:vAlign w:val="bottom"/>
          </w:tcPr>
          <w:p>
            <w:pPr>
              <w:spacing w:after="0"/>
              <w:rPr>
                <w:sz w:val="24"/>
                <w:szCs w:val="24"/>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270"/>
        </w:trPr>
        <w:tc>
          <w:tcPr>
            <w:tcW w:w="4120" w:type="dxa"/>
            <w:vAlign w:val="bottom"/>
          </w:tcPr>
          <w:p>
            <w:pPr>
              <w:ind w:left="140"/>
              <w:spacing w:after="0"/>
              <w:rPr>
                <w:sz w:val="20"/>
                <w:szCs w:val="20"/>
                <w:color w:val="auto"/>
              </w:rPr>
            </w:pPr>
            <w:r>
              <w:rPr>
                <w:rFonts w:ascii="Arial" w:cs="Arial" w:eastAsia="Arial" w:hAnsi="Arial"/>
                <w:sz w:val="14"/>
                <w:szCs w:val="14"/>
                <w:color w:val="auto"/>
              </w:rPr>
              <w:t>Unrealized gain on securities</w:t>
            </w:r>
          </w:p>
        </w:tc>
        <w:tc>
          <w:tcPr>
            <w:tcW w:w="400" w:type="dxa"/>
            <w:vAlign w:val="bottom"/>
          </w:tcPr>
          <w:p>
            <w:pPr>
              <w:spacing w:after="0"/>
              <w:rPr>
                <w:sz w:val="23"/>
                <w:szCs w:val="23"/>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3"/>
                <w:szCs w:val="23"/>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3"/>
                <w:szCs w:val="23"/>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80"/>
        </w:trPr>
        <w:tc>
          <w:tcPr>
            <w:tcW w:w="4120" w:type="dxa"/>
            <w:vAlign w:val="bottom"/>
            <w:vMerge w:val="restart"/>
          </w:tcPr>
          <w:p>
            <w:pPr>
              <w:spacing w:after="0"/>
              <w:rPr>
                <w:sz w:val="20"/>
                <w:szCs w:val="20"/>
                <w:color w:val="auto"/>
              </w:rPr>
            </w:pPr>
            <w:r>
              <w:rPr>
                <w:rFonts w:ascii="Arial" w:cs="Arial" w:eastAsia="Arial" w:hAnsi="Arial"/>
                <w:sz w:val="14"/>
                <w:szCs w:val="14"/>
                <w:color w:val="auto"/>
              </w:rPr>
              <w:t>Total comprehensive loss</w:t>
            </w:r>
          </w:p>
        </w:tc>
        <w:tc>
          <w:tcPr>
            <w:tcW w:w="40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4120" w:type="dxa"/>
            <w:vAlign w:val="bottom"/>
            <w:vMerge w:val="continue"/>
          </w:tcPr>
          <w:p>
            <w:pPr>
              <w:spacing w:after="0"/>
              <w:rPr>
                <w:sz w:val="16"/>
                <w:szCs w:val="16"/>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(14,878)</w:t>
            </w:r>
          </w:p>
        </w:tc>
        <w:tc>
          <w:tcPr>
            <w:tcW w:w="120" w:type="dxa"/>
            <w:vAlign w:val="bottom"/>
          </w:tcPr>
          <w:p>
            <w:pPr>
              <w:spacing w:after="0"/>
              <w:rPr>
                <w:sz w:val="16"/>
                <w:szCs w:val="16"/>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(14,691)</w:t>
            </w:r>
          </w:p>
        </w:tc>
        <w:tc>
          <w:tcPr>
            <w:tcW w:w="100" w:type="dxa"/>
            <w:vAlign w:val="bottom"/>
          </w:tcPr>
          <w:p>
            <w:pPr>
              <w:spacing w:after="0"/>
              <w:rPr>
                <w:sz w:val="16"/>
                <w:szCs w:val="16"/>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(55,316)</w:t>
            </w:r>
          </w:p>
        </w:tc>
        <w:tc>
          <w:tcPr>
            <w:tcW w:w="100" w:type="dxa"/>
            <w:vAlign w:val="bottom"/>
          </w:tcPr>
          <w:p>
            <w:pPr>
              <w:spacing w:after="0"/>
              <w:rPr>
                <w:sz w:val="16"/>
                <w:szCs w:val="16"/>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(65,473)</w:t>
            </w:r>
          </w:p>
        </w:tc>
        <w:tc>
          <w:tcPr>
            <w:tcW w:w="0" w:type="dxa"/>
            <w:vAlign w:val="bottom"/>
          </w:tcPr>
          <w:p>
            <w:pPr>
              <w:spacing w:after="0"/>
              <w:rPr>
                <w:sz w:val="1"/>
                <w:szCs w:val="1"/>
                <w:color w:val="auto"/>
              </w:rPr>
            </w:pPr>
          </w:p>
        </w:tc>
      </w:tr>
      <w:tr>
        <w:trPr>
          <w:trHeight w:val="53"/>
        </w:trPr>
        <w:tc>
          <w:tcPr>
            <w:tcW w:w="4120" w:type="dxa"/>
            <w:vAlign w:val="bottom"/>
            <w:vMerge w:val="restart"/>
          </w:tcPr>
          <w:p>
            <w:pPr>
              <w:spacing w:after="0"/>
              <w:rPr>
                <w:sz w:val="20"/>
                <w:szCs w:val="20"/>
                <w:color w:val="auto"/>
              </w:rPr>
            </w:pPr>
            <w:r>
              <w:rPr>
                <w:rFonts w:ascii="Arial" w:cs="Arial" w:eastAsia="Arial" w:hAnsi="Arial"/>
                <w:sz w:val="14"/>
                <w:szCs w:val="14"/>
                <w:color w:val="auto"/>
              </w:rPr>
              <w:t>Net loss per share:</w:t>
            </w:r>
          </w:p>
        </w:tc>
        <w:tc>
          <w:tcPr>
            <w:tcW w:w="4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4120" w:type="dxa"/>
            <w:vAlign w:val="bottom"/>
            <w:vMerge w:val="continue"/>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8"/>
        </w:trPr>
        <w:tc>
          <w:tcPr>
            <w:tcW w:w="412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120" w:type="dxa"/>
            <w:vAlign w:val="bottom"/>
          </w:tcPr>
          <w:p>
            <w:pPr>
              <w:ind w:left="140"/>
              <w:spacing w:after="0"/>
              <w:rPr>
                <w:sz w:val="20"/>
                <w:szCs w:val="20"/>
                <w:color w:val="auto"/>
              </w:rPr>
            </w:pPr>
            <w:r>
              <w:rPr>
                <w:rFonts w:ascii="Arial" w:cs="Arial" w:eastAsia="Arial" w:hAnsi="Arial"/>
                <w:sz w:val="14"/>
                <w:szCs w:val="14"/>
                <w:color w:val="auto"/>
              </w:rPr>
              <w:t>Basic and diluted</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(0.28)</w:t>
            </w:r>
          </w:p>
        </w:tc>
        <w:tc>
          <w:tcPr>
            <w:tcW w:w="120" w:type="dxa"/>
            <w:vAlign w:val="bottom"/>
          </w:tcPr>
          <w:p>
            <w:pPr>
              <w:spacing w:after="0"/>
              <w:rPr>
                <w:sz w:val="23"/>
                <w:szCs w:val="23"/>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(0.65)</w:t>
            </w:r>
          </w:p>
        </w:tc>
        <w:tc>
          <w:tcPr>
            <w:tcW w:w="100" w:type="dxa"/>
            <w:vAlign w:val="bottom"/>
          </w:tcPr>
          <w:p>
            <w:pPr>
              <w:spacing w:after="0"/>
              <w:rPr>
                <w:sz w:val="23"/>
                <w:szCs w:val="23"/>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(1.22)</w:t>
            </w:r>
          </w:p>
        </w:tc>
        <w:tc>
          <w:tcPr>
            <w:tcW w:w="100" w:type="dxa"/>
            <w:vAlign w:val="bottom"/>
          </w:tcPr>
          <w:p>
            <w:pPr>
              <w:spacing w:after="0"/>
              <w:rPr>
                <w:sz w:val="23"/>
                <w:szCs w:val="23"/>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(2.92)</w:t>
            </w:r>
          </w:p>
        </w:tc>
        <w:tc>
          <w:tcPr>
            <w:tcW w:w="0" w:type="dxa"/>
            <w:vAlign w:val="bottom"/>
          </w:tcPr>
          <w:p>
            <w:pPr>
              <w:spacing w:after="0"/>
              <w:rPr>
                <w:sz w:val="1"/>
                <w:szCs w:val="1"/>
                <w:color w:val="auto"/>
              </w:rPr>
            </w:pPr>
          </w:p>
        </w:tc>
      </w:tr>
      <w:tr>
        <w:trPr>
          <w:trHeight w:val="66"/>
        </w:trPr>
        <w:tc>
          <w:tcPr>
            <w:tcW w:w="4120" w:type="dxa"/>
            <w:vAlign w:val="bottom"/>
            <w:vMerge w:val="restart"/>
          </w:tcPr>
          <w:p>
            <w:pPr>
              <w:spacing w:after="0"/>
              <w:rPr>
                <w:sz w:val="20"/>
                <w:szCs w:val="20"/>
                <w:color w:val="auto"/>
              </w:rPr>
            </w:pPr>
            <w:r>
              <w:rPr>
                <w:rFonts w:ascii="Arial" w:cs="Arial" w:eastAsia="Arial" w:hAnsi="Arial"/>
                <w:sz w:val="14"/>
                <w:szCs w:val="14"/>
                <w:color w:val="auto"/>
              </w:rPr>
              <w:t>Weighted average common shares outstanding:</w:t>
            </w:r>
          </w:p>
        </w:tc>
        <w:tc>
          <w:tcPr>
            <w:tcW w:w="4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120" w:type="dxa"/>
            <w:vAlign w:val="bottom"/>
            <w:vMerge w:val="continue"/>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12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4120" w:type="dxa"/>
            <w:vAlign w:val="bottom"/>
          </w:tcPr>
          <w:p>
            <w:pPr>
              <w:ind w:left="140"/>
              <w:spacing w:after="0"/>
              <w:rPr>
                <w:sz w:val="20"/>
                <w:szCs w:val="20"/>
                <w:color w:val="auto"/>
              </w:rPr>
            </w:pPr>
            <w:r>
              <w:rPr>
                <w:rFonts w:ascii="Arial" w:cs="Arial" w:eastAsia="Arial" w:hAnsi="Arial"/>
                <w:sz w:val="14"/>
                <w:szCs w:val="14"/>
                <w:color w:val="auto"/>
              </w:rPr>
              <w:t>Basic and diluted</w:t>
            </w:r>
          </w:p>
        </w:tc>
        <w:tc>
          <w:tcPr>
            <w:tcW w:w="400" w:type="dxa"/>
            <w:vAlign w:val="bottom"/>
          </w:tcPr>
          <w:p>
            <w:pPr>
              <w:spacing w:after="0"/>
              <w:rPr>
                <w:sz w:val="24"/>
                <w:szCs w:val="24"/>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52,321,884</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22,450,828</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45,548,511</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22,389,286</w:t>
            </w:r>
          </w:p>
        </w:tc>
        <w:tc>
          <w:tcPr>
            <w:tcW w:w="0" w:type="dxa"/>
            <w:vAlign w:val="bottom"/>
          </w:tcPr>
          <w:p>
            <w:pPr>
              <w:spacing w:after="0"/>
              <w:rPr>
                <w:sz w:val="1"/>
                <w:szCs w:val="1"/>
                <w:color w:val="auto"/>
              </w:rPr>
            </w:pPr>
          </w:p>
        </w:tc>
      </w:tr>
      <w:tr>
        <w:trPr>
          <w:trHeight w:val="66"/>
        </w:trPr>
        <w:tc>
          <w:tcPr>
            <w:tcW w:w="412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 #</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Media:</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Joshua R. Mansbach</w:t>
      </w:r>
    </w:p>
    <w:p>
      <w:pPr>
        <w:spacing w:after="0"/>
        <w:rPr>
          <w:sz w:val="20"/>
          <w:szCs w:val="20"/>
          <w:color w:val="auto"/>
        </w:rPr>
      </w:pPr>
      <w:r>
        <w:rPr>
          <w:rFonts w:ascii="Arial" w:cs="Arial" w:eastAsia="Arial" w:hAnsi="Arial"/>
          <w:sz w:val="20"/>
          <w:szCs w:val="20"/>
          <w:color w:val="auto"/>
        </w:rPr>
        <w:t>Solebury Trout</w:t>
      </w:r>
    </w:p>
    <w:p>
      <w:pPr>
        <w:spacing w:after="0"/>
        <w:rPr>
          <w:sz w:val="20"/>
          <w:szCs w:val="20"/>
          <w:color w:val="auto"/>
        </w:rPr>
      </w:pPr>
      <w:r>
        <w:rPr>
          <w:rFonts w:ascii="Arial" w:cs="Arial" w:eastAsia="Arial" w:hAnsi="Arial"/>
          <w:sz w:val="20"/>
          <w:szCs w:val="20"/>
          <w:color w:val="auto"/>
        </w:rPr>
        <w:t>+1-646-378-2964</w:t>
      </w:r>
    </w:p>
    <w:p>
      <w:pPr>
        <w:spacing w:after="0"/>
        <w:rPr>
          <w:sz w:val="20"/>
          <w:szCs w:val="20"/>
          <w:color w:val="auto"/>
        </w:rPr>
      </w:pPr>
      <w:r>
        <w:rPr>
          <w:rFonts w:ascii="Arial" w:cs="Arial" w:eastAsia="Arial" w:hAnsi="Arial"/>
          <w:sz w:val="20"/>
          <w:szCs w:val="20"/>
          <w:color w:val="auto"/>
        </w:rPr>
        <w:t>jmansbach@soleburytrout.com</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Investors: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Lee M. Stern</w:t>
      </w:r>
    </w:p>
    <w:p>
      <w:pPr>
        <w:spacing w:after="0"/>
        <w:rPr>
          <w:sz w:val="20"/>
          <w:szCs w:val="20"/>
          <w:color w:val="auto"/>
        </w:rPr>
      </w:pPr>
      <w:r>
        <w:rPr>
          <w:rFonts w:ascii="Arial" w:cs="Arial" w:eastAsia="Arial" w:hAnsi="Arial"/>
          <w:sz w:val="20"/>
          <w:szCs w:val="20"/>
          <w:color w:val="auto"/>
        </w:rPr>
        <w:t>Solebury Trout</w:t>
      </w:r>
    </w:p>
    <w:p>
      <w:pPr>
        <w:spacing w:after="0"/>
        <w:rPr>
          <w:sz w:val="20"/>
          <w:szCs w:val="20"/>
          <w:color w:val="auto"/>
        </w:rPr>
      </w:pPr>
      <w:r>
        <w:rPr>
          <w:rFonts w:ascii="Arial" w:cs="Arial" w:eastAsia="Arial" w:hAnsi="Arial"/>
          <w:sz w:val="20"/>
          <w:szCs w:val="20"/>
          <w:color w:val="auto"/>
        </w:rPr>
        <w:t>+1-646-378-2922</w:t>
      </w:r>
    </w:p>
    <w:p>
      <w:pPr>
        <w:spacing w:after="0"/>
        <w:rPr>
          <w:sz w:val="20"/>
          <w:szCs w:val="20"/>
          <w:color w:val="auto"/>
        </w:rPr>
      </w:pPr>
      <w:r>
        <w:rPr>
          <w:rFonts w:ascii="Arial" w:cs="Arial" w:eastAsia="Arial" w:hAnsi="Arial"/>
          <w:sz w:val="20"/>
          <w:szCs w:val="20"/>
          <w:color w:val="auto"/>
        </w:rPr>
        <w:t>lstern@soleburytrout.com</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sectPr>
      <w:pgSz w:w="11900" w:h="16838" w:orient="portrait"/>
      <w:cols w:equalWidth="0" w:num="1">
        <w:col w:w="11240"/>
      </w:cols>
      <w:pgMar w:left="320" w:top="82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o"/>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lvl w:ilvl="1">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2020-03-12T07:12:10Z</dcterms:created>
  <dcterms:modified xsi:type="dcterms:W3CDTF">2020-03-12T07:12:10Z</dcterms:modified>
</cp:coreProperties>
</file>