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19050</wp:posOffset>
            </wp:positionV>
            <wp:extent cx="7047230" cy="635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35762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20" w:right="359" w:bottom="726"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COX CARRIE SMITH</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C/O CARTESIAN THERAPEUTICS, INC.</w:t>
            </w:r>
          </w:p>
        </w:tc>
      </w:tr>
      <w:tr>
        <w:trPr>
          <w:trHeight w:val="254"/>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65 GROVE STREET</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w w:val="97"/>
              </w:rPr>
              <w:t>WATERTOWN</w:t>
            </w:r>
          </w:p>
        </w:tc>
        <w:tc>
          <w:tcPr>
            <w:tcW w:w="900" w:type="dxa"/>
            <w:vAlign w:val="bottom"/>
          </w:tcPr>
          <w:p>
            <w:pPr>
              <w:ind w:left="1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Cartesian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RNAC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6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9"/>
        </w:trPr>
        <w:tc>
          <w:tcPr>
            <w:tcW w:w="2340" w:type="dxa"/>
            <w:vAlign w:val="bottom"/>
            <w:gridSpan w:val="3"/>
          </w:tcPr>
          <w:p>
            <w:pPr>
              <w:ind w:left="60"/>
              <w:spacing w:after="0"/>
              <w:rPr>
                <w:sz w:val="20"/>
                <w:szCs w:val="20"/>
                <w:color w:val="auto"/>
              </w:rPr>
            </w:pPr>
            <w:r>
              <w:rPr>
                <w:rFonts w:ascii="Arial" w:cs="Arial" w:eastAsia="Arial" w:hAnsi="Arial"/>
                <w:sz w:val="17"/>
                <w:szCs w:val="17"/>
                <w:color w:val="0000FF"/>
              </w:rPr>
              <w:t>11/13/2023</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7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1.32</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11/13/2023</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86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20,000</w:t>
            </w: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5"/>
              </w:rPr>
              <w:t>11/19/2029</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0.74</w:t>
            </w:r>
          </w:p>
        </w:tc>
        <w:tc>
          <w:tcPr>
            <w:tcW w:w="92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11/13/2023</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86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30,000</w:t>
            </w: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5"/>
              </w:rPr>
              <w:t>06/18/2030</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30,000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2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4.01</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11/13/2023</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86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60,000</w:t>
            </w: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5"/>
              </w:rPr>
              <w:t>03/29/2031</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92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3.31</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11/13/2023</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86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60,000</w:t>
            </w:r>
          </w:p>
        </w:tc>
        <w:tc>
          <w:tcPr>
            <w:tcW w:w="780" w:type="dxa"/>
            <w:vAlign w:val="bottom"/>
            <w:vMerge w:val="restart"/>
          </w:tcPr>
          <w:p>
            <w:pPr>
              <w:jc w:val="right"/>
              <w:ind w:right="265"/>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5"/>
              </w:rPr>
              <w:t>01/02/2032</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60,000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ind w:left="42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80"/>
              <w:spacing w:after="0" w:line="140"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1.13</w:t>
            </w:r>
          </w:p>
        </w:tc>
        <w:tc>
          <w:tcPr>
            <w:tcW w:w="1060" w:type="dxa"/>
            <w:vAlign w:val="bottom"/>
          </w:tcPr>
          <w:p>
            <w:pPr>
              <w:jc w:val="center"/>
              <w:spacing w:after="0"/>
              <w:rPr>
                <w:sz w:val="20"/>
                <w:szCs w:val="20"/>
                <w:color w:val="auto"/>
              </w:rPr>
            </w:pPr>
            <w:r>
              <w:rPr>
                <w:rFonts w:ascii="Arial" w:cs="Arial" w:eastAsia="Arial" w:hAnsi="Arial"/>
                <w:sz w:val="13"/>
                <w:szCs w:val="13"/>
                <w:color w:val="0000FF"/>
                <w:w w:val="86"/>
              </w:rPr>
              <w:t>11/13/2023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860" w:type="dxa"/>
            <w:vAlign w:val="bottom"/>
          </w:tcPr>
          <w:p>
            <w:pPr>
              <w:jc w:val="center"/>
              <w:ind w:left="260"/>
              <w:spacing w:after="0"/>
              <w:rPr>
                <w:sz w:val="20"/>
                <w:szCs w:val="20"/>
                <w:color w:val="auto"/>
              </w:rPr>
            </w:pPr>
            <w:r>
              <w:rPr>
                <w:rFonts w:ascii="Arial" w:cs="Arial" w:eastAsia="Arial" w:hAnsi="Arial"/>
                <w:sz w:val="13"/>
                <w:szCs w:val="13"/>
                <w:color w:val="0000FF"/>
                <w:w w:val="89"/>
              </w:rPr>
              <w:t>107,500</w:t>
            </w:r>
          </w:p>
        </w:tc>
        <w:tc>
          <w:tcPr>
            <w:tcW w:w="780" w:type="dxa"/>
            <w:vAlign w:val="bottom"/>
          </w:tcPr>
          <w:p>
            <w:pPr>
              <w:jc w:val="right"/>
              <w:ind w:right="265"/>
              <w:spacing w:after="0"/>
              <w:rPr>
                <w:sz w:val="20"/>
                <w:szCs w:val="20"/>
                <w:color w:val="auto"/>
              </w:rPr>
            </w:pPr>
            <w:r>
              <w:rPr>
                <w:rFonts w:ascii="Arial" w:cs="Arial" w:eastAsia="Arial" w:hAnsi="Arial"/>
                <w:sz w:val="11"/>
                <w:szCs w:val="11"/>
                <w:color w:val="008000"/>
              </w:rPr>
              <w:t>(5)</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01/01/2033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ind w:right="9"/>
              <w:spacing w:after="0"/>
              <w:rPr>
                <w:sz w:val="20"/>
                <w:szCs w:val="20"/>
                <w:color w:val="auto"/>
              </w:rPr>
            </w:pPr>
            <w:r>
              <w:rPr>
                <w:rFonts w:ascii="Arial" w:cs="Arial" w:eastAsia="Arial" w:hAnsi="Arial"/>
                <w:sz w:val="17"/>
                <w:szCs w:val="17"/>
                <w:color w:val="0000FF"/>
                <w:w w:val="87"/>
              </w:rPr>
              <w:t>107,500</w:t>
            </w:r>
          </w:p>
        </w:tc>
        <w:tc>
          <w:tcPr>
            <w:tcW w:w="68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0.93</w:t>
            </w:r>
          </w:p>
        </w:tc>
        <w:tc>
          <w:tcPr>
            <w:tcW w:w="920" w:type="dxa"/>
            <w:vAlign w:val="bottom"/>
          </w:tcPr>
          <w:p>
            <w:pPr>
              <w:ind w:left="420"/>
              <w:spacing w:after="0"/>
              <w:rPr>
                <w:sz w:val="20"/>
                <w:szCs w:val="20"/>
                <w:color w:val="auto"/>
              </w:rPr>
            </w:pPr>
            <w:r>
              <w:rPr>
                <w:rFonts w:ascii="Arial" w:cs="Arial" w:eastAsia="Arial" w:hAnsi="Arial"/>
                <w:sz w:val="13"/>
                <w:szCs w:val="13"/>
                <w:color w:val="0000FF"/>
              </w:rPr>
              <w:t>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thirty-six (36) substantially equal monthly installments over three years following the date of grant on November 20, 2019, was canceled in the merger (the "Merger") between Selecta Biosciences, Inc. and Cartesian Therapeutics, Inc. in exchange for a cash payment of $14,800, representing the difference between the exercise price of the option and $2.06, the Cash-out Amount as applied in the Merger.</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June 17, 2021, was canceled in the Merger.</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March 30, 2022, was canceled in the Merger.</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3, 2023, was canceled in the Merger.</w:t>
      </w:r>
    </w:p>
    <w:p>
      <w:pPr>
        <w:spacing w:after="0" w:line="41" w:lineRule="exact"/>
        <w:rPr>
          <w:rFonts w:ascii="Arial" w:cs="Arial" w:eastAsia="Arial" w:hAnsi="Arial"/>
          <w:sz w:val="13"/>
          <w:szCs w:val="13"/>
          <w:color w:val="008000"/>
        </w:rPr>
      </w:pPr>
    </w:p>
    <w:p>
      <w:pPr>
        <w:ind w:left="40" w:right="180"/>
        <w:spacing w:after="0" w:line="24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which provided for vesting in full on January 2, 2024, was canceled in the Merger in exchange for a cash payment of $99,975, representing the difference between the exercise price of the option and $2.06, the Cash-out Amount as applied in the Merger.</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967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Carrie</w:t>
      </w:r>
      <w:r>
        <w:rPr>
          <w:sz w:val="20"/>
          <w:szCs w:val="20"/>
          <w:color w:val="auto"/>
        </w:rPr>
        <w:tab/>
      </w:r>
      <w:r>
        <w:rPr>
          <w:rFonts w:ascii="Arial" w:cs="Arial" w:eastAsia="Arial" w:hAnsi="Arial"/>
          <w:sz w:val="14"/>
          <w:szCs w:val="14"/>
          <w:color w:val="0000FF"/>
        </w:rPr>
        <w:t>11/15/2023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13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Smith Cox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452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7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1075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2023-11-15T16:21:05Z</dcterms:created>
  <dcterms:modified xsi:type="dcterms:W3CDTF">2023-11-15T16:21:05Z</dcterms:modified>
</cp:coreProperties>
</file>