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Brunn Carsten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SELECTA BIOSCIENCES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180340</wp:posOffset>
            </wp:positionV>
            <wp:extent cx="6969760" cy="1074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074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211,350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01/03/2031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-1776730</wp:posOffset>
            </wp:positionV>
            <wp:extent cx="7034530" cy="1913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as to 25% on January 4, 2022. The remainder of the underlying shares will vest in three equal annual installments thereafter so that the underlying shares will be fully vested on January 4, 2025.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as to 25% on January 4, 2022. The remainder of the underlying shares will vest in 36 equal monthly installments thereafter.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093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Carsten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Brunn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2622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60229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2021-01-06T15:51:02Z</dcterms:created>
  <dcterms:modified xsi:type="dcterms:W3CDTF">2021-01-06T15:51:02Z</dcterms:modified>
</cp:coreProperties>
</file>