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050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Farokhzad Omid</w:t>
              </w:r>
            </w:hyperlink>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700" w:type="dxa"/>
            <w:vAlign w:val="bottom"/>
            <w:gridSpan w:val="6"/>
          </w:tcPr>
          <w:p>
            <w:pPr>
              <w:ind w:left="240"/>
              <w:spacing w:after="0"/>
              <w:rPr>
                <w:sz w:val="20"/>
                <w:szCs w:val="20"/>
                <w:color w:val="auto"/>
              </w:rPr>
            </w:pPr>
            <w:r>
              <w:rPr>
                <w:rFonts w:ascii="Arial" w:cs="Arial" w:eastAsia="Arial" w:hAnsi="Arial"/>
                <w:sz w:val="17"/>
                <w:szCs w:val="17"/>
                <w:color w:val="0000FF"/>
              </w:rPr>
              <w:t>06/27/2016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480 ARSENAL STREET, BUILDING ONE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80" w:type="dxa"/>
            <w:vAlign w:val="bottom"/>
          </w:tcPr>
          <w:p>
            <w:pPr>
              <w:spacing w:after="0"/>
              <w:rPr>
                <w:sz w:val="20"/>
                <w:szCs w:val="20"/>
                <w:color w:val="auto"/>
              </w:rPr>
            </w:pPr>
            <w:r>
              <w:rPr>
                <w:rFonts w:ascii="Arial" w:cs="Arial" w:eastAsia="Arial" w:hAnsi="Arial"/>
                <w:sz w:val="17"/>
                <w:szCs w:val="17"/>
                <w:color w:val="0000FF"/>
              </w:rPr>
              <w:t>02472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20"/>
              <w:spacing w:after="0" w:line="134" w:lineRule="exact"/>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20" w:type="dxa"/>
            <w:vAlign w:val="bottom"/>
            <w:gridSpan w:val="5"/>
            <w:vMerge w:val="restart"/>
          </w:tcPr>
          <w:p>
            <w:pPr>
              <w:ind w:left="860"/>
              <w:spacing w:after="0"/>
              <w:rPr>
                <w:sz w:val="20"/>
                <w:szCs w:val="20"/>
                <w:color w:val="auto"/>
              </w:rPr>
            </w:pPr>
            <w:r>
              <w:rPr>
                <w:rFonts w:ascii="Arial" w:cs="Arial" w:eastAsia="Arial" w:hAnsi="Arial"/>
                <w:sz w:val="17"/>
                <w:szCs w:val="17"/>
                <w:color w:val="0000FF"/>
              </w:rPr>
              <w:t>06/27/2016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gridSpan w:val="2"/>
            <w:vMerge w:val="restart"/>
          </w:tcPr>
          <w:p>
            <w:pPr>
              <w:ind w:left="220"/>
              <w:spacing w:after="0"/>
              <w:rPr>
                <w:sz w:val="20"/>
                <w:szCs w:val="20"/>
                <w:color w:val="auto"/>
              </w:rPr>
            </w:pPr>
            <w:r>
              <w:rPr>
                <w:rFonts w:ascii="Arial" w:cs="Arial" w:eastAsia="Arial" w:hAnsi="Arial"/>
                <w:sz w:val="17"/>
                <w:szCs w:val="17"/>
                <w:color w:val="0000FF"/>
                <w:w w:val="92"/>
              </w:rPr>
              <w:t>22,081</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48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4"/>
            <w:vMerge w:val="restart"/>
          </w:tcPr>
          <w:p>
            <w:pPr>
              <w:jc w:val="right"/>
              <w:ind w:right="359"/>
              <w:spacing w:after="0"/>
              <w:rPr>
                <w:sz w:val="20"/>
                <w:szCs w:val="20"/>
                <w:color w:val="auto"/>
              </w:rPr>
            </w:pPr>
            <w:r>
              <w:rPr>
                <w:rFonts w:ascii="Arial" w:cs="Arial" w:eastAsia="Arial" w:hAnsi="Arial"/>
                <w:sz w:val="17"/>
                <w:szCs w:val="17"/>
                <w:color w:val="0000FF"/>
              </w:rPr>
              <w:t>25,626</w:t>
            </w:r>
          </w:p>
        </w:tc>
        <w:tc>
          <w:tcPr>
            <w:tcW w:w="34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60" w:type="dxa"/>
            <w:vAlign w:val="bottom"/>
            <w:gridSpan w:val="18"/>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 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Convertible</w:t>
            </w: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1"/>
                <w:szCs w:val="11"/>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06/27/2016</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1"/>
                <w:szCs w:val="11"/>
                <w:color w:val="auto"/>
              </w:rPr>
            </w:pPr>
          </w:p>
        </w:tc>
        <w:tc>
          <w:tcPr>
            <w:tcW w:w="880" w:type="dxa"/>
            <w:vAlign w:val="bottom"/>
            <w:vMerge w:val="restart"/>
          </w:tcPr>
          <w:p>
            <w:pPr>
              <w:ind w:left="400"/>
              <w:spacing w:after="0"/>
              <w:rPr>
                <w:sz w:val="20"/>
                <w:szCs w:val="20"/>
                <w:color w:val="auto"/>
              </w:rPr>
            </w:pPr>
            <w:r>
              <w:rPr>
                <w:rFonts w:ascii="Arial" w:cs="Arial" w:eastAsia="Arial" w:hAnsi="Arial"/>
                <w:sz w:val="13"/>
                <w:szCs w:val="13"/>
                <w:color w:val="0000FF"/>
              </w:rPr>
              <w:t>14,244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480" w:type="dxa"/>
            <w:vAlign w:val="bottom"/>
          </w:tcPr>
          <w:p>
            <w:pPr>
              <w:ind w:left="26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1"/>
                <w:szCs w:val="11"/>
                <w:color w:val="auto"/>
              </w:rPr>
            </w:pPr>
          </w:p>
        </w:tc>
        <w:tc>
          <w:tcPr>
            <w:tcW w:w="680" w:type="dxa"/>
            <w:vAlign w:val="bottom"/>
          </w:tcPr>
          <w:p>
            <w:pPr>
              <w:ind w:left="40"/>
              <w:spacing w:after="0" w:line="131" w:lineRule="exact"/>
              <w:rPr>
                <w:sz w:val="20"/>
                <w:szCs w:val="20"/>
                <w:color w:val="auto"/>
              </w:rPr>
            </w:pPr>
            <w:r>
              <w:rPr>
                <w:rFonts w:ascii="Arial" w:cs="Arial" w:eastAsia="Arial" w:hAnsi="Arial"/>
                <w:sz w:val="13"/>
                <w:szCs w:val="13"/>
                <w:color w:val="0000FF"/>
              </w:rPr>
              <w:t>Common</w:t>
            </w:r>
          </w:p>
        </w:tc>
        <w:tc>
          <w:tcPr>
            <w:tcW w:w="480" w:type="dxa"/>
            <w:vAlign w:val="bottom"/>
            <w:gridSpan w:val="2"/>
            <w:vMerge w:val="restart"/>
          </w:tcPr>
          <w:p>
            <w:pPr>
              <w:spacing w:after="0"/>
              <w:rPr>
                <w:sz w:val="20"/>
                <w:szCs w:val="20"/>
                <w:color w:val="auto"/>
              </w:rPr>
            </w:pPr>
            <w:r>
              <w:rPr>
                <w:rFonts w:ascii="Arial" w:cs="Arial" w:eastAsia="Arial" w:hAnsi="Arial"/>
                <w:sz w:val="17"/>
                <w:szCs w:val="17"/>
                <w:color w:val="0000FF"/>
                <w:w w:val="88"/>
              </w:rPr>
              <w:t>22,081</w:t>
            </w: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3"/>
          </w:tcPr>
          <w:p>
            <w:pPr>
              <w:ind w:left="40"/>
              <w:spacing w:after="0" w:line="175" w:lineRule="exact"/>
              <w:rPr>
                <w:sz w:val="20"/>
                <w:szCs w:val="20"/>
                <w:color w:val="auto"/>
              </w:rPr>
            </w:pPr>
            <w:r>
              <w:rPr>
                <w:rFonts w:ascii="Arial" w:cs="Arial" w:eastAsia="Arial" w:hAnsi="Arial"/>
                <w:sz w:val="12"/>
                <w:szCs w:val="12"/>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4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held by BioDynamics Core, L.P., which is managed by BioDynamics, LLC, of which the Reporting Person is a member.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2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an approximately 1-for-1.550115 basis upon the closing of the Issuer's initial public offering.</w:t>
      </w:r>
    </w:p>
    <w:p>
      <w:pPr>
        <w:spacing w:after="0" w:line="7"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David Siewers,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06/29/2016</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2019-12-08T18:30:26Z</dcterms:created>
  <dcterms:modified xsi:type="dcterms:W3CDTF">2019-12-08T18:30:26Z</dcterms:modified>
</cp:coreProperties>
</file>