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373380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ind w:left="4900"/>
        <w:spacing w:after="0"/>
        <w:rPr>
          <w:sz w:val="20"/>
          <w:szCs w:val="20"/>
          <w:color w:val="auto"/>
        </w:rPr>
      </w:pPr>
      <w:r>
        <w:rPr>
          <w:rFonts w:ascii="Arial" w:cs="Arial" w:eastAsia="Arial" w:hAnsi="Arial"/>
          <w:sz w:val="22"/>
          <w:szCs w:val="22"/>
          <w:b w:val="1"/>
          <w:bCs w:val="1"/>
          <w:color w:val="auto"/>
        </w:rPr>
        <w:t>SCHEDULE 13G</w:t>
      </w:r>
    </w:p>
    <w:p>
      <w:pPr>
        <w:spacing w:after="0" w:line="179" w:lineRule="exact"/>
        <w:rPr>
          <w:sz w:val="24"/>
          <w:szCs w:val="24"/>
          <w:color w:val="auto"/>
        </w:rPr>
      </w:pPr>
    </w:p>
    <w:p>
      <w:pPr>
        <w:ind w:left="3740"/>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ind w:left="4760"/>
        <w:spacing w:after="0"/>
        <w:rPr>
          <w:sz w:val="20"/>
          <w:szCs w:val="20"/>
          <w:color w:val="auto"/>
        </w:rPr>
      </w:pPr>
      <w:r>
        <w:rPr>
          <w:rFonts w:ascii="Arial" w:cs="Arial" w:eastAsia="Arial" w:hAnsi="Arial"/>
          <w:sz w:val="22"/>
          <w:szCs w:val="22"/>
          <w:b w:val="1"/>
          <w:bCs w:val="1"/>
          <w:color w:val="auto"/>
        </w:rPr>
        <w:t>(Amendment No. 1)*</w:t>
      </w:r>
    </w:p>
    <w:p>
      <w:pPr>
        <w:spacing w:after="0" w:line="182" w:lineRule="exact"/>
        <w:rPr>
          <w:sz w:val="24"/>
          <w:szCs w:val="24"/>
          <w:color w:val="auto"/>
        </w:rPr>
      </w:pPr>
    </w:p>
    <w:p>
      <w:pPr>
        <w:ind w:left="4180"/>
        <w:spacing w:after="0"/>
        <w:rPr>
          <w:sz w:val="20"/>
          <w:szCs w:val="20"/>
          <w:color w:val="auto"/>
        </w:rPr>
      </w:pPr>
      <w:r>
        <w:rPr>
          <w:rFonts w:ascii="Arial" w:cs="Arial" w:eastAsia="Arial" w:hAnsi="Arial"/>
          <w:sz w:val="22"/>
          <w:szCs w:val="22"/>
          <w:b w:val="1"/>
          <w:bCs w:val="1"/>
          <w:u w:val="single" w:color="auto"/>
          <w:color w:val="auto"/>
        </w:rPr>
        <w:t>SELECTA BIOSCIENCES, INC.</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(Name of Issuer)</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Common stock, par value $0.0001 per share</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(Title of Class of Securities)</w:t>
      </w:r>
    </w:p>
    <w:p>
      <w:pPr>
        <w:spacing w:after="0" w:line="209" w:lineRule="exact"/>
        <w:rPr>
          <w:sz w:val="24"/>
          <w:szCs w:val="24"/>
          <w:color w:val="auto"/>
        </w:rPr>
      </w:pPr>
    </w:p>
    <w:p>
      <w:pPr>
        <w:ind w:left="5220"/>
        <w:spacing w:after="0"/>
        <w:rPr>
          <w:sz w:val="20"/>
          <w:szCs w:val="20"/>
          <w:color w:val="auto"/>
        </w:rPr>
      </w:pPr>
      <w:r>
        <w:rPr>
          <w:rFonts w:ascii="Arial" w:cs="Arial" w:eastAsia="Arial" w:hAnsi="Arial"/>
          <w:sz w:val="22"/>
          <w:szCs w:val="22"/>
          <w:b w:val="1"/>
          <w:bCs w:val="1"/>
          <w:u w:val="single" w:color="auto"/>
          <w:color w:val="auto"/>
        </w:rPr>
        <w:t>816212104</w:t>
      </w:r>
    </w:p>
    <w:p>
      <w:pPr>
        <w:spacing w:after="0" w:line="14"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(CUSIP Number)</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December 31, 2019</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06" w:lineRule="exact"/>
        <w:rPr>
          <w:sz w:val="24"/>
          <w:szCs w:val="24"/>
          <w:color w:val="auto"/>
        </w:rPr>
      </w:pPr>
    </w:p>
    <w:p>
      <w:pPr>
        <w:ind w:left="4620"/>
        <w:spacing w:after="0"/>
        <w:tabs>
          <w:tab w:leader="none" w:pos="4840" w:val="left"/>
          <w:tab w:leader="none" w:pos="5560" w:val="left"/>
        </w:tabs>
        <w:rPr>
          <w:sz w:val="20"/>
          <w:szCs w:val="20"/>
          <w:color w:val="auto"/>
        </w:rPr>
      </w:pPr>
      <w:r>
        <w:rPr>
          <w:rFonts w:ascii="Arial" w:cs="Arial" w:eastAsia="Arial" w:hAnsi="Arial"/>
          <w:sz w:val="22"/>
          <w:szCs w:val="22"/>
          <w:color w:val="auto"/>
        </w:rPr>
        <w:t>[</w:t>
        <w:tab/>
        <w:t>]</w:t>
      </w:r>
      <w:r>
        <w:rPr>
          <w:sz w:val="20"/>
          <w:szCs w:val="20"/>
          <w:color w:val="auto"/>
        </w:rPr>
        <w:tab/>
      </w:r>
      <w:r>
        <w:rPr>
          <w:rFonts w:ascii="Arial" w:cs="Arial" w:eastAsia="Arial" w:hAnsi="Arial"/>
          <w:sz w:val="19"/>
          <w:szCs w:val="19"/>
          <w:color w:val="auto"/>
        </w:rPr>
        <w:t>Rule 13d-1(b)</w:t>
      </w:r>
    </w:p>
    <w:p>
      <w:pPr>
        <w:spacing w:after="0" w:line="98" w:lineRule="exact"/>
        <w:rPr>
          <w:sz w:val="24"/>
          <w:szCs w:val="24"/>
          <w:color w:val="auto"/>
        </w:rPr>
      </w:pPr>
    </w:p>
    <w:p>
      <w:pPr>
        <w:ind w:left="4700" w:hanging="117"/>
        <w:spacing w:after="0"/>
        <w:tabs>
          <w:tab w:leader="none" w:pos="4700" w:val="left"/>
        </w:tabs>
        <w:numPr>
          <w:ilvl w:val="1"/>
          <w:numId w:val="1"/>
        </w:numPr>
        <w:rPr>
          <w:rFonts w:ascii="Arial" w:cs="Arial" w:eastAsia="Arial" w:hAnsi="Arial"/>
          <w:sz w:val="22"/>
          <w:szCs w:val="22"/>
          <w:color w:val="auto"/>
        </w:rPr>
      </w:pPr>
      <w:r>
        <w:rPr>
          <w:rFonts w:ascii="Arial" w:cs="Arial" w:eastAsia="Arial" w:hAnsi="Arial"/>
          <w:sz w:val="22"/>
          <w:szCs w:val="22"/>
          <w:color w:val="auto"/>
        </w:rPr>
        <w:t>X ]</w:t>
      </w:r>
      <w:r>
        <w:rPr>
          <w:rFonts w:ascii="Arial" w:cs="Arial" w:eastAsia="Arial" w:hAnsi="Arial"/>
          <w:sz w:val="19"/>
          <w:szCs w:val="19"/>
          <w:color w:val="auto"/>
        </w:rPr>
        <w:t>Rule 13d-1(c)</w:t>
      </w:r>
    </w:p>
    <w:p>
      <w:pPr>
        <w:spacing w:after="0" w:line="98" w:lineRule="exact"/>
        <w:rPr>
          <w:rFonts w:ascii="Arial" w:cs="Arial" w:eastAsia="Arial" w:hAnsi="Arial"/>
          <w:sz w:val="22"/>
          <w:szCs w:val="22"/>
          <w:color w:val="auto"/>
        </w:rPr>
      </w:pPr>
    </w:p>
    <w:p>
      <w:pPr>
        <w:ind w:left="4620"/>
        <w:spacing w:after="0"/>
        <w:rPr>
          <w:rFonts w:ascii="Arial" w:cs="Arial" w:eastAsia="Arial" w:hAnsi="Arial"/>
          <w:sz w:val="22"/>
          <w:szCs w:val="22"/>
          <w:color w:val="auto"/>
        </w:rPr>
      </w:pPr>
      <w:r>
        <w:rPr>
          <w:rFonts w:ascii="Arial" w:cs="Arial" w:eastAsia="Arial" w:hAnsi="Arial"/>
          <w:sz w:val="22"/>
          <w:szCs w:val="22"/>
          <w:color w:val="auto"/>
        </w:rPr>
        <w:t>[  ]</w:t>
      </w:r>
      <w:r>
        <w:rPr>
          <w:rFonts w:ascii="Arial" w:cs="Arial" w:eastAsia="Arial" w:hAnsi="Arial"/>
          <w:sz w:val="19"/>
          <w:szCs w:val="19"/>
          <w:color w:val="auto"/>
        </w:rPr>
        <w:t>Rule 13d-1(d)</w:t>
      </w:r>
    </w:p>
    <w:p>
      <w:pPr>
        <w:spacing w:after="0" w:line="206" w:lineRule="exact"/>
        <w:rPr>
          <w:rFonts w:ascii="Arial" w:cs="Arial" w:eastAsia="Arial" w:hAnsi="Arial"/>
          <w:sz w:val="22"/>
          <w:szCs w:val="22"/>
          <w:color w:val="auto"/>
        </w:rPr>
      </w:pPr>
    </w:p>
    <w:p>
      <w:pPr>
        <w:jc w:val="both"/>
        <w:spacing w:after="0"/>
        <w:rPr>
          <w:rFonts w:ascii="Arial" w:cs="Arial" w:eastAsia="Arial" w:hAnsi="Arial"/>
          <w:sz w:val="22"/>
          <w:szCs w:val="22"/>
          <w:color w:val="auto"/>
        </w:rPr>
      </w:pPr>
      <w:r>
        <w:rPr>
          <w:rFonts w:ascii="Arial" w:cs="Arial" w:eastAsia="Arial" w:hAnsi="Arial"/>
          <w:sz w:val="22"/>
          <w:szCs w:val="22"/>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jc w:val="both"/>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22"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Continued on following pages</w:t>
      </w:r>
    </w:p>
    <w:p>
      <w:pPr>
        <w:jc w:val="center"/>
        <w:ind w:right="-19"/>
        <w:spacing w:after="0" w:line="238" w:lineRule="auto"/>
        <w:rPr>
          <w:sz w:val="20"/>
          <w:szCs w:val="20"/>
          <w:color w:val="auto"/>
        </w:rPr>
      </w:pPr>
      <w:r>
        <w:rPr>
          <w:rFonts w:ascii="Arial" w:cs="Arial" w:eastAsia="Arial" w:hAnsi="Arial"/>
          <w:sz w:val="22"/>
          <w:szCs w:val="22"/>
          <w:color w:val="auto"/>
        </w:rPr>
        <w:t>Page 1 of 8 Pages</w:t>
      </w:r>
    </w:p>
    <w:p>
      <w:pPr>
        <w:jc w:val="center"/>
        <w:ind w:right="-19"/>
        <w:spacing w:after="0"/>
        <w:rPr>
          <w:sz w:val="20"/>
          <w:szCs w:val="20"/>
          <w:color w:val="auto"/>
        </w:rPr>
      </w:pPr>
      <w:r>
        <w:rPr>
          <w:rFonts w:ascii="Arial" w:cs="Arial" w:eastAsia="Arial" w:hAnsi="Arial"/>
          <w:sz w:val="22"/>
          <w:szCs w:val="22"/>
          <w:color w:val="auto"/>
        </w:rPr>
        <w:t>Exhibit Index: Page 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2060" w:type="dxa"/>
            <w:vAlign w:val="bottom"/>
            <w:gridSpan w:val="2"/>
          </w:tcPr>
          <w:p>
            <w:pPr>
              <w:spacing w:after="0"/>
              <w:rPr>
                <w:sz w:val="20"/>
                <w:szCs w:val="20"/>
                <w:color w:val="auto"/>
              </w:rPr>
            </w:pPr>
            <w:r>
              <w:rPr>
                <w:rFonts w:ascii="Arial" w:cs="Arial" w:eastAsia="Arial" w:hAnsi="Arial"/>
                <w:sz w:val="18"/>
                <w:szCs w:val="18"/>
                <w:color w:val="auto"/>
              </w:rPr>
              <w:t>CUSIP No. 816212104</w:t>
            </w:r>
          </w:p>
        </w:tc>
        <w:tc>
          <w:tcPr>
            <w:tcW w:w="660" w:type="dxa"/>
            <w:vAlign w:val="bottom"/>
          </w:tcPr>
          <w:p>
            <w:pPr>
              <w:spacing w:after="0"/>
              <w:rPr>
                <w:sz w:val="20"/>
                <w:szCs w:val="20"/>
                <w:color w:val="auto"/>
              </w:rPr>
            </w:pPr>
          </w:p>
        </w:tc>
        <w:tc>
          <w:tcPr>
            <w:tcW w:w="6520" w:type="dxa"/>
            <w:vAlign w:val="bottom"/>
          </w:tcPr>
          <w:p>
            <w:pPr>
              <w:ind w:left="2340"/>
              <w:spacing w:after="0"/>
              <w:rPr>
                <w:sz w:val="20"/>
                <w:szCs w:val="20"/>
                <w:color w:val="auto"/>
              </w:rPr>
            </w:pPr>
            <w:r>
              <w:rPr>
                <w:rFonts w:ascii="Arial" w:cs="Arial" w:eastAsia="Arial" w:hAnsi="Arial"/>
                <w:sz w:val="18"/>
                <w:szCs w:val="18"/>
                <w:color w:val="auto"/>
              </w:rPr>
              <w:t>SCHEDULE 13G</w:t>
            </w:r>
          </w:p>
        </w:tc>
        <w:tc>
          <w:tcPr>
            <w:tcW w:w="2180" w:type="dxa"/>
            <w:vAlign w:val="bottom"/>
          </w:tcPr>
          <w:p>
            <w:pPr>
              <w:ind w:left="900"/>
              <w:spacing w:after="0"/>
              <w:rPr>
                <w:sz w:val="20"/>
                <w:szCs w:val="20"/>
                <w:color w:val="auto"/>
              </w:rPr>
            </w:pPr>
            <w:r>
              <w:rPr>
                <w:rFonts w:ascii="Arial" w:cs="Arial" w:eastAsia="Arial" w:hAnsi="Arial"/>
                <w:sz w:val="18"/>
                <w:szCs w:val="18"/>
                <w:color w:val="auto"/>
                <w:w w:val="83"/>
              </w:rPr>
              <w:t>Page 2 of 8 Pages</w:t>
            </w: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7840" w:type="dxa"/>
            <w:vAlign w:val="bottom"/>
            <w:tcBorders>
              <w:bottom w:val="single" w:sz="8" w:color="auto"/>
            </w:tcBorders>
            <w:gridSpan w:val="3"/>
          </w:tcPr>
          <w:p>
            <w:pPr>
              <w:spacing w:after="0"/>
              <w:rPr>
                <w:sz w:val="21"/>
                <w:szCs w:val="21"/>
                <w:color w:val="auto"/>
              </w:rPr>
            </w:pPr>
          </w:p>
        </w:tc>
        <w:tc>
          <w:tcPr>
            <w:tcW w:w="21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7840" w:type="dxa"/>
            <w:vAlign w:val="bottom"/>
            <w:gridSpan w:val="3"/>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40" w:type="dxa"/>
            <w:vAlign w:val="bottom"/>
            <w:gridSpan w:val="3"/>
          </w:tcPr>
          <w:p>
            <w:pPr>
              <w:ind w:left="40"/>
              <w:spacing w:after="0"/>
              <w:rPr>
                <w:sz w:val="20"/>
                <w:szCs w:val="20"/>
                <w:color w:val="auto"/>
              </w:rPr>
            </w:pPr>
            <w:r>
              <w:rPr>
                <w:rFonts w:ascii="Arial" w:cs="Arial" w:eastAsia="Arial" w:hAnsi="Arial"/>
                <w:sz w:val="18"/>
                <w:szCs w:val="18"/>
                <w:color w:val="auto"/>
              </w:rPr>
              <w:t>GLG PARTNERS LP</w:t>
            </w: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7840" w:type="dxa"/>
            <w:vAlign w:val="bottom"/>
            <w:tcBorders>
              <w:bottom w:val="single" w:sz="8" w:color="auto"/>
            </w:tcBorders>
            <w:gridSpan w:val="3"/>
          </w:tcPr>
          <w:p>
            <w:pPr>
              <w:spacing w:after="0"/>
              <w:rPr>
                <w:sz w:val="14"/>
                <w:szCs w:val="14"/>
                <w:color w:val="auto"/>
              </w:rPr>
            </w:pPr>
          </w:p>
        </w:tc>
        <w:tc>
          <w:tcPr>
            <w:tcW w:w="21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7840" w:type="dxa"/>
            <w:vAlign w:val="bottom"/>
            <w:gridSpan w:val="3"/>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66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66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tcPr>
          <w:p>
            <w:pPr>
              <w:spacing w:after="0"/>
              <w:rPr>
                <w:sz w:val="24"/>
                <w:szCs w:val="24"/>
                <w:color w:val="auto"/>
              </w:rPr>
            </w:pPr>
          </w:p>
        </w:tc>
        <w:tc>
          <w:tcPr>
            <w:tcW w:w="2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2"/>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6520" w:type="dxa"/>
            <w:vAlign w:val="bottom"/>
            <w:shd w:val="clear" w:color="auto" w:fill="BFBFBF"/>
          </w:tcPr>
          <w:p>
            <w:pPr>
              <w:spacing w:after="0"/>
              <w:rPr>
                <w:sz w:val="20"/>
                <w:szCs w:val="20"/>
                <w:color w:val="auto"/>
              </w:rPr>
            </w:pPr>
          </w:p>
        </w:tc>
        <w:tc>
          <w:tcPr>
            <w:tcW w:w="218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6520" w:type="dxa"/>
            <w:vAlign w:val="bottom"/>
            <w:shd w:val="clear" w:color="auto" w:fill="BFBFBF"/>
          </w:tcPr>
          <w:p>
            <w:pPr>
              <w:spacing w:after="0"/>
              <w:rPr>
                <w:sz w:val="24"/>
                <w:szCs w:val="24"/>
                <w:color w:val="auto"/>
              </w:rPr>
            </w:pPr>
          </w:p>
        </w:tc>
        <w:tc>
          <w:tcPr>
            <w:tcW w:w="218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6520" w:type="dxa"/>
            <w:vAlign w:val="bottom"/>
            <w:tcBorders>
              <w:bottom w:val="single" w:sz="8" w:color="auto"/>
            </w:tcBorders>
            <w:shd w:val="clear" w:color="auto" w:fill="BFBFBF"/>
          </w:tcPr>
          <w:p>
            <w:pPr>
              <w:spacing w:after="0"/>
              <w:rPr>
                <w:sz w:val="23"/>
                <w:szCs w:val="23"/>
                <w:color w:val="auto"/>
              </w:rPr>
            </w:pPr>
          </w:p>
        </w:tc>
        <w:tc>
          <w:tcPr>
            <w:tcW w:w="218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7840" w:type="dxa"/>
            <w:vAlign w:val="bottom"/>
            <w:gridSpan w:val="3"/>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color w:val="auto"/>
                <w:w w:val="96"/>
              </w:rPr>
              <w:t>United Kingdom</w:t>
            </w:r>
          </w:p>
        </w:tc>
        <w:tc>
          <w:tcPr>
            <w:tcW w:w="652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520" w:type="dxa"/>
            <w:vAlign w:val="bottom"/>
            <w:tcBorders>
              <w:bottom w:val="single" w:sz="8" w:color="auto"/>
            </w:tcBorders>
          </w:tcPr>
          <w:p>
            <w:pPr>
              <w:spacing w:after="0"/>
              <w:rPr>
                <w:sz w:val="14"/>
                <w:szCs w:val="14"/>
                <w:color w:val="auto"/>
              </w:rPr>
            </w:pPr>
          </w:p>
        </w:tc>
        <w:tc>
          <w:tcPr>
            <w:tcW w:w="21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652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vMerge w:val="continue"/>
          </w:tcPr>
          <w:p>
            <w:pPr>
              <w:spacing w:after="0"/>
              <w:rPr>
                <w:sz w:val="24"/>
                <w:szCs w:val="24"/>
                <w:color w:val="auto"/>
              </w:rPr>
            </w:pPr>
          </w:p>
        </w:tc>
        <w:tc>
          <w:tcPr>
            <w:tcW w:w="6520" w:type="dxa"/>
            <w:vAlign w:val="bottom"/>
          </w:tcPr>
          <w:p>
            <w:pPr>
              <w:ind w:left="40"/>
              <w:spacing w:after="0"/>
              <w:rPr>
                <w:sz w:val="20"/>
                <w:szCs w:val="20"/>
                <w:color w:val="auto"/>
              </w:rPr>
            </w:pPr>
            <w:r>
              <w:rPr>
                <w:rFonts w:ascii="Arial" w:cs="Arial" w:eastAsia="Arial" w:hAnsi="Arial"/>
                <w:sz w:val="18"/>
                <w:szCs w:val="18"/>
                <w:color w:val="auto"/>
              </w:rPr>
              <w:t>0</w:t>
            </w: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520" w:type="dxa"/>
            <w:vAlign w:val="bottom"/>
            <w:tcBorders>
              <w:bottom w:val="single" w:sz="8" w:color="auto"/>
            </w:tcBorders>
          </w:tcPr>
          <w:p>
            <w:pPr>
              <w:spacing w:after="0"/>
              <w:rPr>
                <w:sz w:val="14"/>
                <w:szCs w:val="14"/>
                <w:color w:val="auto"/>
              </w:rPr>
            </w:pPr>
          </w:p>
        </w:tc>
        <w:tc>
          <w:tcPr>
            <w:tcW w:w="21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652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60" w:type="dxa"/>
            <w:vAlign w:val="bottom"/>
            <w:tcBorders>
              <w:right w:val="single" w:sz="8" w:color="auto"/>
            </w:tcBorders>
            <w:vMerge w:val="continue"/>
          </w:tcPr>
          <w:p>
            <w:pPr>
              <w:spacing w:after="0"/>
              <w:rPr>
                <w:sz w:val="19"/>
                <w:szCs w:val="19"/>
                <w:color w:val="auto"/>
              </w:rPr>
            </w:pPr>
          </w:p>
        </w:tc>
        <w:tc>
          <w:tcPr>
            <w:tcW w:w="6520" w:type="dxa"/>
            <w:vAlign w:val="bottom"/>
            <w:vMerge w:val="restart"/>
          </w:tcPr>
          <w:p>
            <w:pPr>
              <w:ind w:left="40"/>
              <w:spacing w:after="0"/>
              <w:rPr>
                <w:sz w:val="20"/>
                <w:szCs w:val="20"/>
                <w:color w:val="auto"/>
              </w:rPr>
            </w:pPr>
            <w:r>
              <w:rPr>
                <w:rFonts w:ascii="Arial" w:cs="Arial" w:eastAsia="Arial" w:hAnsi="Arial"/>
                <w:sz w:val="18"/>
                <w:szCs w:val="18"/>
                <w:color w:val="auto"/>
              </w:rPr>
              <w:t>861,145</w:t>
            </w:r>
          </w:p>
        </w:tc>
        <w:tc>
          <w:tcPr>
            <w:tcW w:w="21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660" w:type="dxa"/>
            <w:vAlign w:val="bottom"/>
            <w:tcBorders>
              <w:right w:val="single" w:sz="8" w:color="auto"/>
            </w:tcBorders>
          </w:tcPr>
          <w:p>
            <w:pPr>
              <w:spacing w:after="0"/>
              <w:rPr>
                <w:sz w:val="18"/>
                <w:szCs w:val="18"/>
                <w:color w:val="auto"/>
              </w:rPr>
            </w:pPr>
          </w:p>
        </w:tc>
        <w:tc>
          <w:tcPr>
            <w:tcW w:w="6520" w:type="dxa"/>
            <w:vAlign w:val="bottom"/>
            <w:vMerge w:val="continue"/>
          </w:tcPr>
          <w:p>
            <w:pPr>
              <w:spacing w:after="0"/>
              <w:rPr>
                <w:sz w:val="18"/>
                <w:szCs w:val="18"/>
                <w:color w:val="auto"/>
              </w:rPr>
            </w:pPr>
          </w:p>
        </w:tc>
        <w:tc>
          <w:tcPr>
            <w:tcW w:w="2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660" w:type="dxa"/>
            <w:vAlign w:val="bottom"/>
            <w:tcBorders>
              <w:bottom w:val="single" w:sz="8" w:color="auto"/>
              <w:right w:val="single" w:sz="8" w:color="auto"/>
            </w:tcBorders>
          </w:tcPr>
          <w:p>
            <w:pPr>
              <w:spacing w:after="0"/>
              <w:rPr>
                <w:sz w:val="10"/>
                <w:szCs w:val="10"/>
                <w:color w:val="auto"/>
              </w:rPr>
            </w:pPr>
          </w:p>
        </w:tc>
        <w:tc>
          <w:tcPr>
            <w:tcW w:w="6520" w:type="dxa"/>
            <w:vAlign w:val="bottom"/>
            <w:tcBorders>
              <w:bottom w:val="single" w:sz="8" w:color="auto"/>
            </w:tcBorders>
          </w:tcPr>
          <w:p>
            <w:pPr>
              <w:spacing w:after="0"/>
              <w:rPr>
                <w:sz w:val="10"/>
                <w:szCs w:val="10"/>
                <w:color w:val="auto"/>
              </w:rPr>
            </w:pPr>
          </w:p>
        </w:tc>
        <w:tc>
          <w:tcPr>
            <w:tcW w:w="21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left w:val="single" w:sz="8" w:color="auto"/>
              <w:right w:val="single" w:sz="8" w:color="auto"/>
            </w:tcBorders>
            <w:gridSpan w:val="2"/>
            <w:vMerge w:val="continue"/>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65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21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6520" w:type="dxa"/>
            <w:vAlign w:val="bottom"/>
            <w:vMerge w:val="continue"/>
          </w:tcPr>
          <w:p>
            <w:pPr>
              <w:spacing w:after="0"/>
              <w:rPr>
                <w:sz w:val="14"/>
                <w:szCs w:val="14"/>
                <w:color w:val="auto"/>
              </w:rPr>
            </w:pPr>
          </w:p>
        </w:tc>
        <w:tc>
          <w:tcPr>
            <w:tcW w:w="2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left w:val="single" w:sz="8" w:color="auto"/>
              <w:right w:val="single" w:sz="8" w:color="auto"/>
            </w:tcBorders>
            <w:gridSpan w:val="2"/>
            <w:vMerge w:val="continue"/>
          </w:tcPr>
          <w:p>
            <w:pPr>
              <w:spacing w:after="0"/>
              <w:rPr>
                <w:sz w:val="4"/>
                <w:szCs w:val="4"/>
                <w:color w:val="auto"/>
              </w:rPr>
            </w:pPr>
          </w:p>
        </w:tc>
        <w:tc>
          <w:tcPr>
            <w:tcW w:w="660" w:type="dxa"/>
            <w:vAlign w:val="bottom"/>
            <w:tcBorders>
              <w:right w:val="single" w:sz="8" w:color="auto"/>
            </w:tcBorders>
            <w:vMerge w:val="continue"/>
          </w:tcPr>
          <w:p>
            <w:pPr>
              <w:spacing w:after="0"/>
              <w:rPr>
                <w:sz w:val="4"/>
                <w:szCs w:val="4"/>
                <w:color w:val="auto"/>
              </w:rPr>
            </w:pPr>
          </w:p>
        </w:tc>
        <w:tc>
          <w:tcPr>
            <w:tcW w:w="65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1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29"/>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vMerge w:val="continue"/>
          </w:tcPr>
          <w:p>
            <w:pPr>
              <w:spacing w:after="0"/>
              <w:rPr>
                <w:sz w:val="15"/>
                <w:szCs w:val="15"/>
                <w:color w:val="auto"/>
              </w:rPr>
            </w:pPr>
          </w:p>
        </w:tc>
        <w:tc>
          <w:tcPr>
            <w:tcW w:w="6520" w:type="dxa"/>
            <w:vAlign w:val="bottom"/>
            <w:vMerge w:val="continue"/>
          </w:tcPr>
          <w:p>
            <w:pPr>
              <w:spacing w:after="0"/>
              <w:rPr>
                <w:sz w:val="15"/>
                <w:szCs w:val="15"/>
                <w:color w:val="auto"/>
              </w:rPr>
            </w:pPr>
          </w:p>
        </w:tc>
        <w:tc>
          <w:tcPr>
            <w:tcW w:w="21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6520" w:type="dxa"/>
            <w:vAlign w:val="bottom"/>
          </w:tcPr>
          <w:p>
            <w:pPr>
              <w:spacing w:after="0"/>
              <w:rPr>
                <w:sz w:val="4"/>
                <w:szCs w:val="4"/>
                <w:color w:val="auto"/>
              </w:rPr>
            </w:pPr>
          </w:p>
        </w:tc>
        <w:tc>
          <w:tcPr>
            <w:tcW w:w="21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6520" w:type="dxa"/>
            <w:vAlign w:val="bottom"/>
            <w:tcBorders>
              <w:bottom w:val="single" w:sz="8" w:color="auto"/>
            </w:tcBorders>
          </w:tcPr>
          <w:p>
            <w:pPr>
              <w:spacing w:after="0"/>
              <w:rPr>
                <w:sz w:val="24"/>
                <w:szCs w:val="24"/>
                <w:color w:val="auto"/>
              </w:rPr>
            </w:pPr>
          </w:p>
        </w:tc>
        <w:tc>
          <w:tcPr>
            <w:tcW w:w="2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652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vMerge w:val="continue"/>
          </w:tcPr>
          <w:p>
            <w:pPr>
              <w:spacing w:after="0"/>
              <w:rPr>
                <w:sz w:val="24"/>
                <w:szCs w:val="24"/>
                <w:color w:val="auto"/>
              </w:rPr>
            </w:pPr>
          </w:p>
        </w:tc>
        <w:tc>
          <w:tcPr>
            <w:tcW w:w="6520" w:type="dxa"/>
            <w:vAlign w:val="bottom"/>
          </w:tcPr>
          <w:p>
            <w:pPr>
              <w:ind w:left="40"/>
              <w:spacing w:after="0"/>
              <w:rPr>
                <w:sz w:val="20"/>
                <w:szCs w:val="20"/>
                <w:color w:val="auto"/>
              </w:rPr>
            </w:pPr>
            <w:r>
              <w:rPr>
                <w:rFonts w:ascii="Arial" w:cs="Arial" w:eastAsia="Arial" w:hAnsi="Arial"/>
                <w:sz w:val="18"/>
                <w:szCs w:val="18"/>
                <w:color w:val="auto"/>
              </w:rPr>
              <w:t>861,145</w:t>
            </w: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520" w:type="dxa"/>
            <w:vAlign w:val="bottom"/>
            <w:tcBorders>
              <w:bottom w:val="single" w:sz="8" w:color="auto"/>
            </w:tcBorders>
          </w:tcPr>
          <w:p>
            <w:pPr>
              <w:spacing w:after="0"/>
              <w:rPr>
                <w:sz w:val="14"/>
                <w:szCs w:val="14"/>
                <w:color w:val="auto"/>
              </w:rPr>
            </w:pPr>
          </w:p>
        </w:tc>
        <w:tc>
          <w:tcPr>
            <w:tcW w:w="21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7840" w:type="dxa"/>
            <w:vAlign w:val="bottom"/>
            <w:gridSpan w:val="3"/>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w w:val="89"/>
              </w:rPr>
              <w:t>861,145</w:t>
            </w:r>
          </w:p>
        </w:tc>
        <w:tc>
          <w:tcPr>
            <w:tcW w:w="66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70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1002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66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6520" w:type="dxa"/>
            <w:vAlign w:val="bottom"/>
          </w:tcPr>
          <w:p>
            <w:pPr>
              <w:spacing w:after="0"/>
              <w:rPr>
                <w:sz w:val="6"/>
                <w:szCs w:val="6"/>
                <w:color w:val="auto"/>
              </w:rPr>
            </w:pPr>
          </w:p>
        </w:tc>
        <w:tc>
          <w:tcPr>
            <w:tcW w:w="21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520" w:type="dxa"/>
            <w:vAlign w:val="bottom"/>
            <w:tcBorders>
              <w:bottom w:val="single" w:sz="8" w:color="auto"/>
            </w:tcBorders>
          </w:tcPr>
          <w:p>
            <w:pPr>
              <w:spacing w:after="0"/>
              <w:rPr>
                <w:sz w:val="12"/>
                <w:szCs w:val="12"/>
                <w:color w:val="auto"/>
              </w:rPr>
            </w:pPr>
          </w:p>
        </w:tc>
        <w:tc>
          <w:tcPr>
            <w:tcW w:w="21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7840" w:type="dxa"/>
            <w:vAlign w:val="bottom"/>
            <w:gridSpan w:val="3"/>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1.00%</w:t>
            </w:r>
          </w:p>
        </w:tc>
        <w:tc>
          <w:tcPr>
            <w:tcW w:w="66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520" w:type="dxa"/>
            <w:vAlign w:val="bottom"/>
            <w:tcBorders>
              <w:bottom w:val="single" w:sz="8" w:color="auto"/>
            </w:tcBorders>
          </w:tcPr>
          <w:p>
            <w:pPr>
              <w:spacing w:after="0"/>
              <w:rPr>
                <w:sz w:val="14"/>
                <w:szCs w:val="14"/>
                <w:color w:val="auto"/>
              </w:rPr>
            </w:pPr>
          </w:p>
        </w:tc>
        <w:tc>
          <w:tcPr>
            <w:tcW w:w="21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7840" w:type="dxa"/>
            <w:vAlign w:val="bottom"/>
            <w:gridSpan w:val="3"/>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PN</w:t>
            </w:r>
          </w:p>
        </w:tc>
        <w:tc>
          <w:tcPr>
            <w:tcW w:w="66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520" w:type="dxa"/>
            <w:vAlign w:val="bottom"/>
            <w:tcBorders>
              <w:bottom w:val="single" w:sz="8" w:color="auto"/>
            </w:tcBorders>
          </w:tcPr>
          <w:p>
            <w:pPr>
              <w:spacing w:after="0"/>
              <w:rPr>
                <w:sz w:val="14"/>
                <w:szCs w:val="14"/>
                <w:color w:val="auto"/>
              </w:rPr>
            </w:pPr>
          </w:p>
        </w:tc>
        <w:tc>
          <w:tcPr>
            <w:tcW w:w="21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62"/>
        </w:trPr>
        <w:tc>
          <w:tcPr>
            <w:tcW w:w="14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060" w:type="dxa"/>
            <w:vAlign w:val="bottom"/>
            <w:gridSpan w:val="2"/>
          </w:tcPr>
          <w:p>
            <w:pPr>
              <w:spacing w:after="0"/>
              <w:rPr>
                <w:sz w:val="20"/>
                <w:szCs w:val="20"/>
                <w:color w:val="auto"/>
              </w:rPr>
            </w:pPr>
            <w:r>
              <w:rPr>
                <w:rFonts w:ascii="Arial" w:cs="Arial" w:eastAsia="Arial" w:hAnsi="Arial"/>
                <w:sz w:val="18"/>
                <w:szCs w:val="18"/>
                <w:color w:val="auto"/>
              </w:rPr>
              <w:t>CUSIP No. 816212104</w:t>
            </w:r>
          </w:p>
        </w:tc>
        <w:tc>
          <w:tcPr>
            <w:tcW w:w="660" w:type="dxa"/>
            <w:vAlign w:val="bottom"/>
          </w:tcPr>
          <w:p>
            <w:pPr>
              <w:spacing w:after="0"/>
              <w:rPr>
                <w:sz w:val="20"/>
                <w:szCs w:val="20"/>
                <w:color w:val="auto"/>
              </w:rPr>
            </w:pPr>
          </w:p>
        </w:tc>
        <w:tc>
          <w:tcPr>
            <w:tcW w:w="6520" w:type="dxa"/>
            <w:vAlign w:val="bottom"/>
          </w:tcPr>
          <w:p>
            <w:pPr>
              <w:ind w:left="2340"/>
              <w:spacing w:after="0"/>
              <w:rPr>
                <w:sz w:val="20"/>
                <w:szCs w:val="20"/>
                <w:color w:val="auto"/>
              </w:rPr>
            </w:pPr>
            <w:r>
              <w:rPr>
                <w:rFonts w:ascii="Arial" w:cs="Arial" w:eastAsia="Arial" w:hAnsi="Arial"/>
                <w:sz w:val="18"/>
                <w:szCs w:val="18"/>
                <w:color w:val="auto"/>
              </w:rPr>
              <w:t>SCHEDULE 13G</w:t>
            </w:r>
          </w:p>
        </w:tc>
        <w:tc>
          <w:tcPr>
            <w:tcW w:w="2180" w:type="dxa"/>
            <w:vAlign w:val="bottom"/>
          </w:tcPr>
          <w:p>
            <w:pPr>
              <w:ind w:left="900"/>
              <w:spacing w:after="0"/>
              <w:rPr>
                <w:sz w:val="20"/>
                <w:szCs w:val="20"/>
                <w:color w:val="auto"/>
              </w:rPr>
            </w:pPr>
            <w:r>
              <w:rPr>
                <w:rFonts w:ascii="Arial" w:cs="Arial" w:eastAsia="Arial" w:hAnsi="Arial"/>
                <w:sz w:val="18"/>
                <w:szCs w:val="18"/>
                <w:color w:val="auto"/>
                <w:w w:val="83"/>
              </w:rPr>
              <w:t>Page 3 of 8 Pages</w:t>
            </w: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7840" w:type="dxa"/>
            <w:vAlign w:val="bottom"/>
            <w:tcBorders>
              <w:bottom w:val="single" w:sz="8" w:color="auto"/>
            </w:tcBorders>
            <w:gridSpan w:val="3"/>
          </w:tcPr>
          <w:p>
            <w:pPr>
              <w:spacing w:after="0"/>
              <w:rPr>
                <w:sz w:val="21"/>
                <w:szCs w:val="21"/>
                <w:color w:val="auto"/>
              </w:rPr>
            </w:pPr>
          </w:p>
        </w:tc>
        <w:tc>
          <w:tcPr>
            <w:tcW w:w="21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7840" w:type="dxa"/>
            <w:vAlign w:val="bottom"/>
            <w:gridSpan w:val="3"/>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40" w:type="dxa"/>
            <w:vAlign w:val="bottom"/>
            <w:gridSpan w:val="3"/>
          </w:tcPr>
          <w:p>
            <w:pPr>
              <w:ind w:left="40"/>
              <w:spacing w:after="0"/>
              <w:rPr>
                <w:sz w:val="20"/>
                <w:szCs w:val="20"/>
                <w:color w:val="auto"/>
              </w:rPr>
            </w:pPr>
            <w:r>
              <w:rPr>
                <w:rFonts w:ascii="Arial" w:cs="Arial" w:eastAsia="Arial" w:hAnsi="Arial"/>
                <w:sz w:val="18"/>
                <w:szCs w:val="18"/>
                <w:color w:val="auto"/>
              </w:rPr>
              <w:t>MAN GROUP PLC</w:t>
            </w: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7840" w:type="dxa"/>
            <w:vAlign w:val="bottom"/>
            <w:tcBorders>
              <w:bottom w:val="single" w:sz="8" w:color="auto"/>
            </w:tcBorders>
            <w:gridSpan w:val="3"/>
          </w:tcPr>
          <w:p>
            <w:pPr>
              <w:spacing w:after="0"/>
              <w:rPr>
                <w:sz w:val="14"/>
                <w:szCs w:val="14"/>
                <w:color w:val="auto"/>
              </w:rPr>
            </w:pPr>
          </w:p>
        </w:tc>
        <w:tc>
          <w:tcPr>
            <w:tcW w:w="21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7840" w:type="dxa"/>
            <w:vAlign w:val="bottom"/>
            <w:gridSpan w:val="3"/>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66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66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tcPr>
          <w:p>
            <w:pPr>
              <w:spacing w:after="0"/>
              <w:rPr>
                <w:sz w:val="24"/>
                <w:szCs w:val="24"/>
                <w:color w:val="auto"/>
              </w:rPr>
            </w:pPr>
          </w:p>
        </w:tc>
        <w:tc>
          <w:tcPr>
            <w:tcW w:w="2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2"/>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6520" w:type="dxa"/>
            <w:vAlign w:val="bottom"/>
            <w:shd w:val="clear" w:color="auto" w:fill="BFBFBF"/>
          </w:tcPr>
          <w:p>
            <w:pPr>
              <w:spacing w:after="0"/>
              <w:rPr>
                <w:sz w:val="20"/>
                <w:szCs w:val="20"/>
                <w:color w:val="auto"/>
              </w:rPr>
            </w:pPr>
          </w:p>
        </w:tc>
        <w:tc>
          <w:tcPr>
            <w:tcW w:w="218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6520" w:type="dxa"/>
            <w:vAlign w:val="bottom"/>
            <w:shd w:val="clear" w:color="auto" w:fill="BFBFBF"/>
          </w:tcPr>
          <w:p>
            <w:pPr>
              <w:spacing w:after="0"/>
              <w:rPr>
                <w:sz w:val="24"/>
                <w:szCs w:val="24"/>
                <w:color w:val="auto"/>
              </w:rPr>
            </w:pPr>
          </w:p>
        </w:tc>
        <w:tc>
          <w:tcPr>
            <w:tcW w:w="218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6520" w:type="dxa"/>
            <w:vAlign w:val="bottom"/>
            <w:tcBorders>
              <w:bottom w:val="single" w:sz="8" w:color="auto"/>
            </w:tcBorders>
            <w:shd w:val="clear" w:color="auto" w:fill="BFBFBF"/>
          </w:tcPr>
          <w:p>
            <w:pPr>
              <w:spacing w:after="0"/>
              <w:rPr>
                <w:sz w:val="23"/>
                <w:szCs w:val="23"/>
                <w:color w:val="auto"/>
              </w:rPr>
            </w:pPr>
          </w:p>
        </w:tc>
        <w:tc>
          <w:tcPr>
            <w:tcW w:w="218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7840" w:type="dxa"/>
            <w:vAlign w:val="bottom"/>
            <w:gridSpan w:val="3"/>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Jersey</w:t>
            </w:r>
          </w:p>
        </w:tc>
        <w:tc>
          <w:tcPr>
            <w:tcW w:w="66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520" w:type="dxa"/>
            <w:vAlign w:val="bottom"/>
            <w:tcBorders>
              <w:bottom w:val="single" w:sz="8" w:color="auto"/>
            </w:tcBorders>
          </w:tcPr>
          <w:p>
            <w:pPr>
              <w:spacing w:after="0"/>
              <w:rPr>
                <w:sz w:val="14"/>
                <w:szCs w:val="14"/>
                <w:color w:val="auto"/>
              </w:rPr>
            </w:pPr>
          </w:p>
        </w:tc>
        <w:tc>
          <w:tcPr>
            <w:tcW w:w="21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652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vMerge w:val="continue"/>
          </w:tcPr>
          <w:p>
            <w:pPr>
              <w:spacing w:after="0"/>
              <w:rPr>
                <w:sz w:val="24"/>
                <w:szCs w:val="24"/>
                <w:color w:val="auto"/>
              </w:rPr>
            </w:pPr>
          </w:p>
        </w:tc>
        <w:tc>
          <w:tcPr>
            <w:tcW w:w="6520" w:type="dxa"/>
            <w:vAlign w:val="bottom"/>
          </w:tcPr>
          <w:p>
            <w:pPr>
              <w:ind w:left="40"/>
              <w:spacing w:after="0"/>
              <w:rPr>
                <w:sz w:val="20"/>
                <w:szCs w:val="20"/>
                <w:color w:val="auto"/>
              </w:rPr>
            </w:pPr>
            <w:r>
              <w:rPr>
                <w:rFonts w:ascii="Arial" w:cs="Arial" w:eastAsia="Arial" w:hAnsi="Arial"/>
                <w:sz w:val="18"/>
                <w:szCs w:val="18"/>
                <w:color w:val="auto"/>
              </w:rPr>
              <w:t>0</w:t>
            </w: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520" w:type="dxa"/>
            <w:vAlign w:val="bottom"/>
            <w:tcBorders>
              <w:bottom w:val="single" w:sz="8" w:color="auto"/>
            </w:tcBorders>
          </w:tcPr>
          <w:p>
            <w:pPr>
              <w:spacing w:after="0"/>
              <w:rPr>
                <w:sz w:val="14"/>
                <w:szCs w:val="14"/>
                <w:color w:val="auto"/>
              </w:rPr>
            </w:pPr>
          </w:p>
        </w:tc>
        <w:tc>
          <w:tcPr>
            <w:tcW w:w="21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652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60" w:type="dxa"/>
            <w:vAlign w:val="bottom"/>
            <w:tcBorders>
              <w:right w:val="single" w:sz="8" w:color="auto"/>
            </w:tcBorders>
            <w:vMerge w:val="continue"/>
          </w:tcPr>
          <w:p>
            <w:pPr>
              <w:spacing w:after="0"/>
              <w:rPr>
                <w:sz w:val="19"/>
                <w:szCs w:val="19"/>
                <w:color w:val="auto"/>
              </w:rPr>
            </w:pPr>
          </w:p>
        </w:tc>
        <w:tc>
          <w:tcPr>
            <w:tcW w:w="6520" w:type="dxa"/>
            <w:vAlign w:val="bottom"/>
            <w:vMerge w:val="restart"/>
          </w:tcPr>
          <w:p>
            <w:pPr>
              <w:ind w:left="40"/>
              <w:spacing w:after="0"/>
              <w:rPr>
                <w:sz w:val="20"/>
                <w:szCs w:val="20"/>
                <w:color w:val="auto"/>
              </w:rPr>
            </w:pPr>
            <w:r>
              <w:rPr>
                <w:rFonts w:ascii="Arial" w:cs="Arial" w:eastAsia="Arial" w:hAnsi="Arial"/>
                <w:sz w:val="18"/>
                <w:szCs w:val="18"/>
                <w:color w:val="auto"/>
              </w:rPr>
              <w:t>861,145</w:t>
            </w:r>
          </w:p>
        </w:tc>
        <w:tc>
          <w:tcPr>
            <w:tcW w:w="21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660" w:type="dxa"/>
            <w:vAlign w:val="bottom"/>
            <w:tcBorders>
              <w:right w:val="single" w:sz="8" w:color="auto"/>
            </w:tcBorders>
          </w:tcPr>
          <w:p>
            <w:pPr>
              <w:spacing w:after="0"/>
              <w:rPr>
                <w:sz w:val="18"/>
                <w:szCs w:val="18"/>
                <w:color w:val="auto"/>
              </w:rPr>
            </w:pPr>
          </w:p>
        </w:tc>
        <w:tc>
          <w:tcPr>
            <w:tcW w:w="6520" w:type="dxa"/>
            <w:vAlign w:val="bottom"/>
            <w:vMerge w:val="continue"/>
          </w:tcPr>
          <w:p>
            <w:pPr>
              <w:spacing w:after="0"/>
              <w:rPr>
                <w:sz w:val="18"/>
                <w:szCs w:val="18"/>
                <w:color w:val="auto"/>
              </w:rPr>
            </w:pPr>
          </w:p>
        </w:tc>
        <w:tc>
          <w:tcPr>
            <w:tcW w:w="2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660" w:type="dxa"/>
            <w:vAlign w:val="bottom"/>
            <w:tcBorders>
              <w:bottom w:val="single" w:sz="8" w:color="auto"/>
              <w:right w:val="single" w:sz="8" w:color="auto"/>
            </w:tcBorders>
          </w:tcPr>
          <w:p>
            <w:pPr>
              <w:spacing w:after="0"/>
              <w:rPr>
                <w:sz w:val="10"/>
                <w:szCs w:val="10"/>
                <w:color w:val="auto"/>
              </w:rPr>
            </w:pPr>
          </w:p>
        </w:tc>
        <w:tc>
          <w:tcPr>
            <w:tcW w:w="6520" w:type="dxa"/>
            <w:vAlign w:val="bottom"/>
            <w:tcBorders>
              <w:bottom w:val="single" w:sz="8" w:color="auto"/>
            </w:tcBorders>
          </w:tcPr>
          <w:p>
            <w:pPr>
              <w:spacing w:after="0"/>
              <w:rPr>
                <w:sz w:val="10"/>
                <w:szCs w:val="10"/>
                <w:color w:val="auto"/>
              </w:rPr>
            </w:pPr>
          </w:p>
        </w:tc>
        <w:tc>
          <w:tcPr>
            <w:tcW w:w="21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left w:val="single" w:sz="8" w:color="auto"/>
              <w:right w:val="single" w:sz="8" w:color="auto"/>
            </w:tcBorders>
            <w:gridSpan w:val="2"/>
            <w:vMerge w:val="continue"/>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65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21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6520" w:type="dxa"/>
            <w:vAlign w:val="bottom"/>
            <w:vMerge w:val="continue"/>
          </w:tcPr>
          <w:p>
            <w:pPr>
              <w:spacing w:after="0"/>
              <w:rPr>
                <w:sz w:val="14"/>
                <w:szCs w:val="14"/>
                <w:color w:val="auto"/>
              </w:rPr>
            </w:pPr>
          </w:p>
        </w:tc>
        <w:tc>
          <w:tcPr>
            <w:tcW w:w="2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left w:val="single" w:sz="8" w:color="auto"/>
              <w:right w:val="single" w:sz="8" w:color="auto"/>
            </w:tcBorders>
            <w:gridSpan w:val="2"/>
            <w:vMerge w:val="continue"/>
          </w:tcPr>
          <w:p>
            <w:pPr>
              <w:spacing w:after="0"/>
              <w:rPr>
                <w:sz w:val="4"/>
                <w:szCs w:val="4"/>
                <w:color w:val="auto"/>
              </w:rPr>
            </w:pPr>
          </w:p>
        </w:tc>
        <w:tc>
          <w:tcPr>
            <w:tcW w:w="660" w:type="dxa"/>
            <w:vAlign w:val="bottom"/>
            <w:tcBorders>
              <w:right w:val="single" w:sz="8" w:color="auto"/>
            </w:tcBorders>
            <w:vMerge w:val="continue"/>
          </w:tcPr>
          <w:p>
            <w:pPr>
              <w:spacing w:after="0"/>
              <w:rPr>
                <w:sz w:val="4"/>
                <w:szCs w:val="4"/>
                <w:color w:val="auto"/>
              </w:rPr>
            </w:pPr>
          </w:p>
        </w:tc>
        <w:tc>
          <w:tcPr>
            <w:tcW w:w="65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1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29"/>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vMerge w:val="continue"/>
          </w:tcPr>
          <w:p>
            <w:pPr>
              <w:spacing w:after="0"/>
              <w:rPr>
                <w:sz w:val="15"/>
                <w:szCs w:val="15"/>
                <w:color w:val="auto"/>
              </w:rPr>
            </w:pPr>
          </w:p>
        </w:tc>
        <w:tc>
          <w:tcPr>
            <w:tcW w:w="6520" w:type="dxa"/>
            <w:vAlign w:val="bottom"/>
            <w:vMerge w:val="continue"/>
          </w:tcPr>
          <w:p>
            <w:pPr>
              <w:spacing w:after="0"/>
              <w:rPr>
                <w:sz w:val="15"/>
                <w:szCs w:val="15"/>
                <w:color w:val="auto"/>
              </w:rPr>
            </w:pPr>
          </w:p>
        </w:tc>
        <w:tc>
          <w:tcPr>
            <w:tcW w:w="21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6520" w:type="dxa"/>
            <w:vAlign w:val="bottom"/>
          </w:tcPr>
          <w:p>
            <w:pPr>
              <w:spacing w:after="0"/>
              <w:rPr>
                <w:sz w:val="4"/>
                <w:szCs w:val="4"/>
                <w:color w:val="auto"/>
              </w:rPr>
            </w:pPr>
          </w:p>
        </w:tc>
        <w:tc>
          <w:tcPr>
            <w:tcW w:w="21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6520" w:type="dxa"/>
            <w:vAlign w:val="bottom"/>
            <w:tcBorders>
              <w:bottom w:val="single" w:sz="8" w:color="auto"/>
            </w:tcBorders>
          </w:tcPr>
          <w:p>
            <w:pPr>
              <w:spacing w:after="0"/>
              <w:rPr>
                <w:sz w:val="24"/>
                <w:szCs w:val="24"/>
                <w:color w:val="auto"/>
              </w:rPr>
            </w:pPr>
          </w:p>
        </w:tc>
        <w:tc>
          <w:tcPr>
            <w:tcW w:w="2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652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vMerge w:val="continue"/>
          </w:tcPr>
          <w:p>
            <w:pPr>
              <w:spacing w:after="0"/>
              <w:rPr>
                <w:sz w:val="24"/>
                <w:szCs w:val="24"/>
                <w:color w:val="auto"/>
              </w:rPr>
            </w:pPr>
          </w:p>
        </w:tc>
        <w:tc>
          <w:tcPr>
            <w:tcW w:w="6520" w:type="dxa"/>
            <w:vAlign w:val="bottom"/>
          </w:tcPr>
          <w:p>
            <w:pPr>
              <w:ind w:left="40"/>
              <w:spacing w:after="0"/>
              <w:rPr>
                <w:sz w:val="20"/>
                <w:szCs w:val="20"/>
                <w:color w:val="auto"/>
              </w:rPr>
            </w:pPr>
            <w:r>
              <w:rPr>
                <w:rFonts w:ascii="Arial" w:cs="Arial" w:eastAsia="Arial" w:hAnsi="Arial"/>
                <w:sz w:val="18"/>
                <w:szCs w:val="18"/>
                <w:color w:val="auto"/>
              </w:rPr>
              <w:t>861,145</w:t>
            </w: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520" w:type="dxa"/>
            <w:vAlign w:val="bottom"/>
            <w:tcBorders>
              <w:bottom w:val="single" w:sz="8" w:color="auto"/>
            </w:tcBorders>
          </w:tcPr>
          <w:p>
            <w:pPr>
              <w:spacing w:after="0"/>
              <w:rPr>
                <w:sz w:val="14"/>
                <w:szCs w:val="14"/>
                <w:color w:val="auto"/>
              </w:rPr>
            </w:pPr>
          </w:p>
        </w:tc>
        <w:tc>
          <w:tcPr>
            <w:tcW w:w="21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7840" w:type="dxa"/>
            <w:vAlign w:val="bottom"/>
            <w:gridSpan w:val="3"/>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w w:val="89"/>
              </w:rPr>
              <w:t>861,145</w:t>
            </w:r>
          </w:p>
        </w:tc>
        <w:tc>
          <w:tcPr>
            <w:tcW w:w="66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70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1002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66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6520" w:type="dxa"/>
            <w:vAlign w:val="bottom"/>
          </w:tcPr>
          <w:p>
            <w:pPr>
              <w:spacing w:after="0"/>
              <w:rPr>
                <w:sz w:val="6"/>
                <w:szCs w:val="6"/>
                <w:color w:val="auto"/>
              </w:rPr>
            </w:pPr>
          </w:p>
        </w:tc>
        <w:tc>
          <w:tcPr>
            <w:tcW w:w="21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520" w:type="dxa"/>
            <w:vAlign w:val="bottom"/>
            <w:tcBorders>
              <w:bottom w:val="single" w:sz="8" w:color="auto"/>
            </w:tcBorders>
          </w:tcPr>
          <w:p>
            <w:pPr>
              <w:spacing w:after="0"/>
              <w:rPr>
                <w:sz w:val="12"/>
                <w:szCs w:val="12"/>
                <w:color w:val="auto"/>
              </w:rPr>
            </w:pPr>
          </w:p>
        </w:tc>
        <w:tc>
          <w:tcPr>
            <w:tcW w:w="21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7840" w:type="dxa"/>
            <w:vAlign w:val="bottom"/>
            <w:gridSpan w:val="3"/>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1.00%</w:t>
            </w:r>
          </w:p>
        </w:tc>
        <w:tc>
          <w:tcPr>
            <w:tcW w:w="66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520" w:type="dxa"/>
            <w:vAlign w:val="bottom"/>
            <w:tcBorders>
              <w:bottom w:val="single" w:sz="8" w:color="auto"/>
            </w:tcBorders>
          </w:tcPr>
          <w:p>
            <w:pPr>
              <w:spacing w:after="0"/>
              <w:rPr>
                <w:sz w:val="14"/>
                <w:szCs w:val="14"/>
                <w:color w:val="auto"/>
              </w:rPr>
            </w:pPr>
          </w:p>
        </w:tc>
        <w:tc>
          <w:tcPr>
            <w:tcW w:w="21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7840" w:type="dxa"/>
            <w:vAlign w:val="bottom"/>
            <w:gridSpan w:val="3"/>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w w:val="90"/>
              </w:rPr>
              <w:t>OO, HC</w:t>
            </w:r>
          </w:p>
        </w:tc>
        <w:tc>
          <w:tcPr>
            <w:tcW w:w="66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520" w:type="dxa"/>
            <w:vAlign w:val="bottom"/>
            <w:tcBorders>
              <w:bottom w:val="single" w:sz="8" w:color="auto"/>
            </w:tcBorders>
          </w:tcPr>
          <w:p>
            <w:pPr>
              <w:spacing w:after="0"/>
              <w:rPr>
                <w:sz w:val="14"/>
                <w:szCs w:val="14"/>
                <w:color w:val="auto"/>
              </w:rPr>
            </w:pPr>
          </w:p>
        </w:tc>
        <w:tc>
          <w:tcPr>
            <w:tcW w:w="21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62"/>
        </w:trPr>
        <w:tc>
          <w:tcPr>
            <w:tcW w:w="14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 w:name="page4"/>
    <w:bookmarkEnd w:id="3"/>
    <w:p>
      <w:pPr>
        <w:jc w:val="right"/>
        <w:spacing w:after="0"/>
        <w:tabs>
          <w:tab w:leader="none" w:pos="1260" w:val="left"/>
        </w:tabs>
        <w:rPr>
          <w:sz w:val="20"/>
          <w:szCs w:val="20"/>
          <w:color w:val="auto"/>
        </w:rPr>
      </w:pP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4 of 8 Pages</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Selecta Biosciences, Inc. (the “Issuer”)</w:t>
      </w:r>
    </w:p>
    <w:p>
      <w:pPr>
        <w:spacing w:after="0" w:line="23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480 Arsenal Way, Watertown, MA 024720</w:t>
      </w:r>
    </w:p>
    <w:p>
      <w:pPr>
        <w:spacing w:after="0" w:line="23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This Statement is filed on behalf of each of the following persons (collectively, the “Reporting Persons”):</w:t>
      </w:r>
    </w:p>
    <w:p>
      <w:pPr>
        <w:spacing w:after="0" w:line="240" w:lineRule="exact"/>
        <w:rPr>
          <w:sz w:val="20"/>
          <w:szCs w:val="20"/>
          <w:color w:val="auto"/>
        </w:rPr>
      </w:pPr>
    </w:p>
    <w:p>
      <w:pPr>
        <w:ind w:left="1960" w:hanging="655"/>
        <w:spacing w:after="0"/>
        <w:tabs>
          <w:tab w:leader="none" w:pos="1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GLG Partners LP (the “Investment Manager”); and</w:t>
      </w:r>
    </w:p>
    <w:p>
      <w:pPr>
        <w:spacing w:after="0" w:line="23" w:lineRule="exact"/>
        <w:rPr>
          <w:rFonts w:ascii="Arial" w:cs="Arial" w:eastAsia="Arial" w:hAnsi="Arial"/>
          <w:sz w:val="18"/>
          <w:szCs w:val="18"/>
          <w:color w:val="auto"/>
        </w:rPr>
      </w:pPr>
    </w:p>
    <w:p>
      <w:pPr>
        <w:ind w:left="1960" w:hanging="655"/>
        <w:spacing w:after="0"/>
        <w:tabs>
          <w:tab w:leader="none" w:pos="1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Man Group plc (the “Parent Company”).</w:t>
      </w:r>
    </w:p>
    <w:p>
      <w:pPr>
        <w:spacing w:after="0" w:line="231" w:lineRule="exact"/>
        <w:rPr>
          <w:sz w:val="20"/>
          <w:szCs w:val="20"/>
          <w:color w:val="auto"/>
        </w:rPr>
      </w:pPr>
    </w:p>
    <w:p>
      <w:pPr>
        <w:ind w:right="220" w:firstLine="1297"/>
        <w:spacing w:after="0"/>
        <w:rPr>
          <w:sz w:val="20"/>
          <w:szCs w:val="20"/>
          <w:color w:val="auto"/>
        </w:rPr>
      </w:pPr>
      <w:r>
        <w:rPr>
          <w:rFonts w:ascii="Arial" w:cs="Arial" w:eastAsia="Arial" w:hAnsi="Arial"/>
          <w:sz w:val="22"/>
          <w:szCs w:val="22"/>
          <w:color w:val="auto"/>
        </w:rPr>
        <w:t>This Statement relates to Shares (as defined herein) held by certain funds and/or managed accounts to which the Investment Manager serves as investment manager (collectively, the “GLG Funds”). Parent Company indirectly, through various intermediate entities, controls the Investment Manager.</w:t>
      </w:r>
    </w:p>
    <w:p>
      <w:pPr>
        <w:spacing w:after="0" w:line="21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249" w:lineRule="exact"/>
        <w:rPr>
          <w:sz w:val="20"/>
          <w:szCs w:val="20"/>
          <w:color w:val="auto"/>
        </w:rPr>
      </w:pPr>
    </w:p>
    <w:p>
      <w:pPr>
        <w:ind w:right="340" w:firstLine="1297"/>
        <w:spacing w:after="0" w:line="251" w:lineRule="auto"/>
        <w:rPr>
          <w:sz w:val="20"/>
          <w:szCs w:val="20"/>
          <w:color w:val="auto"/>
        </w:rPr>
      </w:pPr>
      <w:r>
        <w:rPr>
          <w:rFonts w:ascii="Arial" w:cs="Arial" w:eastAsia="Arial" w:hAnsi="Arial"/>
          <w:sz w:val="22"/>
          <w:szCs w:val="22"/>
          <w:color w:val="auto"/>
        </w:rPr>
        <w:t>The address of the principal business office of each Reporting Person is Riverbank House, 2 Swan Lane, London EC4R 3AD, United Kingdom.</w:t>
      </w:r>
    </w:p>
    <w:p>
      <w:pPr>
        <w:spacing w:after="0" w:line="20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080" w:type="dxa"/>
            <w:vAlign w:val="bottom"/>
            <w:vMerge w:val="restart"/>
          </w:tcPr>
          <w:p>
            <w:pPr>
              <w:spacing w:after="0"/>
              <w:rPr>
                <w:sz w:val="20"/>
                <w:szCs w:val="20"/>
                <w:color w:val="auto"/>
              </w:rPr>
            </w:pPr>
            <w:r>
              <w:rPr>
                <w:rFonts w:ascii="Arial" w:cs="Arial" w:eastAsia="Arial" w:hAnsi="Arial"/>
                <w:sz w:val="22"/>
                <w:szCs w:val="22"/>
                <w:color w:val="auto"/>
              </w:rPr>
              <w:t>company.</w:t>
            </w:r>
          </w:p>
        </w:tc>
        <w:tc>
          <w:tcPr>
            <w:tcW w:w="10100" w:type="dxa"/>
            <w:vAlign w:val="bottom"/>
          </w:tcPr>
          <w:p>
            <w:pPr>
              <w:ind w:left="220"/>
              <w:spacing w:after="0"/>
              <w:rPr>
                <w:sz w:val="20"/>
                <w:szCs w:val="20"/>
                <w:color w:val="auto"/>
              </w:rPr>
            </w:pPr>
            <w:r>
              <w:rPr>
                <w:rFonts w:ascii="Arial" w:cs="Arial" w:eastAsia="Arial" w:hAnsi="Arial"/>
                <w:sz w:val="22"/>
                <w:szCs w:val="22"/>
                <w:color w:val="auto"/>
                <w:w w:val="89"/>
              </w:rPr>
              <w:t>The Investment Manager is a United Kingdom limited partnership. The Parent Company is a Jersey public limited</w:t>
            </w:r>
          </w:p>
        </w:tc>
        <w:tc>
          <w:tcPr>
            <w:tcW w:w="0" w:type="dxa"/>
            <w:vAlign w:val="bottom"/>
          </w:tcPr>
          <w:p>
            <w:pPr>
              <w:spacing w:after="0"/>
              <w:rPr>
                <w:sz w:val="1"/>
                <w:szCs w:val="1"/>
                <w:color w:val="auto"/>
              </w:rPr>
            </w:pPr>
          </w:p>
        </w:tc>
      </w:tr>
      <w:tr>
        <w:trPr>
          <w:trHeight w:val="243"/>
        </w:trPr>
        <w:tc>
          <w:tcPr>
            <w:tcW w:w="1080" w:type="dxa"/>
            <w:vAlign w:val="bottom"/>
            <w:vMerge w:val="continue"/>
          </w:tcPr>
          <w:p>
            <w:pPr>
              <w:spacing w:after="0"/>
              <w:rPr>
                <w:sz w:val="21"/>
                <w:szCs w:val="21"/>
                <w:color w:val="auto"/>
              </w:rPr>
            </w:pPr>
          </w:p>
        </w:tc>
        <w:tc>
          <w:tcPr>
            <w:tcW w:w="10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9"/>
        </w:trPr>
        <w:tc>
          <w:tcPr>
            <w:tcW w:w="1080" w:type="dxa"/>
            <w:vAlign w:val="bottom"/>
          </w:tcPr>
          <w:p>
            <w:pPr>
              <w:spacing w:after="0"/>
              <w:rPr>
                <w:sz w:val="20"/>
                <w:szCs w:val="20"/>
                <w:color w:val="auto"/>
              </w:rPr>
            </w:pPr>
            <w:r>
              <w:rPr>
                <w:rFonts w:ascii="Arial" w:cs="Arial" w:eastAsia="Arial" w:hAnsi="Arial"/>
                <w:sz w:val="18"/>
                <w:szCs w:val="18"/>
                <w:b w:val="1"/>
                <w:bCs w:val="1"/>
                <w:color w:val="auto"/>
              </w:rPr>
              <w:t>Item 2(d).</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Title of Class of Securities:</w:t>
            </w:r>
          </w:p>
        </w:tc>
        <w:tc>
          <w:tcPr>
            <w:tcW w:w="0" w:type="dxa"/>
            <w:vAlign w:val="bottom"/>
          </w:tcPr>
          <w:p>
            <w:pPr>
              <w:spacing w:after="0"/>
              <w:rPr>
                <w:sz w:val="1"/>
                <w:szCs w:val="1"/>
                <w:color w:val="auto"/>
              </w:rPr>
            </w:pPr>
          </w:p>
        </w:tc>
      </w:tr>
      <w:tr>
        <w:trPr>
          <w:trHeight w:val="496"/>
        </w:trPr>
        <w:tc>
          <w:tcPr>
            <w:tcW w:w="1080" w:type="dxa"/>
            <w:vAlign w:val="bottom"/>
          </w:tcPr>
          <w:p>
            <w:pPr>
              <w:spacing w:after="0"/>
              <w:rPr>
                <w:sz w:val="24"/>
                <w:szCs w:val="24"/>
                <w:color w:val="auto"/>
              </w:rPr>
            </w:pPr>
          </w:p>
        </w:tc>
        <w:tc>
          <w:tcPr>
            <w:tcW w:w="10100" w:type="dxa"/>
            <w:vAlign w:val="bottom"/>
          </w:tcPr>
          <w:p>
            <w:pPr>
              <w:ind w:left="220"/>
              <w:spacing w:after="0"/>
              <w:rPr>
                <w:sz w:val="20"/>
                <w:szCs w:val="20"/>
                <w:color w:val="auto"/>
              </w:rPr>
            </w:pPr>
            <w:r>
              <w:rPr>
                <w:rFonts w:ascii="Arial" w:cs="Arial" w:eastAsia="Arial" w:hAnsi="Arial"/>
                <w:sz w:val="22"/>
                <w:szCs w:val="22"/>
                <w:color w:val="auto"/>
              </w:rPr>
              <w:t>Common stock, par value $0.0001 per share (the “Shares”)</w:t>
            </w:r>
          </w:p>
        </w:tc>
        <w:tc>
          <w:tcPr>
            <w:tcW w:w="0" w:type="dxa"/>
            <w:vAlign w:val="bottom"/>
          </w:tcPr>
          <w:p>
            <w:pPr>
              <w:spacing w:after="0"/>
              <w:rPr>
                <w:sz w:val="1"/>
                <w:szCs w:val="1"/>
                <w:color w:val="auto"/>
              </w:rPr>
            </w:pPr>
          </w:p>
        </w:tc>
      </w:tr>
      <w:tr>
        <w:trPr>
          <w:trHeight w:val="422"/>
        </w:trPr>
        <w:tc>
          <w:tcPr>
            <w:tcW w:w="1080" w:type="dxa"/>
            <w:vAlign w:val="bottom"/>
          </w:tcPr>
          <w:p>
            <w:pPr>
              <w:spacing w:after="0"/>
              <w:rPr>
                <w:sz w:val="20"/>
                <w:szCs w:val="20"/>
                <w:color w:val="auto"/>
              </w:rPr>
            </w:pPr>
            <w:r>
              <w:rPr>
                <w:rFonts w:ascii="Arial" w:cs="Arial" w:eastAsia="Arial" w:hAnsi="Arial"/>
                <w:sz w:val="18"/>
                <w:szCs w:val="18"/>
                <w:b w:val="1"/>
                <w:bCs w:val="1"/>
                <w:color w:val="auto"/>
              </w:rPr>
              <w:t>Item 2(e).</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CUSIP Number:</w:t>
            </w:r>
          </w:p>
        </w:tc>
        <w:tc>
          <w:tcPr>
            <w:tcW w:w="0" w:type="dxa"/>
            <w:vAlign w:val="bottom"/>
          </w:tcPr>
          <w:p>
            <w:pPr>
              <w:spacing w:after="0"/>
              <w:rPr>
                <w:sz w:val="1"/>
                <w:szCs w:val="1"/>
                <w:color w:val="auto"/>
              </w:rPr>
            </w:pPr>
          </w:p>
        </w:tc>
      </w:tr>
      <w:tr>
        <w:trPr>
          <w:trHeight w:val="496"/>
        </w:trPr>
        <w:tc>
          <w:tcPr>
            <w:tcW w:w="1080" w:type="dxa"/>
            <w:vAlign w:val="bottom"/>
          </w:tcPr>
          <w:p>
            <w:pPr>
              <w:spacing w:after="0"/>
              <w:rPr>
                <w:sz w:val="24"/>
                <w:szCs w:val="24"/>
                <w:color w:val="auto"/>
              </w:rPr>
            </w:pPr>
          </w:p>
        </w:tc>
        <w:tc>
          <w:tcPr>
            <w:tcW w:w="10100" w:type="dxa"/>
            <w:vAlign w:val="bottom"/>
          </w:tcPr>
          <w:p>
            <w:pPr>
              <w:ind w:left="220"/>
              <w:spacing w:after="0"/>
              <w:rPr>
                <w:sz w:val="20"/>
                <w:szCs w:val="20"/>
                <w:color w:val="auto"/>
              </w:rPr>
            </w:pPr>
            <w:r>
              <w:rPr>
                <w:rFonts w:ascii="Arial" w:cs="Arial" w:eastAsia="Arial" w:hAnsi="Arial"/>
                <w:sz w:val="22"/>
                <w:szCs w:val="22"/>
                <w:color w:val="auto"/>
              </w:rPr>
              <w:t>816212104</w:t>
            </w:r>
          </w:p>
        </w:tc>
        <w:tc>
          <w:tcPr>
            <w:tcW w:w="0" w:type="dxa"/>
            <w:vAlign w:val="bottom"/>
          </w:tcPr>
          <w:p>
            <w:pPr>
              <w:spacing w:after="0"/>
              <w:rPr>
                <w:sz w:val="1"/>
                <w:szCs w:val="1"/>
                <w:color w:val="auto"/>
              </w:rPr>
            </w:pPr>
          </w:p>
        </w:tc>
      </w:tr>
      <w:tr>
        <w:trPr>
          <w:trHeight w:val="449"/>
        </w:trPr>
        <w:tc>
          <w:tcPr>
            <w:tcW w:w="108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If This Statement is Filed Pursuant to §§240.13d-1(b) or 240.13d-2(b) or (c), Check Whether the Person Filing is a:</w:t>
            </w:r>
          </w:p>
        </w:tc>
        <w:tc>
          <w:tcPr>
            <w:tcW w:w="0" w:type="dxa"/>
            <w:vAlign w:val="bottom"/>
          </w:tcPr>
          <w:p>
            <w:pPr>
              <w:spacing w:after="0"/>
              <w:rPr>
                <w:sz w:val="1"/>
                <w:szCs w:val="1"/>
                <w:color w:val="auto"/>
              </w:rPr>
            </w:pPr>
          </w:p>
        </w:tc>
      </w:tr>
      <w:tr>
        <w:trPr>
          <w:trHeight w:val="496"/>
        </w:trPr>
        <w:tc>
          <w:tcPr>
            <w:tcW w:w="1080" w:type="dxa"/>
            <w:vAlign w:val="bottom"/>
          </w:tcPr>
          <w:p>
            <w:pPr>
              <w:spacing w:after="0"/>
              <w:rPr>
                <w:sz w:val="24"/>
                <w:szCs w:val="24"/>
                <w:color w:val="auto"/>
              </w:rPr>
            </w:pPr>
          </w:p>
        </w:tc>
        <w:tc>
          <w:tcPr>
            <w:tcW w:w="10100" w:type="dxa"/>
            <w:vAlign w:val="bottom"/>
          </w:tcPr>
          <w:p>
            <w:pPr>
              <w:ind w:left="220"/>
              <w:spacing w:after="0"/>
              <w:rPr>
                <w:sz w:val="20"/>
                <w:szCs w:val="20"/>
                <w:color w:val="auto"/>
              </w:rPr>
            </w:pPr>
            <w:r>
              <w:rPr>
                <w:rFonts w:ascii="Arial" w:cs="Arial" w:eastAsia="Arial" w:hAnsi="Arial"/>
                <w:sz w:val="22"/>
                <w:szCs w:val="22"/>
                <w:color w:val="auto"/>
              </w:rPr>
              <w:t>This Item 3 is not applicable.</w:t>
            </w:r>
          </w:p>
        </w:tc>
        <w:tc>
          <w:tcPr>
            <w:tcW w:w="0" w:type="dxa"/>
            <w:vAlign w:val="bottom"/>
          </w:tcPr>
          <w:p>
            <w:pPr>
              <w:spacing w:after="0"/>
              <w:rPr>
                <w:sz w:val="1"/>
                <w:szCs w:val="1"/>
                <w:color w:val="auto"/>
              </w:rPr>
            </w:pPr>
          </w:p>
        </w:tc>
      </w:tr>
      <w:tr>
        <w:trPr>
          <w:trHeight w:val="431"/>
        </w:trPr>
        <w:tc>
          <w:tcPr>
            <w:tcW w:w="108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Ownership:</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r>
              <w:rPr>
                <w:rFonts w:ascii="Arial" w:cs="Arial" w:eastAsia="Arial" w:hAnsi="Arial"/>
                <w:sz w:val="18"/>
                <w:szCs w:val="18"/>
                <w:b w:val="1"/>
                <w:bCs w:val="1"/>
                <w:color w:val="auto"/>
              </w:rPr>
              <w:t>Item 4(a)</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Amount Beneficially Owned:</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480" w:firstLine="1297"/>
        <w:spacing w:after="0" w:line="358" w:lineRule="auto"/>
        <w:rPr>
          <w:sz w:val="20"/>
          <w:szCs w:val="20"/>
          <w:color w:val="auto"/>
        </w:rPr>
      </w:pPr>
      <w:r>
        <w:rPr>
          <w:rFonts w:ascii="Arial" w:cs="Arial" w:eastAsia="Arial" w:hAnsi="Arial"/>
          <w:sz w:val="19"/>
          <w:szCs w:val="19"/>
          <w:color w:val="auto"/>
        </w:rPr>
        <w:t>As of December 31, 2019, each of the Reporting Persons may be deemed to be the beneficial owner of 861,145 Shares held by the GLG Funds. The Parent Company hereby disclaims any beneficial ownership of any such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jc w:val="right"/>
        <w:spacing w:after="0"/>
        <w:tabs>
          <w:tab w:leader="none" w:pos="1260" w:val="left"/>
        </w:tabs>
        <w:rPr>
          <w:sz w:val="20"/>
          <w:szCs w:val="20"/>
          <w:color w:val="auto"/>
        </w:rPr>
      </w:pP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5 of 8 Pages</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4(b)</w:t>
      </w:r>
      <w:r>
        <w:rPr>
          <w:sz w:val="20"/>
          <w:szCs w:val="20"/>
          <w:color w:val="auto"/>
        </w:rPr>
        <w:tab/>
      </w:r>
      <w:r>
        <w:rPr>
          <w:rFonts w:ascii="Arial" w:cs="Arial" w:eastAsia="Arial" w:hAnsi="Arial"/>
          <w:sz w:val="15"/>
          <w:szCs w:val="15"/>
          <w:b w:val="1"/>
          <w:bCs w:val="1"/>
          <w:color w:val="auto"/>
        </w:rPr>
        <w:t>Percent of Class:</w:t>
      </w:r>
    </w:p>
    <w:p>
      <w:pPr>
        <w:spacing w:after="0" w:line="263" w:lineRule="exact"/>
        <w:rPr>
          <w:sz w:val="20"/>
          <w:szCs w:val="20"/>
          <w:color w:val="auto"/>
        </w:rPr>
      </w:pPr>
    </w:p>
    <w:p>
      <w:pPr>
        <w:ind w:right="180" w:firstLine="1297"/>
        <w:spacing w:after="0" w:line="327" w:lineRule="auto"/>
        <w:rPr>
          <w:sz w:val="20"/>
          <w:szCs w:val="20"/>
          <w:color w:val="auto"/>
        </w:rPr>
      </w:pPr>
      <w:r>
        <w:rPr>
          <w:rFonts w:ascii="Arial" w:cs="Arial" w:eastAsia="Arial" w:hAnsi="Arial"/>
          <w:sz w:val="19"/>
          <w:szCs w:val="19"/>
          <w:color w:val="auto"/>
        </w:rPr>
        <w:t>As of December 31, 2019, each of the Reporting Persons may be deemed the beneficial owner of approximately 1.00% of Shares outstanding. (This percentage is based on 86,325,547 Shares outstanding as of December 23, 2019 as reported in the Issuer's Form S-3, filed with the Securities and Exchange Commission on January 29, 2020.)</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r>
              <w:rPr>
                <w:rFonts w:ascii="Arial" w:cs="Arial" w:eastAsia="Arial" w:hAnsi="Arial"/>
                <w:sz w:val="18"/>
                <w:szCs w:val="18"/>
                <w:b w:val="1"/>
                <w:bCs w:val="1"/>
                <w:color w:val="auto"/>
              </w:rPr>
              <w:t>Item 4(c)</w:t>
            </w:r>
          </w:p>
        </w:tc>
        <w:tc>
          <w:tcPr>
            <w:tcW w:w="6860" w:type="dxa"/>
            <w:vAlign w:val="bottom"/>
          </w:tcPr>
          <w:p>
            <w:pPr>
              <w:ind w:left="300"/>
              <w:spacing w:after="0"/>
              <w:rPr>
                <w:sz w:val="20"/>
                <w:szCs w:val="20"/>
                <w:color w:val="auto"/>
              </w:rPr>
            </w:pPr>
            <w:r>
              <w:rPr>
                <w:rFonts w:ascii="Arial" w:cs="Arial" w:eastAsia="Arial" w:hAnsi="Arial"/>
                <w:sz w:val="18"/>
                <w:szCs w:val="18"/>
                <w:b w:val="1"/>
                <w:bCs w:val="1"/>
                <w:color w:val="auto"/>
              </w:rPr>
              <w:t>Number of Shares as to which such person has:</w:t>
            </w:r>
          </w:p>
        </w:tc>
        <w:tc>
          <w:tcPr>
            <w:tcW w:w="3500" w:type="dxa"/>
            <w:vAlign w:val="bottom"/>
          </w:tcPr>
          <w:p>
            <w:pPr>
              <w:spacing w:after="0"/>
              <w:rPr>
                <w:sz w:val="20"/>
                <w:szCs w:val="20"/>
                <w:color w:val="auto"/>
              </w:rPr>
            </w:pPr>
          </w:p>
        </w:tc>
      </w:tr>
      <w:tr>
        <w:trPr>
          <w:trHeight w:val="513"/>
        </w:trPr>
        <w:tc>
          <w:tcPr>
            <w:tcW w:w="7860" w:type="dxa"/>
            <w:vAlign w:val="bottom"/>
            <w:gridSpan w:val="2"/>
          </w:tcPr>
          <w:p>
            <w:pPr>
              <w:ind w:left="60"/>
              <w:spacing w:after="0"/>
              <w:rPr>
                <w:sz w:val="20"/>
                <w:szCs w:val="20"/>
                <w:color w:val="auto"/>
              </w:rPr>
            </w:pPr>
            <w:r>
              <w:rPr>
                <w:rFonts w:ascii="Arial" w:cs="Arial" w:eastAsia="Arial" w:hAnsi="Arial"/>
                <w:sz w:val="18"/>
                <w:szCs w:val="18"/>
                <w:color w:val="auto"/>
              </w:rPr>
              <w:t>(i) Sole power to vote or direct the vote:</w:t>
            </w:r>
          </w:p>
        </w:tc>
        <w:tc>
          <w:tcPr>
            <w:tcW w:w="350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324"/>
        </w:trPr>
        <w:tc>
          <w:tcPr>
            <w:tcW w:w="7860" w:type="dxa"/>
            <w:vAlign w:val="bottom"/>
            <w:gridSpan w:val="2"/>
          </w:tcPr>
          <w:p>
            <w:pPr>
              <w:ind w:left="60"/>
              <w:spacing w:after="0"/>
              <w:rPr>
                <w:sz w:val="20"/>
                <w:szCs w:val="20"/>
                <w:color w:val="auto"/>
              </w:rPr>
            </w:pPr>
            <w:r>
              <w:rPr>
                <w:rFonts w:ascii="Arial" w:cs="Arial" w:eastAsia="Arial" w:hAnsi="Arial"/>
                <w:sz w:val="18"/>
                <w:szCs w:val="18"/>
                <w:color w:val="auto"/>
              </w:rPr>
              <w:t>(ii) Shared power to vote or direct the vote:</w:t>
            </w:r>
          </w:p>
        </w:tc>
        <w:tc>
          <w:tcPr>
            <w:tcW w:w="3500" w:type="dxa"/>
            <w:vAlign w:val="bottom"/>
          </w:tcPr>
          <w:p>
            <w:pPr>
              <w:jc w:val="right"/>
              <w:spacing w:after="0"/>
              <w:rPr>
                <w:sz w:val="20"/>
                <w:szCs w:val="20"/>
                <w:color w:val="auto"/>
              </w:rPr>
            </w:pPr>
            <w:r>
              <w:rPr>
                <w:rFonts w:ascii="Arial" w:cs="Arial" w:eastAsia="Arial" w:hAnsi="Arial"/>
                <w:sz w:val="18"/>
                <w:szCs w:val="18"/>
                <w:color w:val="auto"/>
              </w:rPr>
              <w:t>861,145</w:t>
            </w:r>
          </w:p>
        </w:tc>
      </w:tr>
      <w:tr>
        <w:trPr>
          <w:trHeight w:val="324"/>
        </w:trPr>
        <w:tc>
          <w:tcPr>
            <w:tcW w:w="7860" w:type="dxa"/>
            <w:vAlign w:val="bottom"/>
            <w:gridSpan w:val="2"/>
          </w:tcPr>
          <w:p>
            <w:pPr>
              <w:ind w:left="60"/>
              <w:spacing w:after="0"/>
              <w:rPr>
                <w:sz w:val="20"/>
                <w:szCs w:val="20"/>
                <w:color w:val="auto"/>
              </w:rPr>
            </w:pPr>
            <w:r>
              <w:rPr>
                <w:rFonts w:ascii="Arial" w:cs="Arial" w:eastAsia="Arial" w:hAnsi="Arial"/>
                <w:sz w:val="18"/>
                <w:szCs w:val="18"/>
                <w:color w:val="auto"/>
              </w:rPr>
              <w:t>(iii) Sole power to dispose or direct the disposition of:</w:t>
            </w:r>
          </w:p>
        </w:tc>
        <w:tc>
          <w:tcPr>
            <w:tcW w:w="350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324"/>
        </w:trPr>
        <w:tc>
          <w:tcPr>
            <w:tcW w:w="7860" w:type="dxa"/>
            <w:vAlign w:val="bottom"/>
            <w:gridSpan w:val="2"/>
          </w:tcPr>
          <w:p>
            <w:pPr>
              <w:ind w:left="60"/>
              <w:spacing w:after="0"/>
              <w:rPr>
                <w:sz w:val="20"/>
                <w:szCs w:val="20"/>
                <w:color w:val="auto"/>
              </w:rPr>
            </w:pPr>
            <w:r>
              <w:rPr>
                <w:rFonts w:ascii="Arial" w:cs="Arial" w:eastAsia="Arial" w:hAnsi="Arial"/>
                <w:sz w:val="18"/>
                <w:szCs w:val="18"/>
                <w:color w:val="auto"/>
              </w:rPr>
              <w:t>(iv) Shared power to dispose or direct the disposition of:</w:t>
            </w:r>
          </w:p>
        </w:tc>
        <w:tc>
          <w:tcPr>
            <w:tcW w:w="3500" w:type="dxa"/>
            <w:vAlign w:val="bottom"/>
          </w:tcPr>
          <w:p>
            <w:pPr>
              <w:jc w:val="right"/>
              <w:spacing w:after="0"/>
              <w:rPr>
                <w:sz w:val="20"/>
                <w:szCs w:val="20"/>
                <w:color w:val="auto"/>
              </w:rPr>
            </w:pPr>
            <w:r>
              <w:rPr>
                <w:rFonts w:ascii="Arial" w:cs="Arial" w:eastAsia="Arial" w:hAnsi="Arial"/>
                <w:sz w:val="18"/>
                <w:szCs w:val="18"/>
                <w:color w:val="auto"/>
              </w:rPr>
              <w:t>861,145</w:t>
            </w:r>
          </w:p>
        </w:tc>
      </w:tr>
      <w:tr>
        <w:trPr>
          <w:trHeight w:val="513"/>
        </w:trPr>
        <w:tc>
          <w:tcPr>
            <w:tcW w:w="100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6860" w:type="dxa"/>
            <w:vAlign w:val="bottom"/>
          </w:tcPr>
          <w:p>
            <w:pPr>
              <w:ind w:left="300"/>
              <w:spacing w:after="0"/>
              <w:rPr>
                <w:sz w:val="20"/>
                <w:szCs w:val="20"/>
                <w:color w:val="auto"/>
              </w:rPr>
            </w:pPr>
            <w:r>
              <w:rPr>
                <w:rFonts w:ascii="Arial" w:cs="Arial" w:eastAsia="Arial" w:hAnsi="Arial"/>
                <w:sz w:val="18"/>
                <w:szCs w:val="18"/>
                <w:b w:val="1"/>
                <w:bCs w:val="1"/>
                <w:color w:val="auto"/>
              </w:rPr>
              <w:t>Ownership of Five Percent or Less of a Class:</w:t>
            </w:r>
          </w:p>
        </w:tc>
        <w:tc>
          <w:tcPr>
            <w:tcW w:w="3500" w:type="dxa"/>
            <w:vAlign w:val="bottom"/>
          </w:tcPr>
          <w:p>
            <w:pPr>
              <w:spacing w:after="0"/>
              <w:rPr>
                <w:sz w:val="24"/>
                <w:szCs w:val="24"/>
                <w:color w:val="auto"/>
              </w:rPr>
            </w:pPr>
          </w:p>
        </w:tc>
      </w:tr>
    </w:tbl>
    <w:p>
      <w:pPr>
        <w:spacing w:after="0" w:line="208" w:lineRule="exact"/>
        <w:rPr>
          <w:sz w:val="20"/>
          <w:szCs w:val="20"/>
          <w:color w:val="auto"/>
        </w:rPr>
      </w:pPr>
    </w:p>
    <w:p>
      <w:pPr>
        <w:jc w:val="both"/>
        <w:ind w:right="20" w:firstLine="1297"/>
        <w:spacing w:after="0" w:line="258" w:lineRule="exact"/>
        <w:rPr>
          <w:sz w:val="20"/>
          <w:szCs w:val="20"/>
          <w:color w:val="auto"/>
        </w:rPr>
      </w:pPr>
      <w:r>
        <w:rPr>
          <w:rFonts w:ascii="Arial" w:cs="Arial" w:eastAsia="Arial" w:hAnsi="Arial"/>
          <w:sz w:val="22"/>
          <w:szCs w:val="22"/>
          <w:color w:val="auto"/>
        </w:rPr>
        <w:t xml:space="preserve">If this statement is being filed to report the fact that as of the date hereof each of the Reporting Persons has ceased to be the beneficial owner of more than five percent of the class of securities, check the following </w:t>
      </w:r>
      <w:r>
        <w:rPr>
          <w:rFonts w:ascii="MS PGothic" w:cs="MS PGothic" w:eastAsia="MS PGothic" w:hAnsi="MS PGothic"/>
          <w:sz w:val="22"/>
          <w:szCs w:val="22"/>
          <w:color w:val="auto"/>
        </w:rPr>
        <w:t>☒</w:t>
      </w:r>
      <w:r>
        <w:rPr>
          <w:rFonts w:ascii="Arial" w:cs="Arial" w:eastAsia="Arial" w:hAnsi="Arial"/>
          <w:sz w:val="22"/>
          <w:szCs w:val="22"/>
          <w:color w:val="auto"/>
        </w:rPr>
        <w:t>.</w:t>
      </w:r>
    </w:p>
    <w:p>
      <w:pPr>
        <w:spacing w:after="0" w:line="15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49" w:lineRule="exact"/>
        <w:rPr>
          <w:sz w:val="20"/>
          <w:szCs w:val="20"/>
          <w:color w:val="auto"/>
        </w:rPr>
      </w:pPr>
    </w:p>
    <w:p>
      <w:pPr>
        <w:jc w:val="both"/>
        <w:ind w:right="40" w:firstLine="1297"/>
        <w:spacing w:after="0" w:line="251" w:lineRule="auto"/>
        <w:rPr>
          <w:sz w:val="20"/>
          <w:szCs w:val="20"/>
          <w:color w:val="auto"/>
        </w:rPr>
      </w:pPr>
      <w:r>
        <w:rPr>
          <w:rFonts w:ascii="Arial" w:cs="Arial" w:eastAsia="Arial" w:hAnsi="Arial"/>
          <w:sz w:val="22"/>
          <w:szCs w:val="22"/>
          <w:color w:val="auto"/>
        </w:rPr>
        <w:t>See disclosure in Items 2 and 4 hereof. The GLG Funds have the right to receive or the power to direct the receipt of dividends from, or the proceeds from the sale of, the Shares covered by this Statement.</w:t>
      </w:r>
    </w:p>
    <w:p>
      <w:pPr>
        <w:spacing w:after="0" w:line="203" w:lineRule="exact"/>
        <w:rPr>
          <w:sz w:val="20"/>
          <w:szCs w:val="20"/>
          <w:color w:val="auto"/>
        </w:rPr>
      </w:pPr>
    </w:p>
    <w:p>
      <w:pPr>
        <w:ind w:left="1300" w:right="76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See disclosure in Item 2 hereof.</w:t>
      </w:r>
    </w:p>
    <w:p>
      <w:pPr>
        <w:spacing w:after="0" w:line="23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This Item 8 is not applicable.</w:t>
      </w:r>
    </w:p>
    <w:p>
      <w:pPr>
        <w:spacing w:after="0" w:line="23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This Item 9 is not applicable.</w:t>
      </w:r>
    </w:p>
    <w:p>
      <w:pPr>
        <w:spacing w:after="0" w:line="23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49" w:lineRule="exact"/>
        <w:rPr>
          <w:sz w:val="20"/>
          <w:szCs w:val="20"/>
          <w:color w:val="auto"/>
        </w:rPr>
      </w:pPr>
    </w:p>
    <w:p>
      <w:pPr>
        <w:jc w:val="both"/>
        <w:ind w:right="20" w:firstLine="1297"/>
        <w:spacing w:after="0" w:line="252" w:lineRule="auto"/>
        <w:rPr>
          <w:sz w:val="20"/>
          <w:szCs w:val="20"/>
          <w:color w:val="auto"/>
        </w:rPr>
      </w:pPr>
      <w:r>
        <w:rPr>
          <w:rFonts w:ascii="Arial" w:cs="Arial" w:eastAsia="Arial" w:hAnsi="Arial"/>
          <w:sz w:val="21"/>
          <w:szCs w:val="21"/>
          <w:color w:val="auto"/>
        </w:rPr>
        <w:t>By signing below each Reporting Person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t>Page 6 of 8 Pages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240" w:firstLine="648"/>
        <w:spacing w:after="0" w:line="251" w:lineRule="auto"/>
        <w:rPr>
          <w:sz w:val="20"/>
          <w:szCs w:val="20"/>
          <w:color w:val="auto"/>
        </w:rPr>
      </w:pPr>
      <w:r>
        <w:rPr>
          <w:rFonts w:ascii="Arial" w:cs="Arial" w:eastAsia="Arial" w:hAnsi="Arial"/>
          <w:sz w:val="22"/>
          <w:szCs w:val="22"/>
          <w:color w:val="auto"/>
        </w:rPr>
        <w:t>After reasonable inquiry and to the best of its knowledge and belief, each of the undersigned certifies that the information set forth in this statement is true, complete and correct.</w:t>
      </w:r>
    </w:p>
    <w:p>
      <w:pPr>
        <w:spacing w:after="0" w:line="20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GLG PARTNERS LP</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Katherine Squire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Katherine Squire</w:t>
      </w:r>
    </w:p>
    <w:p>
      <w:pPr>
        <w:spacing w:after="0" w:line="2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tab/>
        <w:t>Chief Compliance Officer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MAN GROUP PLC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Mark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Mark Jones</w:t>
      </w:r>
    </w:p>
    <w:p>
      <w:pPr>
        <w:spacing w:after="0" w:line="2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tab/>
        <w:t>Chief Financial Officer</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February 10,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7800" w:type="dxa"/>
            <w:vAlign w:val="bottom"/>
            <w:gridSpan w:val="2"/>
          </w:tcPr>
          <w:p>
            <w:pPr>
              <w:jc w:val="right"/>
              <w:spacing w:after="0"/>
              <w:rPr>
                <w:sz w:val="20"/>
                <w:szCs w:val="20"/>
                <w:color w:val="auto"/>
              </w:rPr>
            </w:pPr>
            <w:r>
              <w:rPr>
                <w:rFonts w:ascii="Arial" w:cs="Arial" w:eastAsia="Arial" w:hAnsi="Arial"/>
                <w:sz w:val="18"/>
                <w:szCs w:val="18"/>
                <w:color w:val="auto"/>
              </w:rPr>
              <w:t>Page 7 of 8 Pages</w:t>
            </w:r>
          </w:p>
        </w:tc>
      </w:tr>
      <w:tr>
        <w:trPr>
          <w:trHeight w:val="496"/>
        </w:trPr>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7800" w:type="dxa"/>
            <w:vAlign w:val="bottom"/>
            <w:gridSpan w:val="2"/>
          </w:tcPr>
          <w:p>
            <w:pPr>
              <w:jc w:val="right"/>
              <w:ind w:right="4770"/>
              <w:spacing w:after="0"/>
              <w:rPr>
                <w:sz w:val="20"/>
                <w:szCs w:val="20"/>
                <w:color w:val="auto"/>
              </w:rPr>
            </w:pPr>
            <w:r>
              <w:rPr>
                <w:rFonts w:ascii="Arial" w:cs="Arial" w:eastAsia="Arial" w:hAnsi="Arial"/>
                <w:sz w:val="22"/>
                <w:szCs w:val="22"/>
                <w:b w:val="1"/>
                <w:bCs w:val="1"/>
                <w:color w:val="auto"/>
              </w:rPr>
              <w:t>EXHIBIT INDEX</w:t>
            </w:r>
          </w:p>
        </w:tc>
      </w:tr>
      <w:tr>
        <w:trPr>
          <w:trHeight w:val="895"/>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Ex.</w:t>
            </w:r>
          </w:p>
        </w:tc>
        <w:tc>
          <w:tcPr>
            <w:tcW w:w="2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Page No.</w:t>
            </w:r>
          </w:p>
        </w:tc>
      </w:tr>
      <w:tr>
        <w:trPr>
          <w:trHeight w:val="480"/>
        </w:trPr>
        <w:tc>
          <w:tcPr>
            <w:tcW w:w="480" w:type="dxa"/>
            <w:vAlign w:val="bottom"/>
            <w:gridSpan w:val="2"/>
          </w:tcPr>
          <w:p>
            <w:pPr>
              <w:spacing w:after="0"/>
              <w:rPr>
                <w:sz w:val="20"/>
                <w:szCs w:val="20"/>
                <w:color w:val="auto"/>
              </w:rPr>
            </w:pPr>
            <w:r>
              <w:rPr>
                <w:rFonts w:ascii="Arial" w:cs="Arial" w:eastAsia="Arial" w:hAnsi="Arial"/>
                <w:sz w:val="18"/>
                <w:szCs w:val="18"/>
                <w:color w:val="auto"/>
              </w:rPr>
              <w:t>A</w:t>
            </w:r>
          </w:p>
        </w:tc>
        <w:tc>
          <w:tcPr>
            <w:tcW w:w="3140" w:type="dxa"/>
            <w:vAlign w:val="bottom"/>
          </w:tcPr>
          <w:p>
            <w:pPr>
              <w:ind w:left="240"/>
              <w:spacing w:after="0"/>
              <w:rPr>
                <w:sz w:val="20"/>
                <w:szCs w:val="20"/>
                <w:color w:val="auto"/>
              </w:rPr>
            </w:pPr>
            <w:r>
              <w:rPr>
                <w:rFonts w:ascii="Arial" w:cs="Arial" w:eastAsia="Arial" w:hAnsi="Arial"/>
                <w:sz w:val="18"/>
                <w:szCs w:val="18"/>
                <w:color w:val="auto"/>
              </w:rPr>
              <w:t>Joint Filing Agreement</w:t>
            </w:r>
          </w:p>
        </w:tc>
        <w:tc>
          <w:tcPr>
            <w:tcW w:w="780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1155"/>
        </w:trPr>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7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color w:val="auto"/>
        </w:rPr>
        <w:t>Page 8 of 8 Pages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A</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JOINT FILING AGREEMENT</w:t>
      </w:r>
    </w:p>
    <w:p>
      <w:pPr>
        <w:spacing w:after="0" w:line="23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February 10, 2020</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GLG PARTNERS LP</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Katherine Squire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Katherine Squire</w:t>
      </w:r>
    </w:p>
    <w:p>
      <w:pPr>
        <w:spacing w:after="0" w:line="23" w:lineRule="exact"/>
        <w:rPr>
          <w:sz w:val="20"/>
          <w:szCs w:val="20"/>
          <w:color w:val="auto"/>
        </w:rPr>
      </w:pPr>
    </w:p>
    <w:p>
      <w:pPr>
        <w:ind w:left="6080"/>
        <w:spacing w:after="0"/>
        <w:tabs>
          <w:tab w:leader="none" w:pos="6640" w:val="left"/>
        </w:tabs>
        <w:rPr>
          <w:sz w:val="20"/>
          <w:szCs w:val="20"/>
          <w:color w:val="auto"/>
        </w:rPr>
      </w:pPr>
      <w:r>
        <w:rPr>
          <w:rFonts w:ascii="Arial" w:cs="Arial" w:eastAsia="Arial" w:hAnsi="Arial"/>
          <w:sz w:val="18"/>
          <w:szCs w:val="18"/>
          <w:color w:val="auto"/>
        </w:rPr>
        <w:t>TItle:</w:t>
        <w:tab/>
        <w:t>Chief Compliance Officer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MAN GROUP PLC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Mark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Mark Jones</w:t>
      </w:r>
    </w:p>
    <w:p>
      <w:pPr>
        <w:spacing w:after="0" w:line="2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829310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
      <w:numFmt w:val="bullet"/>
      <w:start w:val="1"/>
    </w:lvl>
  </w:abstractNum>
  <w:abstractNum w:abstractNumId="1">
    <w:nsid w:val="66334873"/>
    <w:multiLevelType w:val="hybridMultilevel"/>
    <w:lvl w:ilvl="0">
      <w:lvlJc w:val="left"/>
      <w:lvlText w:val="(%1)"/>
      <w:numFmt w:val="lowerRoman"/>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2020-02-10T15:11:18Z</dcterms:created>
  <dcterms:modified xsi:type="dcterms:W3CDTF">2020-02-10T15:11:18Z</dcterms:modified>
</cp:coreProperties>
</file>