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ind w:left="3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-231140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3"/>
        </w:trPr>
        <w:tc>
          <w:tcPr>
            <w:tcW w:w="622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5219700</wp:posOffset>
            </wp:positionH>
            <wp:positionV relativeFrom="paragraph">
              <wp:posOffset>-607060</wp:posOffset>
            </wp:positionV>
            <wp:extent cx="57150" cy="6203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3934460</wp:posOffset>
            </wp:positionH>
            <wp:positionV relativeFrom="paragraph">
              <wp:posOffset>-607060</wp:posOffset>
            </wp:positionV>
            <wp:extent cx="57150" cy="6203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0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-1688465</wp:posOffset>
            </wp:positionH>
            <wp:positionV relativeFrom="paragraph">
              <wp:posOffset>26670</wp:posOffset>
            </wp:positionV>
            <wp:extent cx="7048500" cy="4657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465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460"/>
            <w:col w:w="8440"/>
          </w:cols>
          <w:pgMar w:left="460" w:top="214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Davis Blaine</w:t>
        </w:r>
      </w:hyperlink>
    </w:p>
    <w:p>
      <w:pPr>
        <w:spacing w:after="0" w:line="28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5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C/O CARTESIAN THERAPEUTICS, INC.</w:t>
            </w: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704 QUINCE ORCHARD ROAD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GAITHERSBURG MD</w:t>
            </w:r>
          </w:p>
        </w:tc>
        <w:tc>
          <w:tcPr>
            <w:tcW w:w="1280" w:type="dxa"/>
            <w:vAlign w:val="bottom"/>
          </w:tcPr>
          <w:p>
            <w:pPr>
              <w:jc w:val="right"/>
              <w:ind w:right="6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20878</w:t>
            </w: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5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0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Cartesian Therapeutics,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RNAC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80" w:type="dxa"/>
            <w:vAlign w:val="bottom"/>
          </w:tcPr>
          <w:p>
            <w:pPr>
              <w:ind w:left="3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1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300"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gridSpan w:val="7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01/02/2024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2,424,000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2,424,000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3,110,000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0.6552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01/02/2024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3,110,000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01/01/2034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282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3,110,000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buy)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300" w:hanging="3"/>
        <w:spacing w:after="0" w:line="282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Each Restricted Stock Unit represents a contingent right to receive one share of common stock, which will vest as to 25% on January 2, 2025. The remainder of the underlying shares will vest in three equal annual installments thereafter so that the underlying shares will be fully vested on January 2, 2028.</w:t>
      </w:r>
    </w:p>
    <w:p>
      <w:pPr>
        <w:ind w:left="160" w:hanging="123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2"/>
          <w:szCs w:val="12"/>
          <w:color w:val="008000"/>
        </w:rPr>
      </w:pPr>
      <w:r>
        <w:rPr>
          <w:rFonts w:ascii="Times New Roman" w:cs="Times New Roman" w:eastAsia="Times New Roman" w:hAnsi="Times New Roman"/>
          <w:sz w:val="12"/>
          <w:szCs w:val="12"/>
          <w:color w:val="008000"/>
        </w:rPr>
        <w:t>This option vests as to 25% on January 2, 2025. The remainder of the underlying shares will vest in three equal annual installments thereafter so that the underlying shares will be fully vested on January 2, 2028.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Matthew Bartholomae,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-5080</wp:posOffset>
            </wp:positionV>
            <wp:extent cx="950595" cy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059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Blaine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1865630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63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Davis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4188460</wp:posOffset>
            </wp:positionH>
            <wp:positionV relativeFrom="paragraph">
              <wp:posOffset>-12065</wp:posOffset>
            </wp:positionV>
            <wp:extent cx="24066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hanging="3"/>
        <w:spacing w:after="0" w:line="32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02188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2024-01-04T16:16:58Z</dcterms:created>
  <dcterms:modified xsi:type="dcterms:W3CDTF">2024-01-04T16:16:58Z</dcterms:modified>
</cp:coreProperties>
</file>