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August 19, 2019</w:t>
      </w:r>
    </w:p>
    <w:p>
      <w:pPr>
        <w:spacing w:after="0" w:line="1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673" w:right="29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001-37798</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26-1622110</w:t>
      </w:r>
    </w:p>
    <w:p>
      <w:pPr>
        <w:spacing w:after="0" w:line="3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3080" w:space="720"/>
            <w:col w:w="2340"/>
          </w:cols>
          <w:pgMar w:left="240" w:top="673" w:right="299" w:bottom="1440" w:gutter="0" w:footer="0" w:header="0"/>
          <w:type w:val="continuous"/>
        </w:sectPr>
      </w:pPr>
    </w:p>
    <w:p>
      <w:pPr>
        <w:spacing w:after="0" w:line="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(617) 923-1400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360"/>
          </w:cols>
          <w:pgMar w:left="240" w:top="673" w:right="299" w:bottom="1440" w:gutter="0" w:footer="0" w:header="0"/>
          <w:type w:val="continuous"/>
        </w:sectPr>
      </w:pPr>
    </w:p>
    <w:p>
      <w:pPr>
        <w:spacing w:after="0" w:line="21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409"/>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360"/>
          </w:cols>
          <w:pgMar w:left="240" w:top="673" w:right="299" w:bottom="1440" w:gutter="0" w:footer="0" w:header="0"/>
          <w:type w:val="continuous"/>
        </w:sectPr>
      </w:pPr>
    </w:p>
    <w:p>
      <w:pPr>
        <w:spacing w:after="0" w:line="22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SELB</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Nasdaq Global Market</w:t>
      </w:r>
    </w:p>
    <w:p>
      <w:pPr>
        <w:spacing w:after="0" w:line="200" w:lineRule="exact"/>
        <w:rPr>
          <w:sz w:val="24"/>
          <w:szCs w:val="24"/>
          <w:color w:val="auto"/>
        </w:rPr>
      </w:pPr>
    </w:p>
    <w:p>
      <w:pPr>
        <w:sectPr>
          <w:pgSz w:w="11900" w:h="16838" w:orient="portrait"/>
          <w:cols w:equalWidth="0" w:num="3">
            <w:col w:w="4420" w:space="720"/>
            <w:col w:w="1680" w:space="720"/>
            <w:col w:w="3820"/>
          </w:cols>
          <w:pgMar w:left="240" w:top="673" w:right="29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3"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August 19, 2019, Selecta Biosciences, Inc. (the “Company”) entered into a Stock Purchase Agreement (the “Purchase Agreement”) with the purchasers named therein (each, an “Investor” and, collectively, the “Investors”), including certain executive officers and members of the board of directors of the Company.</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sell an aggregate of 3,178,174 shares of its common stock, par value $0.0001 per share, to the Investors for aggregate gross proceeds of approximately $5.75 million, at a purchase price equal to $1.81 per share, which was equal to the most recent consolidated closing bid price on the Nasdaq Global Market on August 19, 2019 (the “Offering”).</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closing of the Offering will occur on August 20, 2019, subject to satisfaction of specified customary closing conditions. The Investors irrevocably committed to purchase the securities subject to satisfaction of the closing conditions.</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Offering is exempt from registration pursuant to Section 4(a)(2) of the Securities Act of 1933, as amended, and Rule 506 of Regulation D promulgated thereunder, as a transaction by an issuer not involving a public offering. Each Investor has represented that it is an accredited investor, as defined in Regulation D, and has acquired the securities for investment only and not with a view to or for sale in connection with any distribution thereof, and appropriate legends have been affixed to the securities issued in this transaction.</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Purchase Agreement, which is filed as Exhibit 10.1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by reference into this Item 3.02.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4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(d) Exhibits</w:t>
            </w:r>
          </w:p>
        </w:tc>
      </w:tr>
      <w:tr>
        <w:trPr>
          <w:trHeight w:val="410"/>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38"/>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60" w:type="dxa"/>
            <w:vAlign w:val="bottom"/>
            <w:tcBorders>
              <w:bottom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560" w:type="dxa"/>
            <w:vAlign w:val="bottom"/>
            <w:tcBorders>
              <w:bottom w:val="single" w:sz="8" w:color="auto"/>
            </w:tcBorders>
            <w:gridSpan w:val="2"/>
          </w:tcPr>
          <w:p>
            <w:pPr>
              <w:ind w:left="3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780" w:type="dxa"/>
            <w:vAlign w:val="bottom"/>
            <w:gridSpan w:val="2"/>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Stock Purchase Agreement, dated August 19, 2019, by and among Selecta Biosciences, Inc. and the Investors named therein.</w:t>
              </w:r>
            </w:hyperlink>
          </w:p>
        </w:tc>
      </w:tr>
      <w:tr>
        <w:trPr>
          <w:trHeight w:val="291"/>
        </w:trPr>
        <w:tc>
          <w:tcPr>
            <w:tcW w:w="38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79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r>
    </w:tbl>
    <w:p>
      <w:pPr>
        <w:spacing w:after="0" w:line="265" w:lineRule="exact"/>
        <w:rPr>
          <w:sz w:val="20"/>
          <w:szCs w:val="20"/>
          <w:color w:val="auto"/>
        </w:rPr>
      </w:pPr>
    </w:p>
    <w:p>
      <w:pPr>
        <w:ind w:left="260" w:right="60" w:hanging="252"/>
        <w:spacing w:after="0" w:line="258"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representations and warranties contained in this agreement were made only for purposes of the transactions contemplated by the agreement as of specific dates and may have been qualified by certain disclosures between the parties and a contractual standard of materiality different from those generally applicable under securities laws, among other limitations. The representations and warranties were made for purposes of allocating contractual risk between the parties to the agreement and should not be relied upon as a disclosure of factual information relating to the Company, the Investors or the transactions described in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20, 2019</w:t>
            </w:r>
          </w:p>
        </w:tc>
        <w:tc>
          <w:tcPr>
            <w:tcW w:w="776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Carsten Brunn, Ph.D.</w:t>
            </w:r>
          </w:p>
        </w:tc>
      </w:tr>
      <w:tr>
        <w:trPr>
          <w:trHeight w:val="191"/>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This stock purchase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August 19, 2019, by and among Selecta Biosciences,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individuals identified on the signature pages hereto (each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80" w:firstLine="656"/>
        <w:spacing w:after="0" w:line="266" w:lineRule="auto"/>
        <w:tabs>
          <w:tab w:leader="none" w:pos="15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Investors are executing and delivering this Agreement in reliance upon the exemption from securities registration afforded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and/or Rule 506 of Regulation D (“</w:t>
      </w:r>
      <w:r>
        <w:rPr>
          <w:rFonts w:ascii="Times New Roman" w:cs="Times New Roman" w:eastAsia="Times New Roman" w:hAnsi="Times New Roman"/>
          <w:sz w:val="18"/>
          <w:szCs w:val="18"/>
          <w:b w:val="1"/>
          <w:bCs w:val="1"/>
          <w:i w:val="1"/>
          <w:iCs w:val="1"/>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under the Securities Act; and</w:t>
      </w:r>
    </w:p>
    <w:p>
      <w:pPr>
        <w:spacing w:after="0" w:line="176" w:lineRule="exact"/>
        <w:rPr>
          <w:rFonts w:ascii="Times New Roman" w:cs="Times New Roman" w:eastAsia="Times New Roman" w:hAnsi="Times New Roman"/>
          <w:sz w:val="18"/>
          <w:szCs w:val="18"/>
          <w:color w:val="auto"/>
        </w:rPr>
      </w:pPr>
    </w:p>
    <w:p>
      <w:pPr>
        <w:ind w:right="500" w:firstLine="656"/>
        <w:spacing w:after="0" w:line="282" w:lineRule="auto"/>
        <w:tabs>
          <w:tab w:leader="none" w:pos="15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wish to purchase from the Company, and the Company wishes to issue and sell to the Investors, upon the terms and subject to the conditions stated in this Agreement, shares of the Company’s Common Stock,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made herein and for other good and valuable consideration, the receipt and sufficiency of which are hereby acknowledged, the parties hereto agree as follows:</w:t>
      </w:r>
    </w:p>
    <w:p>
      <w:pPr>
        <w:spacing w:after="0" w:line="158" w:lineRule="exact"/>
        <w:rPr>
          <w:sz w:val="20"/>
          <w:szCs w:val="20"/>
          <w:color w:val="auto"/>
        </w:rPr>
      </w:pPr>
    </w:p>
    <w:p>
      <w:pPr>
        <w:ind w:left="1600" w:hanging="944"/>
        <w:spacing w:after="0"/>
        <w:tabs>
          <w:tab w:leader="none" w:pos="1600" w:val="left"/>
        </w:tabs>
        <w:numPr>
          <w:ilvl w:val="0"/>
          <w:numId w:val="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Subscription and Closing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656"/>
        <w:spacing w:after="0" w:line="261" w:lineRule="auto"/>
        <w:tabs>
          <w:tab w:leader="none" w:pos="1523"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On the Closing Date (as defined below), upon the terms and subject to the conditions set forth herein, the Company will issue and sell to each of the Investors, and each of the Investors, severally and not jointly, will purchase from the Company, the number of Shares set forth on such Investor’s signature page at a purchase price of $1.81 per Share. The shares of Common Stock to be purchased by the Investors hereunder are referred to herein as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010000"/>
        </w:rPr>
      </w:pPr>
    </w:p>
    <w:p>
      <w:pPr>
        <w:ind w:right="40" w:firstLine="656"/>
        <w:spacing w:after="0" w:line="257" w:lineRule="auto"/>
        <w:tabs>
          <w:tab w:leader="none" w:pos="1533" w:val="left"/>
        </w:tabs>
        <w:numPr>
          <w:ilvl w:val="0"/>
          <w:numId w:val="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completion of the purchase and sale of the Shares contemplated hereby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remotely via the exchange of documents and signatures at 10:00 a.m., Eastern Time, on August 20, 2019, or at such other time as the Company and the Investors shall agree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At the Closing: (i) the Company shall deliver or cause to be delivered to each Investor the number of Shares, registered in book-entry form in the name of such Investor, purchased by such Investor hereunder, and (ii) each Investor shall cause the purchase price for the Shares purchased by such Investor hereunder to be delivered to the Company by wire transfer of immediately available funds pursuant to the wire instructions delivered provided by the Company.</w:t>
      </w:r>
    </w:p>
    <w:p>
      <w:pPr>
        <w:spacing w:after="0" w:line="183" w:lineRule="exact"/>
        <w:rPr>
          <w:sz w:val="20"/>
          <w:szCs w:val="20"/>
          <w:color w:val="auto"/>
        </w:rPr>
      </w:pPr>
    </w:p>
    <w:p>
      <w:pPr>
        <w:ind w:left="1600" w:hanging="944"/>
        <w:spacing w:after="0"/>
        <w:tabs>
          <w:tab w:leader="none" w:pos="1600" w:val="left"/>
        </w:tabs>
        <w:numPr>
          <w:ilvl w:val="0"/>
          <w:numId w:val="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Representations and Warranties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represents and warrants to each Investor that:</w:t>
      </w:r>
    </w:p>
    <w:p>
      <w:pPr>
        <w:spacing w:after="0" w:line="229" w:lineRule="exact"/>
        <w:rPr>
          <w:sz w:val="20"/>
          <w:szCs w:val="20"/>
          <w:color w:val="auto"/>
        </w:rPr>
      </w:pPr>
    </w:p>
    <w:p>
      <w:pPr>
        <w:ind w:right="520" w:firstLine="656"/>
        <w:spacing w:after="0" w:line="266" w:lineRule="auto"/>
        <w:tabs>
          <w:tab w:leader="none" w:pos="1523" w:val="left"/>
        </w:tabs>
        <w:numPr>
          <w:ilvl w:val="0"/>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has the requisite right, power and authority to enter into this Agreement, to authorize, issue and sell the Shares as contemplated by this Agreement and to perform and to discharge its obligations hereunder; and this Agreement has been duly authorized, executed and delivered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ind w:left="-20" w:firstLine="656"/>
        <w:spacing w:after="0" w:line="282" w:lineRule="auto"/>
        <w:tabs>
          <w:tab w:leader="none" w:pos="1513"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Shares to be issued and sold by the Company to the Investors under this Agreement have been duly authorized and the Shares, when issued and delivered against payment therefor as provided in this Agreement, will be validly issued, fully paid and non-assessable.</w:t>
      </w:r>
    </w:p>
    <w:p>
      <w:pPr>
        <w:spacing w:after="0" w:line="158" w:lineRule="exact"/>
        <w:rPr>
          <w:sz w:val="20"/>
          <w:szCs w:val="20"/>
          <w:color w:val="auto"/>
        </w:rPr>
      </w:pPr>
    </w:p>
    <w:p>
      <w:pPr>
        <w:ind w:left="-20" w:right="400" w:firstLine="656"/>
        <w:spacing w:after="0" w:line="286" w:lineRule="auto"/>
        <w:tabs>
          <w:tab w:leader="none" w:pos="157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Representations, Warranties and Covenants of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acknowledges and, represents and warrants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with, the Company that:</w:t>
      </w:r>
    </w:p>
    <w:p>
      <w:pPr>
        <w:spacing w:after="0" w:line="159" w:lineRule="exact"/>
        <w:rPr>
          <w:sz w:val="20"/>
          <w:szCs w:val="20"/>
          <w:color w:val="auto"/>
        </w:rPr>
      </w:pPr>
    </w:p>
    <w:p>
      <w:pPr>
        <w:ind w:left="-20" w:firstLine="656"/>
        <w:spacing w:after="0" w:line="261" w:lineRule="auto"/>
        <w:tabs>
          <w:tab w:leader="none" w:pos="150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acknowledges its understanding and agreement that the Shares are characterized as “restricted securities” under the U.S. federal securities laws inasmuch as they are being offered in a transaction not involving any public offering within the Unites States within the meaning of the Securities Act, that the Shares have not been registered under the Securities Act or the securities laws of any jurisdiction and, unless so registered, may not be sold except as exempt from registration under the Securities Act.</w:t>
      </w:r>
    </w:p>
    <w:p>
      <w:pPr>
        <w:spacing w:after="0" w:line="180" w:lineRule="exact"/>
        <w:rPr>
          <w:rFonts w:ascii="Times New Roman" w:cs="Times New Roman" w:eastAsia="Times New Roman" w:hAnsi="Times New Roman"/>
          <w:sz w:val="18"/>
          <w:szCs w:val="18"/>
          <w:color w:val="010000"/>
        </w:rPr>
      </w:pPr>
    </w:p>
    <w:p>
      <w:pPr>
        <w:ind w:left="-20" w:right="180" w:firstLine="656"/>
        <w:spacing w:after="0" w:line="282" w:lineRule="auto"/>
        <w:tabs>
          <w:tab w:leader="none" w:pos="151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acknowledges its understanding that the offering and sale of the Shares is intended to be exempt from registration under the Securities Act and that the Company is relying on the Investors’ representations and warranties in connection with such exemption.</w:t>
      </w:r>
    </w:p>
    <w:p>
      <w:pPr>
        <w:spacing w:after="0" w:line="161" w:lineRule="exact"/>
        <w:rPr>
          <w:rFonts w:ascii="Times New Roman" w:cs="Times New Roman" w:eastAsia="Times New Roman" w:hAnsi="Times New Roman"/>
          <w:sz w:val="18"/>
          <w:szCs w:val="18"/>
          <w:color w:val="010000"/>
        </w:rPr>
      </w:pPr>
    </w:p>
    <w:p>
      <w:pPr>
        <w:ind w:left="-20" w:right="40" w:firstLine="656"/>
        <w:spacing w:after="0" w:line="266" w:lineRule="auto"/>
        <w:tabs>
          <w:tab w:leader="none" w:pos="150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 the time such Investor was offered the Shares, it was and, as of the date hereof, such Investor is an “accredited investor” as defined in Rule 501(a) under the Securities Act (and has executed and delivered to the Company its Investor Questionnaire, which the Investor represents and warrants is true, correct and complete) and has a substantive, pre-existing relationship with the Company and the management of the Company.</w:t>
      </w:r>
    </w:p>
    <w:p>
      <w:pPr>
        <w:spacing w:after="0" w:line="176" w:lineRule="exact"/>
        <w:rPr>
          <w:rFonts w:ascii="Times New Roman" w:cs="Times New Roman" w:eastAsia="Times New Roman" w:hAnsi="Times New Roman"/>
          <w:sz w:val="18"/>
          <w:szCs w:val="18"/>
          <w:color w:val="010000"/>
        </w:rPr>
      </w:pPr>
    </w:p>
    <w:p>
      <w:pPr>
        <w:ind w:left="-20" w:right="40" w:firstLine="656"/>
        <w:spacing w:after="0" w:line="258" w:lineRule="auto"/>
        <w:tabs>
          <w:tab w:leader="none" w:pos="151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is acquiring the Shares solely for such Investor’s own beneficial account (and not for the account of others), for investment purposes, and not with a view towards, or resale in connection with, any distribution of the Shares in violation of the Securities Act, and such Investor has no present intention of selling, granting any participation in, or otherwise distributing the same in violation of the Securities Act without prejudice, however, to such Investor’s right at all times to sell or otherwise dispose of all or any part of such Shares in compliance with applicable federal and state securities laws.</w:t>
      </w:r>
    </w:p>
    <w:p>
      <w:pPr>
        <w:spacing w:after="0" w:line="183" w:lineRule="exact"/>
        <w:rPr>
          <w:rFonts w:ascii="Times New Roman" w:cs="Times New Roman" w:eastAsia="Times New Roman" w:hAnsi="Times New Roman"/>
          <w:sz w:val="18"/>
          <w:szCs w:val="18"/>
          <w:color w:val="010000"/>
        </w:rPr>
      </w:pPr>
    </w:p>
    <w:p>
      <w:pPr>
        <w:ind w:left="-20" w:right="20" w:firstLine="656"/>
        <w:spacing w:after="0" w:line="282" w:lineRule="auto"/>
        <w:tabs>
          <w:tab w:leader="none" w:pos="1503"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acknowledges that it can bear the economic risk and complete loss of its investment in the Shares and has such knowledge and experience in financial or business matters that it is capable of evaluating the merits and risks of the investment contemplated hereby.</w:t>
      </w:r>
    </w:p>
    <w:p>
      <w:pPr>
        <w:spacing w:after="0" w:line="161" w:lineRule="exact"/>
        <w:rPr>
          <w:rFonts w:ascii="Times New Roman" w:cs="Times New Roman" w:eastAsia="Times New Roman" w:hAnsi="Times New Roman"/>
          <w:sz w:val="18"/>
          <w:szCs w:val="18"/>
          <w:color w:val="010000"/>
        </w:rPr>
      </w:pPr>
    </w:p>
    <w:p>
      <w:pPr>
        <w:ind w:left="-20" w:right="40" w:firstLine="656"/>
        <w:spacing w:after="0" w:line="282" w:lineRule="auto"/>
        <w:tabs>
          <w:tab w:leader="none" w:pos="1528" w:val="left"/>
        </w:tabs>
        <w:numPr>
          <w:ilvl w:val="0"/>
          <w:numId w:val="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understands and agrees that certificates or book-entry notations for the Shares shall bear or reflect, as applicable, a legend substantially similar to the following:</w:t>
      </w:r>
    </w:p>
    <w:p>
      <w:pPr>
        <w:spacing w:after="0" w:line="162" w:lineRule="exact"/>
        <w:rPr>
          <w:sz w:val="20"/>
          <w:szCs w:val="20"/>
          <w:color w:val="auto"/>
        </w:rPr>
      </w:pPr>
    </w:p>
    <w:p>
      <w:pPr>
        <w:ind w:left="640" w:right="140"/>
        <w:spacing w:after="0" w:line="272"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WITH THE SECURITIES AND EXCHANGE COMMISSION OR THE SECURITIES COMMISSION OF ANY STATE IN RELIANCE UPON AN EXEMPTION FROM REGISTRATION UNDER THE SECURITIES ACT OF 1933, AS AMENDED, AND, ACCORDINGLY, MAY NOT BE TRANSFERRED UNLESS (I) SUCH SECURITIES HAVE BEEN REGISTERED FOR SALE PURSUANT TO THE SECURITIES ACT OF 1933, AS AMENDED, (II) SUCH SECURITIES MAY BE SOLD PURSUANT TO RULE 144, OR (III) THE COMPANY HAS RECEIVED AN OPINION OF COUNSEL REASONABLY SATISFACTORY TO IT THAT SUCH TRANSFER MAY LAWFULLY BE MADE WITHOUT REGISTRATION UNDER THE SECURITIES ACT OF 1933, AS AMENDED. THESE SECURITIES ARE SUBJECT TO TRANSFER AND OTHER RESTRICTIONS SET FORTH IN A STOCK PURCHASE AGREEMENT, DATED AUGUST 19, 2019, COPIES OF WHICH ARE ON FILE WITH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4" w:right="259" w:bottom="1440" w:gutter="0" w:footer="0" w:header="0"/>
        </w:sectPr>
      </w:pPr>
    </w:p>
    <w:bookmarkStart w:id="5" w:name="page6"/>
    <w:bookmarkEnd w:id="5"/>
    <w:p>
      <w:pPr>
        <w:ind w:left="1540" w:hanging="884"/>
        <w:spacing w:after="0"/>
        <w:tabs>
          <w:tab w:leader="none" w:pos="1540"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did not learn of the investment in the Shares as a result of any general solicitation or general advertising.</w:t>
      </w:r>
    </w:p>
    <w:p>
      <w:pPr>
        <w:spacing w:after="0" w:line="225" w:lineRule="exact"/>
        <w:rPr>
          <w:rFonts w:ascii="Times New Roman" w:cs="Times New Roman" w:eastAsia="Times New Roman" w:hAnsi="Times New Roman"/>
          <w:sz w:val="18"/>
          <w:szCs w:val="18"/>
          <w:color w:val="010000"/>
        </w:rPr>
      </w:pPr>
    </w:p>
    <w:p>
      <w:pPr>
        <w:ind w:firstLine="656"/>
        <w:spacing w:after="0" w:line="258" w:lineRule="auto"/>
        <w:tabs>
          <w:tab w:leader="none" w:pos="1533"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Person (as defined below) will have, as a result of the transactions contemplated by this Agreement, any valid right, interest or claim against or upon the Company or such Investor for any commission, fee or other compensation pursuant to any agreement, arrangement or understanding entered into by or on behalf of such Investor. For the purposes of this Agreement,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83" w:lineRule="exact"/>
        <w:rPr>
          <w:rFonts w:ascii="Times New Roman" w:cs="Times New Roman" w:eastAsia="Times New Roman" w:hAnsi="Times New Roman"/>
          <w:sz w:val="18"/>
          <w:szCs w:val="18"/>
          <w:color w:val="010000"/>
        </w:rPr>
      </w:pPr>
    </w:p>
    <w:p>
      <w:pPr>
        <w:ind w:firstLine="656"/>
        <w:spacing w:after="0" w:line="255" w:lineRule="auto"/>
        <w:tabs>
          <w:tab w:leader="none" w:pos="1583"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covenants that neither it nor any Affiliate (as defined below) acting on its behalf or pursuant to any understanding with it will execute any short sales during the period from the date hereof until the earlier of such time as (i) after the transactions contemplated by this Agreement are first publicly announced or (ii) this Agreement is terminated in full. Such Investor covenants that until such time as the transactions contemplated by this Agreement are publicly disclosed by the Company, such Investor will maintain the confidentiality of all disclosures made to it in connection with this transaction (including the existence and terms of this transaction). For the purposes of this Agreement,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which directly or indirectly through one or more intermediaries Controls, is controlled by, or is under common Control with, such Person, and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5" w:lineRule="exact"/>
        <w:rPr>
          <w:rFonts w:ascii="Times New Roman" w:cs="Times New Roman" w:eastAsia="Times New Roman" w:hAnsi="Times New Roman"/>
          <w:sz w:val="18"/>
          <w:szCs w:val="18"/>
          <w:color w:val="010000"/>
        </w:rPr>
      </w:pPr>
    </w:p>
    <w:p>
      <w:pPr>
        <w:ind w:left="1600" w:hanging="944"/>
        <w:spacing w:after="0"/>
        <w:tabs>
          <w:tab w:leader="none" w:pos="1600"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Investor has not taken any of the actions set forth in, and is not subject to, the disqualification provisions of Rule 506(d)(1) of the</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Securities Act.</w:t>
      </w:r>
    </w:p>
    <w:p>
      <w:pPr>
        <w:spacing w:after="0" w:line="203" w:lineRule="exact"/>
        <w:rPr>
          <w:sz w:val="20"/>
          <w:szCs w:val="20"/>
          <w:color w:val="auto"/>
        </w:rPr>
      </w:pPr>
    </w:p>
    <w:p>
      <w:pPr>
        <w:jc w:val="both"/>
        <w:ind w:right="640" w:firstLine="656"/>
        <w:spacing w:after="0" w:line="286" w:lineRule="auto"/>
        <w:tabs>
          <w:tab w:leader="none" w:pos="1593"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Conditions to Obligations of the Investors</w:t>
      </w:r>
      <w:r>
        <w:rPr>
          <w:rFonts w:ascii="Times New Roman" w:cs="Times New Roman" w:eastAsia="Times New Roman" w:hAnsi="Times New Roman"/>
          <w:sz w:val="18"/>
          <w:szCs w:val="18"/>
          <w:color w:val="auto"/>
        </w:rPr>
        <w:t>. The obligation of each Investor to purchase Shares at the Closing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to such Investor’s satisfaction, on or prior to the Closing Date, of the following conditions, any of which may be waived by such Investor: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ind w:left="1520" w:hanging="884"/>
        <w:spacing w:after="0"/>
        <w:tabs>
          <w:tab w:leader="none" w:pos="1520"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made by the Company in Section 2 hereof shall be true and correct in all material respects.</w:t>
      </w:r>
    </w:p>
    <w:p>
      <w:pPr>
        <w:spacing w:after="0" w:line="225" w:lineRule="exact"/>
        <w:rPr>
          <w:rFonts w:ascii="Times New Roman" w:cs="Times New Roman" w:eastAsia="Times New Roman" w:hAnsi="Times New Roman"/>
          <w:sz w:val="18"/>
          <w:szCs w:val="18"/>
          <w:color w:val="010000"/>
        </w:rPr>
      </w:pPr>
    </w:p>
    <w:p>
      <w:pPr>
        <w:ind w:left="-20" w:right="340" w:firstLine="656"/>
        <w:spacing w:after="0" w:line="282" w:lineRule="auto"/>
        <w:tabs>
          <w:tab w:leader="none" w:pos="1513"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have performed in all material respects all obligations and covenants herein required to be performed by it on or prior to the Closing Date.</w:t>
      </w:r>
    </w:p>
    <w:p>
      <w:pPr>
        <w:spacing w:after="0" w:line="161" w:lineRule="exact"/>
        <w:rPr>
          <w:rFonts w:ascii="Times New Roman" w:cs="Times New Roman" w:eastAsia="Times New Roman" w:hAnsi="Times New Roman"/>
          <w:sz w:val="18"/>
          <w:szCs w:val="18"/>
          <w:color w:val="010000"/>
        </w:rPr>
      </w:pPr>
    </w:p>
    <w:p>
      <w:pPr>
        <w:ind w:left="-20" w:firstLine="656"/>
        <w:spacing w:after="0" w:line="282" w:lineRule="auto"/>
        <w:tabs>
          <w:tab w:leader="none" w:pos="1503" w:val="left"/>
        </w:tabs>
        <w:numPr>
          <w:ilvl w:val="0"/>
          <w:numId w:val="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w:t>
      </w:r>
    </w:p>
    <w:p>
      <w:pPr>
        <w:spacing w:after="0" w:line="158" w:lineRule="exact"/>
        <w:rPr>
          <w:sz w:val="20"/>
          <w:szCs w:val="20"/>
          <w:color w:val="auto"/>
        </w:rPr>
      </w:pPr>
    </w:p>
    <w:p>
      <w:pPr>
        <w:ind w:left="-20" w:right="400" w:firstLine="656"/>
        <w:spacing w:after="0" w:line="286" w:lineRule="auto"/>
        <w:tabs>
          <w:tab w:leader="none" w:pos="1573"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Conditions to Obligations of the Company</w:t>
      </w:r>
      <w:r>
        <w:rPr>
          <w:rFonts w:ascii="Times New Roman" w:cs="Times New Roman" w:eastAsia="Times New Roman" w:hAnsi="Times New Roman"/>
          <w:sz w:val="18"/>
          <w:szCs w:val="18"/>
          <w:color w:val="auto"/>
        </w:rPr>
        <w:t>. The Company’s obligation to sell and issue Shares at the Closing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fulfillment to the satisfaction of the Company on or prior to the Closing Date of the following conditions, any of which may be waived by the Company:</w:t>
      </w:r>
    </w:p>
    <w:p>
      <w:pPr>
        <w:spacing w:after="0" w:line="159" w:lineRule="exact"/>
        <w:rPr>
          <w:sz w:val="20"/>
          <w:szCs w:val="20"/>
          <w:color w:val="auto"/>
        </w:rPr>
      </w:pPr>
    </w:p>
    <w:p>
      <w:pPr>
        <w:ind w:left="1520" w:hanging="884"/>
        <w:spacing w:after="0"/>
        <w:tabs>
          <w:tab w:leader="none" w:pos="1520"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representations and warranties made by the Investors in Section 3 hereof shall be true and correct in all material respects.</w:t>
      </w:r>
    </w:p>
    <w:p>
      <w:pPr>
        <w:spacing w:after="0" w:line="225" w:lineRule="exact"/>
        <w:rPr>
          <w:rFonts w:ascii="Times New Roman" w:cs="Times New Roman" w:eastAsia="Times New Roman" w:hAnsi="Times New Roman"/>
          <w:sz w:val="18"/>
          <w:szCs w:val="18"/>
          <w:color w:val="010000"/>
        </w:rPr>
      </w:pPr>
    </w:p>
    <w:p>
      <w:pPr>
        <w:ind w:left="-20" w:right="680" w:firstLine="656"/>
        <w:spacing w:after="0" w:line="282" w:lineRule="auto"/>
        <w:tabs>
          <w:tab w:leader="none" w:pos="1513"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Investors shall have performed in all material respects all obligations and covenants herein required to be performed by the Investors on or prior to the Closing Date.</w:t>
      </w:r>
    </w:p>
    <w:p>
      <w:pPr>
        <w:spacing w:after="0" w:line="161" w:lineRule="exact"/>
        <w:rPr>
          <w:rFonts w:ascii="Times New Roman" w:cs="Times New Roman" w:eastAsia="Times New Roman" w:hAnsi="Times New Roman"/>
          <w:sz w:val="18"/>
          <w:szCs w:val="18"/>
          <w:color w:val="010000"/>
        </w:rPr>
      </w:pPr>
    </w:p>
    <w:p>
      <w:pPr>
        <w:ind w:left="-20" w:firstLine="656"/>
        <w:spacing w:after="0" w:line="282" w:lineRule="auto"/>
        <w:tabs>
          <w:tab w:leader="none" w:pos="1503"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authorizations, approvals or permits, if any, of any governmental authority or regulatory body of the United States or of any state that are required in connection with the lawful issuance and sale of the Shares pursuant to this Agreement shall be obtained and effective as of the Closing.</w:t>
      </w:r>
    </w:p>
    <w:p>
      <w:pPr>
        <w:spacing w:after="0" w:line="158" w:lineRule="exact"/>
        <w:rPr>
          <w:sz w:val="20"/>
          <w:szCs w:val="20"/>
          <w:color w:val="auto"/>
        </w:rPr>
      </w:pPr>
    </w:p>
    <w:p>
      <w:pPr>
        <w:ind w:left="1580" w:hanging="944"/>
        <w:spacing w:after="0"/>
        <w:tabs>
          <w:tab w:leader="none" w:pos="158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20" w:right="240" w:firstLine="656"/>
        <w:spacing w:after="0" w:line="258" w:lineRule="auto"/>
        <w:tabs>
          <w:tab w:leader="none" w:pos="150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may not be assigned by the Company without the prior written consent of each of the Investors. This Agreement may not be assigned by any Investor without the prior written consent of the Company. The provisions of this Agreement shall inure to the benefit of and be binding upon the respective permitted successors and assigns of the parties. Nothing in this Agreement, express or implied, is intended to confer upon any party other than the parties hereto or their respective permitted successors and assigns any rights, remedies, obligations, or liabilities under or by reason of this Agreement, except as expressly provided in this Agreement.</w:t>
      </w:r>
    </w:p>
    <w:p>
      <w:pPr>
        <w:spacing w:after="0" w:line="183" w:lineRule="exact"/>
        <w:rPr>
          <w:rFonts w:ascii="Times New Roman" w:cs="Times New Roman" w:eastAsia="Times New Roman" w:hAnsi="Times New Roman"/>
          <w:sz w:val="18"/>
          <w:szCs w:val="18"/>
          <w:color w:val="010000"/>
        </w:rPr>
      </w:pPr>
    </w:p>
    <w:p>
      <w:pPr>
        <w:ind w:left="-20" w:right="20" w:firstLine="656"/>
        <w:spacing w:after="0" w:line="266" w:lineRule="auto"/>
        <w:tabs>
          <w:tab w:leader="none" w:pos="151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Entire Agreement; Modifications</w:t>
      </w:r>
      <w:r>
        <w:rPr>
          <w:rFonts w:ascii="Times New Roman" w:cs="Times New Roman" w:eastAsia="Times New Roman" w:hAnsi="Times New Roman"/>
          <w:sz w:val="18"/>
          <w:szCs w:val="18"/>
          <w:color w:val="auto"/>
        </w:rPr>
        <w:t>. Except as otherwise provided herein, this Agreement constitutes the entire understanding and agreement between the parties with respect to its subject matter and there are no agreements or understandings with respect to the subject matter hereof which are not contained in this Agreement. This Agreement may be modified or terminated only in writing signed by the Company and each of the Investors.</w:t>
      </w:r>
    </w:p>
    <w:p>
      <w:pPr>
        <w:spacing w:after="0" w:line="176" w:lineRule="exact"/>
        <w:rPr>
          <w:rFonts w:ascii="Times New Roman" w:cs="Times New Roman" w:eastAsia="Times New Roman" w:hAnsi="Times New Roman"/>
          <w:sz w:val="18"/>
          <w:szCs w:val="18"/>
          <w:color w:val="010000"/>
        </w:rPr>
      </w:pPr>
    </w:p>
    <w:p>
      <w:pPr>
        <w:jc w:val="both"/>
        <w:ind w:left="-20" w:right="180" w:firstLine="656"/>
        <w:spacing w:after="0" w:line="266" w:lineRule="auto"/>
        <w:tabs>
          <w:tab w:leader="none" w:pos="1503"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all of which taken together shall constitute one and the same instrument and shall become effective when counterparts have been signed by each party and delivered to the other parties hereto, it being understood that all parties need not sign the same counterpart. Execution may be made by delivery of a facsimile or PDF.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4" w:right="259" w:bottom="1440" w:gutter="0" w:footer="0" w:header="0"/>
        </w:sectPr>
      </w:pPr>
    </w:p>
    <w:bookmarkStart w:id="7" w:name="page8"/>
    <w:bookmarkEnd w:id="7"/>
    <w:p>
      <w:pPr>
        <w:ind w:firstLine="656"/>
        <w:spacing w:after="0" w:line="252" w:lineRule="auto"/>
        <w:tabs>
          <w:tab w:leader="none" w:pos="1533"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Governing Law; Consent to Jurisdiction; Waiver of Jury Trial</w:t>
      </w:r>
      <w:r>
        <w:rPr>
          <w:rFonts w:ascii="Times New Roman" w:cs="Times New Roman" w:eastAsia="Times New Roman" w:hAnsi="Times New Roman"/>
          <w:sz w:val="18"/>
          <w:szCs w:val="18"/>
          <w:color w:val="auto"/>
        </w:rPr>
        <w:t xml:space="preserve">. This Agreement and any controversy arising out of or relating to this Agreement shall be governed by, and construed in accordance with, the internal laws of the Commonwealth of Massachusetts, without regard to the choice of law principles that would result in the application of any law other than the law of the Commonwealth of Massachusetts. Each of the parties hereto irrevocably submits to the exclusive jurisdiction of the courts of the Commonwealth of Massachusetts located in Suffolk County and the United States District Court for the District of Massachusetts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Times New Roman" w:cs="Times New Roman" w:eastAsia="Times New Roman" w:hAnsi="Times New Roman"/>
          <w:sz w:val="18"/>
          <w:szCs w:val="18"/>
          <w:b w:val="1"/>
          <w:bCs w:val="1"/>
          <w:color w:val="auto"/>
        </w:rPr>
        <w:t>EACH OF THE PARTIES HERETO WAIVES ANY RIGHT TO</w:t>
      </w:r>
    </w:p>
    <w:p>
      <w:pPr>
        <w:spacing w:after="0" w:line="5" w:lineRule="exact"/>
        <w:rPr>
          <w:rFonts w:ascii="Times New Roman" w:cs="Times New Roman" w:eastAsia="Times New Roman" w:hAnsi="Times New Roman"/>
          <w:sz w:val="18"/>
          <w:szCs w:val="18"/>
          <w:color w:val="010000"/>
        </w:rPr>
      </w:pPr>
    </w:p>
    <w:p>
      <w:pPr>
        <w:ind w:right="100"/>
        <w:spacing w:after="0" w:line="261" w:lineRule="auto"/>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color w:val="auto"/>
        </w:rPr>
        <w:t>REQUEST A TRIAL BY JURY IN ANY LITIGATION WITH RESPECT TO THIS AGREEMENT AND REPRESENTS THAT COUNSEL HAS BEEN CONSULTED SPECIFICALLY AS TO THIS WAIVER.</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Omid Farokhzad, M.D.</w:t>
            </w:r>
          </w:p>
        </w:tc>
      </w:tr>
      <w:tr>
        <w:trPr>
          <w:trHeight w:val="191"/>
        </w:trPr>
        <w:tc>
          <w:tcPr>
            <w:tcW w:w="640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Omid Farokhzad, M.D.</w:t>
            </w:r>
          </w:p>
        </w:tc>
      </w:tr>
      <w:tr>
        <w:trPr>
          <w:trHeight w:val="234"/>
        </w:trPr>
        <w:tc>
          <w:tcPr>
            <w:tcW w:w="640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432"/>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Carsten Brunn, Ph.D.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41,436</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$74,999.16</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Takashi Kei Kishimoto</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Takashi 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50,000</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$90,500</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Elona Kogan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Elona Kogan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82,872</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$149,998.32</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Patrick Zenner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Patrick Zenner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55,248</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$99,998.88</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 /s/ Timothy A. Springer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1,100,000</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$1,991,000</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1,600,000</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$2,896,000</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Eiger Trust</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By: /s/ Jonathan Nicholson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165,746</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$300,000.26</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Stephen Smolinski</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Stephen Smolinski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13,812</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$24,999.72</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Scott D. Myers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Scott D.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41,436</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$74,999.16</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Horacio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Horacio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27,624</w:t>
            </w:r>
          </w:p>
        </w:tc>
        <w:tc>
          <w:tcPr>
            <w:tcW w:w="4640" w:type="dxa"/>
            <w:vAlign w:val="bottom"/>
          </w:tcPr>
          <w:p>
            <w:pPr>
              <w:spacing w:after="0"/>
              <w:rPr>
                <w:sz w:val="20"/>
                <w:szCs w:val="20"/>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Amount:</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$49,999.44</w:t>
            </w:r>
          </w:p>
        </w:tc>
        <w:tc>
          <w:tcPr>
            <w:tcW w:w="4640" w:type="dxa"/>
            <w:vAlign w:val="bottom"/>
          </w:tcPr>
          <w:p>
            <w:pPr>
              <w:spacing w:after="0"/>
              <w:rPr>
                <w:sz w:val="24"/>
                <w:szCs w:val="24"/>
                <w:color w:val="auto"/>
              </w:rPr>
            </w:pPr>
          </w:p>
        </w:tc>
      </w:tr>
      <w:tr>
        <w:trPr>
          <w:trHeight w:val="42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Taxpayer Identification Number:</w:t>
            </w: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40" w:type="dxa"/>
            <w:vAlign w:val="bottom"/>
          </w:tcPr>
          <w:p>
            <w:pPr>
              <w:spacing w:after="0"/>
              <w:rPr>
                <w:sz w:val="24"/>
                <w:szCs w:val="24"/>
                <w:color w:val="auto"/>
              </w:rPr>
            </w:pPr>
          </w:p>
        </w:tc>
      </w:tr>
      <w:tr>
        <w:trPr>
          <w:trHeight w:val="669"/>
        </w:trPr>
        <w:tc>
          <w:tcPr>
            <w:tcW w:w="25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2"/>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lowerLetter"/>
      <w:start w:val="7"/>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6"/>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2019-12-28T06:45:40Z</dcterms:created>
  <dcterms:modified xsi:type="dcterms:W3CDTF">2019-12-28T06:45:40Z</dcterms:modified>
</cp:coreProperties>
</file>