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4"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2040" w:type="dxa"/>
        <w:tblCellMar>
          <w:top w:w="0" w:type="dxa"/>
          <w:left w:w="0" w:type="dxa"/>
          <w:bottom w:w="0" w:type="dxa"/>
          <w:right w:w="0" w:type="dxa"/>
        </w:tblCellMar>
      </w:tblPr>
      <w:tr>
        <w:trPr>
          <w:trHeight w:val="233"/>
        </w:trPr>
        <w:tc>
          <w:tcPr>
            <w:tcW w:w="342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176"/>
        </w:trPr>
        <w:tc>
          <w:tcPr>
            <w:tcW w:w="34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450"/>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20" w:type="dxa"/>
            <w:vAlign w:val="bottom"/>
          </w:tcPr>
          <w:p>
            <w:pPr>
              <w:jc w:val="center"/>
              <w:ind w:right="410"/>
              <w:spacing w:after="0"/>
              <w:rPr>
                <w:sz w:val="20"/>
                <w:szCs w:val="20"/>
                <w:color w:val="auto"/>
              </w:rPr>
            </w:pPr>
            <w:r>
              <w:rPr>
                <w:rFonts w:ascii="Arial" w:cs="Arial" w:eastAsia="Arial" w:hAnsi="Arial"/>
                <w:sz w:val="18"/>
                <w:szCs w:val="18"/>
                <w:color w:val="auto"/>
                <w:w w:val="92"/>
              </w:rPr>
              <w:t>incorporation or organization)</w:t>
            </w:r>
          </w:p>
        </w:tc>
        <w:tc>
          <w:tcPr>
            <w:tcW w:w="3160" w:type="dxa"/>
            <w:vAlign w:val="bottom"/>
          </w:tcPr>
          <w:p>
            <w:pPr>
              <w:spacing w:after="0"/>
              <w:rPr>
                <w:sz w:val="20"/>
                <w:szCs w:val="20"/>
                <w:color w:val="auto"/>
              </w:rPr>
            </w:pPr>
          </w:p>
        </w:tc>
      </w:tr>
      <w:tr>
        <w:trPr>
          <w:trHeight w:val="296"/>
        </w:trPr>
        <w:tc>
          <w:tcPr>
            <w:tcW w:w="3420" w:type="dxa"/>
            <w:vAlign w:val="bottom"/>
          </w:tcPr>
          <w:p>
            <w:pPr>
              <w:spacing w:after="0"/>
              <w:rPr>
                <w:sz w:val="20"/>
                <w:szCs w:val="20"/>
                <w:color w:val="auto"/>
              </w:rPr>
            </w:pPr>
            <w:r>
              <w:rPr>
                <w:rFonts w:ascii="Arial" w:cs="Arial" w:eastAsia="Arial" w:hAnsi="Arial"/>
                <w:sz w:val="18"/>
                <w:szCs w:val="18"/>
                <w:b w:val="1"/>
                <w:bCs w:val="1"/>
                <w:color w:val="auto"/>
              </w:rPr>
              <w:t>65 Grove Street  Watertown MA</w:t>
            </w:r>
          </w:p>
        </w:tc>
        <w:tc>
          <w:tcPr>
            <w:tcW w:w="316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43"/>
        </w:trPr>
        <w:tc>
          <w:tcPr>
            <w:tcW w:w="3420" w:type="dxa"/>
            <w:vAlign w:val="bottom"/>
          </w:tcPr>
          <w:p>
            <w:pPr>
              <w:jc w:val="center"/>
              <w:ind w:right="39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jc w:val="center"/>
              <w:ind w:left="45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right="2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Arial" w:cs="Arial" w:eastAsia="Arial" w:hAnsi="Arial"/>
          <w:sz w:val="16"/>
          <w:szCs w:val="16"/>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0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796" w:right="359" w:bottom="1440" w:gutter="0" w:footer="0" w:header="0"/>
        </w:sectPr>
      </w:pPr>
    </w:p>
    <w:p>
      <w:pPr>
        <w:spacing w:after="0" w:line="155"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ind w:left="700"/>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4">
            <w:col w:w="3280" w:space="80"/>
            <w:col w:w="2300" w:space="720"/>
            <w:col w:w="1780" w:space="80"/>
            <w:col w:w="2980"/>
          </w:cols>
          <w:pgMar w:left="320" w:top="796" w:right="359" w:bottom="1440" w:gutter="0" w:footer="0" w:header="0"/>
          <w:type w:val="continuous"/>
        </w:sectPr>
      </w:pPr>
    </w:p>
    <w:p>
      <w:pPr>
        <w:spacing w:after="0" w:line="53" w:lineRule="exact"/>
        <w:rPr>
          <w:sz w:val="24"/>
          <w:szCs w:val="24"/>
          <w:color w:val="auto"/>
        </w:rPr>
      </w:pPr>
    </w:p>
    <w:p>
      <w:pPr>
        <w:ind w:right="14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10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r>
        <w:rPr>
          <w:rFonts w:ascii="Arial" w:cs="Arial" w:eastAsia="Arial" w:hAnsi="Arial"/>
          <w:sz w:val="16"/>
          <w:szCs w:val="16"/>
          <w:color w:val="auto"/>
        </w:rPr>
        <w:t xml:space="preserve"> As of October 30, 2020, the registrant had 108,030,311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TABLE OF CONTENTS</w:t>
            </w:r>
          </w:p>
        </w:tc>
        <w:tc>
          <w:tcPr>
            <w:tcW w:w="414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r>
      <w:tr>
        <w:trPr>
          <w:trHeight w:val="520"/>
        </w:trPr>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40" w:type="dxa"/>
            <w:vAlign w:val="bottom"/>
            <w:gridSpan w:val="10"/>
          </w:tcPr>
          <w:p>
            <w:pPr>
              <w:jc w:val="center"/>
              <w:ind w:right="2580"/>
              <w:spacing w:after="0"/>
              <w:rPr>
                <w:rFonts w:ascii="Arial" w:cs="Arial" w:eastAsia="Arial" w:hAnsi="Arial"/>
                <w:sz w:val="18"/>
                <w:szCs w:val="18"/>
                <w:u w:val="single" w:color="auto"/>
                <w:color w:val="0000FF"/>
                <w:w w:val="98"/>
              </w:rPr>
            </w:pPr>
            <w:hyperlink w:anchor="page3">
              <w:r>
                <w:rPr>
                  <w:rFonts w:ascii="Arial" w:cs="Arial" w:eastAsia="Arial" w:hAnsi="Arial"/>
                  <w:sz w:val="18"/>
                  <w:szCs w:val="18"/>
                  <w:u w:val="single" w:color="auto"/>
                  <w:color w:val="0000FF"/>
                  <w:w w:val="98"/>
                </w:rPr>
                <w:t>Part I. FINANCIAL INFORMATION</w:t>
              </w:r>
            </w:hyperlink>
          </w:p>
        </w:tc>
        <w:tc>
          <w:tcPr>
            <w:tcW w:w="480" w:type="dxa"/>
            <w:vAlign w:val="bottom"/>
          </w:tcPr>
          <w:p>
            <w:pPr>
              <w:spacing w:after="0"/>
              <w:rPr>
                <w:sz w:val="24"/>
                <w:szCs w:val="24"/>
                <w:color w:val="auto"/>
              </w:rPr>
            </w:pP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4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486"/>
        </w:trPr>
        <w:tc>
          <w:tcPr>
            <w:tcW w:w="1500" w:type="dxa"/>
            <w:vAlign w:val="bottom"/>
          </w:tcPr>
          <w:p>
            <w:pPr>
              <w:spacing w:after="0"/>
              <w:rPr>
                <w:sz w:val="24"/>
                <w:szCs w:val="24"/>
                <w:color w:val="auto"/>
              </w:rPr>
            </w:pPr>
          </w:p>
        </w:tc>
        <w:tc>
          <w:tcPr>
            <w:tcW w:w="9200" w:type="dxa"/>
            <w:vAlign w:val="bottom"/>
            <w:gridSpan w:val="1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 as of September 30, 2020 (Unaudited) and December 31, 2019</w:t>
              </w:r>
            </w:hyperlink>
          </w:p>
        </w:tc>
        <w:tc>
          <w:tcPr>
            <w:tcW w:w="4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445"/>
        </w:trPr>
        <w:tc>
          <w:tcPr>
            <w:tcW w:w="1500" w:type="dxa"/>
            <w:vAlign w:val="bottom"/>
          </w:tcPr>
          <w:p>
            <w:pPr>
              <w:spacing w:after="0"/>
              <w:rPr>
                <w:sz w:val="24"/>
                <w:szCs w:val="24"/>
                <w:color w:val="auto"/>
              </w:rPr>
            </w:pPr>
          </w:p>
        </w:tc>
        <w:tc>
          <w:tcPr>
            <w:tcW w:w="9200" w:type="dxa"/>
            <w:vAlign w:val="bottom"/>
            <w:gridSpan w:val="12"/>
          </w:tcPr>
          <w:p>
            <w:pPr>
              <w:spacing w:after="0"/>
              <w:rPr>
                <w:rFonts w:ascii="Arial" w:cs="Arial" w:eastAsia="Arial" w:hAnsi="Arial"/>
                <w:sz w:val="18"/>
                <w:szCs w:val="18"/>
                <w:color w:val="0000FF"/>
                <w:w w:val="92"/>
              </w:rPr>
            </w:pPr>
            <w:hyperlink w:anchor="page4">
              <w:r>
                <w:rPr>
                  <w:rFonts w:ascii="Arial" w:cs="Arial" w:eastAsia="Arial" w:hAnsi="Arial"/>
                  <w:sz w:val="18"/>
                  <w:szCs w:val="18"/>
                  <w:u w:val="single" w:color="auto"/>
                  <w:color w:val="0000FF"/>
                  <w:w w:val="92"/>
                </w:rPr>
                <w:t>Consolidated Statements of Operations and Comprehensive Loss for the Three and</w:t>
              </w:r>
              <w:r>
                <w:rPr>
                  <w:rFonts w:ascii="Arial" w:cs="Arial" w:eastAsia="Arial" w:hAnsi="Arial"/>
                  <w:sz w:val="18"/>
                  <w:szCs w:val="18"/>
                  <w:color w:val="0000FF"/>
                  <w:w w:val="92"/>
                </w:rPr>
                <w:t xml:space="preserve"> Nine Months ended </w:t>
              </w:r>
              <w:r>
                <w:rPr>
                  <w:rFonts w:ascii="Arial" w:cs="Arial" w:eastAsia="Arial" w:hAnsi="Arial"/>
                  <w:sz w:val="18"/>
                  <w:szCs w:val="18"/>
                  <w:u w:val="single" w:color="auto"/>
                  <w:color w:val="0000FF"/>
                  <w:w w:val="92"/>
                </w:rPr>
                <w:t>September</w:t>
              </w:r>
              <w:r>
                <w:rPr>
                  <w:rFonts w:ascii="Arial" w:cs="Arial" w:eastAsia="Arial" w:hAnsi="Arial"/>
                  <w:sz w:val="18"/>
                  <w:szCs w:val="18"/>
                  <w:color w:val="0000FF"/>
                  <w:w w:val="92"/>
                </w:rPr>
                <w:t xml:space="preserve"> 30, 2020</w:t>
              </w:r>
            </w:hyperlink>
          </w:p>
        </w:tc>
        <w:tc>
          <w:tcPr>
            <w:tcW w:w="4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156"/>
        </w:trPr>
        <w:tc>
          <w:tcPr>
            <w:tcW w:w="1500" w:type="dxa"/>
            <w:vAlign w:val="bottom"/>
          </w:tcPr>
          <w:p>
            <w:pPr>
              <w:spacing w:after="0"/>
              <w:rPr>
                <w:sz w:val="13"/>
                <w:szCs w:val="13"/>
                <w:color w:val="auto"/>
              </w:rPr>
            </w:pPr>
          </w:p>
        </w:tc>
        <w:tc>
          <w:tcPr>
            <w:tcW w:w="6000" w:type="dxa"/>
            <w:vAlign w:val="bottom"/>
            <w:gridSpan w:val="6"/>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and 2019 (Unaudited)</w:t>
              </w:r>
            </w:hyperlink>
          </w:p>
        </w:tc>
        <w:tc>
          <w:tcPr>
            <w:tcW w:w="146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66"/>
        </w:trPr>
        <w:tc>
          <w:tcPr>
            <w:tcW w:w="1500" w:type="dxa"/>
            <w:vAlign w:val="bottom"/>
          </w:tcPr>
          <w:p>
            <w:pPr>
              <w:spacing w:after="0"/>
              <w:rPr>
                <w:sz w:val="24"/>
                <w:szCs w:val="24"/>
                <w:color w:val="auto"/>
              </w:rPr>
            </w:pPr>
          </w:p>
        </w:tc>
        <w:tc>
          <w:tcPr>
            <w:tcW w:w="9200" w:type="dxa"/>
            <w:vAlign w:val="bottom"/>
            <w:gridSpan w:val="12"/>
          </w:tcPr>
          <w:p>
            <w:pPr>
              <w:spacing w:after="0"/>
              <w:rPr>
                <w:rFonts w:ascii="Arial" w:cs="Arial" w:eastAsia="Arial" w:hAnsi="Arial"/>
                <w:sz w:val="18"/>
                <w:szCs w:val="18"/>
                <w:color w:val="0000FF"/>
                <w:w w:val="94"/>
              </w:rPr>
            </w:pPr>
            <w:hyperlink w:anchor="page5">
              <w:r>
                <w:rPr>
                  <w:rFonts w:ascii="Arial" w:cs="Arial" w:eastAsia="Arial" w:hAnsi="Arial"/>
                  <w:sz w:val="18"/>
                  <w:szCs w:val="18"/>
                  <w:u w:val="single" w:color="auto"/>
                  <w:color w:val="0000FF"/>
                  <w:w w:val="94"/>
                </w:rPr>
                <w:t>Consolidated Statements of Changes in Stockholders' (Deficit) Equity for the Three Months ended March 31, June 30,</w:t>
              </w:r>
              <w:r>
                <w:rPr>
                  <w:rFonts w:ascii="Arial" w:cs="Arial" w:eastAsia="Arial" w:hAnsi="Arial"/>
                  <w:sz w:val="18"/>
                  <w:szCs w:val="18"/>
                  <w:color w:val="0000FF"/>
                  <w:w w:val="94"/>
                </w:rPr>
                <w:t xml:space="preserve"> and</w:t>
              </w:r>
            </w:hyperlink>
          </w:p>
        </w:tc>
        <w:tc>
          <w:tcPr>
            <w:tcW w:w="4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155"/>
        </w:trPr>
        <w:tc>
          <w:tcPr>
            <w:tcW w:w="1500" w:type="dxa"/>
            <w:vAlign w:val="bottom"/>
          </w:tcPr>
          <w:p>
            <w:pPr>
              <w:spacing w:after="0"/>
              <w:rPr>
                <w:sz w:val="13"/>
                <w:szCs w:val="13"/>
                <w:color w:val="auto"/>
              </w:rPr>
            </w:pPr>
          </w:p>
        </w:tc>
        <w:tc>
          <w:tcPr>
            <w:tcW w:w="8560" w:type="dxa"/>
            <w:vAlign w:val="bottom"/>
            <w:gridSpan w:val="9"/>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September 30, </w:t>
              </w:r>
              <w:r>
                <w:rPr>
                  <w:rFonts w:ascii="Arial" w:cs="Arial" w:eastAsia="Arial" w:hAnsi="Arial"/>
                  <w:sz w:val="18"/>
                  <w:szCs w:val="18"/>
                  <w:u w:val="single" w:color="auto"/>
                  <w:color w:val="0000FF"/>
                </w:rPr>
                <w:t>2020 and 2019 (Unaudited)</w:t>
              </w:r>
            </w:hyperlink>
          </w:p>
        </w:tc>
        <w:tc>
          <w:tcPr>
            <w:tcW w:w="26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66"/>
        </w:trPr>
        <w:tc>
          <w:tcPr>
            <w:tcW w:w="1500" w:type="dxa"/>
            <w:vAlign w:val="bottom"/>
          </w:tcPr>
          <w:p>
            <w:pPr>
              <w:spacing w:after="0"/>
              <w:rPr>
                <w:sz w:val="24"/>
                <w:szCs w:val="24"/>
                <w:color w:val="auto"/>
              </w:rPr>
            </w:pPr>
          </w:p>
        </w:tc>
        <w:tc>
          <w:tcPr>
            <w:tcW w:w="920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Statements of Cash Flows for the Nine Months ended </w:t>
              </w:r>
              <w:r>
                <w:rPr>
                  <w:rFonts w:ascii="Arial" w:cs="Arial" w:eastAsia="Arial" w:hAnsi="Arial"/>
                  <w:sz w:val="18"/>
                  <w:szCs w:val="18"/>
                  <w:u w:val="single" w:color="auto"/>
                  <w:color w:val="0000FF"/>
                </w:rPr>
                <w:t>September 30, 2020 and 2019 (Unaudited)</w:t>
              </w:r>
            </w:hyperlink>
          </w:p>
        </w:tc>
        <w:tc>
          <w:tcPr>
            <w:tcW w:w="4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507"/>
        </w:trPr>
        <w:tc>
          <w:tcPr>
            <w:tcW w:w="1500" w:type="dxa"/>
            <w:vAlign w:val="bottom"/>
          </w:tcPr>
          <w:p>
            <w:pPr>
              <w:spacing w:after="0"/>
              <w:rPr>
                <w:sz w:val="24"/>
                <w:szCs w:val="24"/>
                <w:color w:val="auto"/>
              </w:rPr>
            </w:pPr>
          </w:p>
        </w:tc>
        <w:tc>
          <w:tcPr>
            <w:tcW w:w="488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Financial Statements (Unaudited)</w:t>
              </w:r>
            </w:hyperlink>
          </w:p>
        </w:tc>
        <w:tc>
          <w:tcPr>
            <w:tcW w:w="4320" w:type="dxa"/>
            <w:vAlign w:val="bottom"/>
            <w:gridSpan w:val="8"/>
          </w:tcPr>
          <w:p>
            <w:pPr>
              <w:spacing w:after="0"/>
              <w:rPr>
                <w:sz w:val="24"/>
                <w:szCs w:val="24"/>
                <w:color w:val="auto"/>
              </w:rPr>
            </w:pPr>
          </w:p>
        </w:tc>
        <w:tc>
          <w:tcPr>
            <w:tcW w:w="48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486"/>
        </w:trPr>
        <w:tc>
          <w:tcPr>
            <w:tcW w:w="150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486"/>
        </w:trPr>
        <w:tc>
          <w:tcPr>
            <w:tcW w:w="150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12"/>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4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486"/>
        </w:trPr>
        <w:tc>
          <w:tcPr>
            <w:tcW w:w="150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12"/>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Controls and Procedures</w:t>
              </w:r>
            </w:hyperlink>
          </w:p>
        </w:tc>
        <w:tc>
          <w:tcPr>
            <w:tcW w:w="48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r>
      <w:tr>
        <w:trPr>
          <w:trHeight w:val="500"/>
        </w:trPr>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40" w:type="dxa"/>
            <w:vAlign w:val="bottom"/>
            <w:gridSpan w:val="10"/>
          </w:tcPr>
          <w:p>
            <w:pPr>
              <w:jc w:val="center"/>
              <w:ind w:right="2580"/>
              <w:spacing w:after="0"/>
              <w:rPr>
                <w:rFonts w:ascii="Arial" w:cs="Arial" w:eastAsia="Arial" w:hAnsi="Arial"/>
                <w:sz w:val="18"/>
                <w:szCs w:val="18"/>
                <w:u w:val="single" w:color="auto"/>
                <w:color w:val="0000FF"/>
                <w:w w:val="95"/>
              </w:rPr>
            </w:pPr>
            <w:hyperlink w:anchor="page54">
              <w:r>
                <w:rPr>
                  <w:rFonts w:ascii="Arial" w:cs="Arial" w:eastAsia="Arial" w:hAnsi="Arial"/>
                  <w:sz w:val="18"/>
                  <w:szCs w:val="18"/>
                  <w:u w:val="single" w:color="auto"/>
                  <w:color w:val="0000FF"/>
                  <w:w w:val="95"/>
                </w:rPr>
                <w:t>Part II. OTHER INFORMATION</w:t>
              </w:r>
            </w:hyperlink>
          </w:p>
        </w:tc>
        <w:tc>
          <w:tcPr>
            <w:tcW w:w="480" w:type="dxa"/>
            <w:vAlign w:val="bottom"/>
          </w:tcPr>
          <w:p>
            <w:pPr>
              <w:spacing w:after="0"/>
              <w:rPr>
                <w:sz w:val="24"/>
                <w:szCs w:val="24"/>
                <w:color w:val="auto"/>
              </w:rPr>
            </w:pPr>
          </w:p>
        </w:tc>
      </w:tr>
      <w:tr>
        <w:trPr>
          <w:trHeight w:val="500"/>
        </w:trPr>
        <w:tc>
          <w:tcPr>
            <w:tcW w:w="150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2"/>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Legal Proceedings</w:t>
              </w:r>
            </w:hyperlink>
          </w:p>
        </w:tc>
        <w:tc>
          <w:tcPr>
            <w:tcW w:w="4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r>
      <w:tr>
        <w:trPr>
          <w:trHeight w:val="500"/>
        </w:trPr>
        <w:tc>
          <w:tcPr>
            <w:tcW w:w="150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12"/>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Risk Factors</w:t>
              </w:r>
            </w:hyperlink>
          </w:p>
        </w:tc>
        <w:tc>
          <w:tcPr>
            <w:tcW w:w="4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r>
      <w:tr>
        <w:trPr>
          <w:trHeight w:val="486"/>
        </w:trPr>
        <w:tc>
          <w:tcPr>
            <w:tcW w:w="150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Unregistered Sales of Equity Securities and Use of Proceeds</w:t>
              </w:r>
            </w:hyperlink>
          </w:p>
        </w:tc>
        <w:tc>
          <w:tcPr>
            <w:tcW w:w="48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1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Defaults Upon Senior Securities</w:t>
              </w:r>
            </w:hyperlink>
          </w:p>
        </w:tc>
        <w:tc>
          <w:tcPr>
            <w:tcW w:w="48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1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Mine Safety Disclosures</w:t>
              </w:r>
            </w:hyperlink>
          </w:p>
        </w:tc>
        <w:tc>
          <w:tcPr>
            <w:tcW w:w="48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1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Other Information</w:t>
              </w:r>
            </w:hyperlink>
          </w:p>
        </w:tc>
        <w:tc>
          <w:tcPr>
            <w:tcW w:w="48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Exhibits</w:t>
              </w:r>
            </w:hyperlink>
          </w:p>
        </w:tc>
        <w:tc>
          <w:tcPr>
            <w:tcW w:w="48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r>
      <w:tr>
        <w:trPr>
          <w:trHeight w:val="486"/>
        </w:trPr>
        <w:tc>
          <w:tcPr>
            <w:tcW w:w="1500" w:type="dxa"/>
            <w:vAlign w:val="bottom"/>
          </w:tcPr>
          <w:p>
            <w:pPr>
              <w:spacing w:after="0"/>
              <w:rPr>
                <w:sz w:val="24"/>
                <w:szCs w:val="24"/>
                <w:color w:val="auto"/>
              </w:rPr>
            </w:pPr>
          </w:p>
        </w:tc>
        <w:tc>
          <w:tcPr>
            <w:tcW w:w="9200" w:type="dxa"/>
            <w:vAlign w:val="bottom"/>
            <w:gridSpan w:val="12"/>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Signatures</w:t>
              </w:r>
            </w:hyperlink>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121"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coronavirus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status as a development-stage company and our expectation to incur losses in the future;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future capital needs and our need to raise additional funds;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build a pipeline of product candidates and develop and commercialize drugs;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unproven approach to therapeutic intervention;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enroll patients in clinical trials, timely and successfully complete those trials and receive necessary regulatory approvals;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have continued access to manufacturing facilities and to receive or manufacture sufficient quantities of our product candidates;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maintain our existing or future collaborations or licenses;</w:t>
      </w:r>
    </w:p>
    <w:p>
      <w:pPr>
        <w:spacing w:after="0" w:line="117" w:lineRule="exact"/>
        <w:rPr>
          <w:sz w:val="20"/>
          <w:szCs w:val="20"/>
          <w:color w:val="auto"/>
        </w:rPr>
      </w:pPr>
    </w:p>
    <w:p>
      <w:pPr>
        <w:ind w:left="660" w:right="160" w:hanging="324"/>
        <w:spacing w:after="0" w:line="277" w:lineRule="auto"/>
        <w:rPr>
          <w:sz w:val="20"/>
          <w:szCs w:val="20"/>
          <w:color w:val="auto"/>
        </w:rPr>
      </w:pPr>
      <w:r>
        <w:rPr>
          <w:rFonts w:ascii="Arial" w:cs="Arial" w:eastAsia="Arial" w:hAnsi="Arial"/>
          <w:sz w:val="18"/>
          <w:szCs w:val="18"/>
          <w:color w:val="auto"/>
        </w:rPr>
        <w:t>– the impact of the COVID-19 pandemic on our operations, the continuity of our business, including our preclinical studies and clinical trials, and general economic conditions;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protect and enforce our intellectual property rights;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federal, state, and foreign regulatory requirements, including FDA regulation of our product candidates;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obtain and retain key executives and attract and retain qualified personnel;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developments relating to our competitors and our industry, including the impact of government regulation;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successfully manage our growth.</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6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PART I -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5"/>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146,261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86"/>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166,502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 net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180,996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11,285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Loan payable</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Lease liability</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64,373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79"/>
        </w:trPr>
        <w:tc>
          <w:tcPr>
            <w:tcW w:w="86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77,004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51,466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Warrant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179"/>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188,378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17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17)</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4"/>
                <w:szCs w:val="14"/>
                <w:b w:val="1"/>
                <w:bCs w:val="1"/>
                <w:color w:val="auto"/>
              </w:rPr>
              <w:t>Stockholders’ (deficit) equity :</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68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w w:val="93"/>
              </w:rPr>
              <w:t>Preferred stock, $0.0001 par value; 10,000,000 shares authorized; no shares issued and outstanding at September 30, 2020 and December 31, 2019,</w:t>
            </w: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line="135" w:lineRule="exact"/>
              <w:rPr>
                <w:sz w:val="20"/>
                <w:szCs w:val="20"/>
                <w:color w:val="auto"/>
              </w:rPr>
            </w:pPr>
            <w:r>
              <w:rPr>
                <w:rFonts w:ascii="Arial" w:cs="Arial" w:eastAsia="Arial" w:hAnsi="Arial"/>
                <w:sz w:val="14"/>
                <w:szCs w:val="14"/>
                <w:color w:val="auto"/>
                <w:w w:val="93"/>
              </w:rPr>
              <w:t>Common stock, $0.0001 par value; 200,000,000 shares authorized; 107,235,976 and 86,325,547 shares issued and outstanding as of September 30,</w:t>
            </w: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2020 and December 31, 2019, respectively</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386,374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179"/>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stockholders’ (deficit) equity</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(deficit)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180,996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4"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7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7"/>
        </w:trPr>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Grant and collaboration revenue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4,646</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4,646</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39,414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27,591</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12,317</w:t>
            </w:r>
          </w:p>
        </w:tc>
        <w:tc>
          <w:tcPr>
            <w:tcW w:w="0" w:type="dxa"/>
            <w:vAlign w:val="bottom"/>
          </w:tcPr>
          <w:p>
            <w:pPr>
              <w:spacing w:after="0"/>
              <w:rPr>
                <w:sz w:val="1"/>
                <w:szCs w:val="1"/>
                <w:color w:val="auto"/>
              </w:rPr>
            </w:pPr>
          </w:p>
        </w:tc>
      </w:tr>
      <w:tr>
        <w:trPr>
          <w:trHeight w:val="17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39,908</w:t>
            </w: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(39,885)</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Foreign currency transaction gain (loss), net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liabilities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(40,462)</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securities</w:t>
            </w: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(9,761)</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(12,002)</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(53,491)</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(40,438)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Net loss per share:</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105,325,788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46,407,846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98,968,359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43,265,909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r>
      <w:tr>
        <w:trPr>
          <w:trHeight w:val="195"/>
        </w:trPr>
        <w:tc>
          <w:tcPr>
            <w:tcW w:w="562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6"/>
                <w:szCs w:val="16"/>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(Deficit)</w:t>
            </w:r>
          </w:p>
        </w:tc>
      </w:tr>
      <w:tr>
        <w:trPr>
          <w:trHeight w:val="188"/>
        </w:trPr>
        <w:tc>
          <w:tcPr>
            <w:tcW w:w="5620" w:type="dxa"/>
            <w:vAlign w:val="bottom"/>
          </w:tcPr>
          <w:p>
            <w:pPr>
              <w:spacing w:after="0"/>
              <w:rPr>
                <w:sz w:val="16"/>
                <w:szCs w:val="16"/>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6"/>
                <w:szCs w:val="16"/>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r>
      <w:tr>
        <w:trPr>
          <w:trHeight w:val="18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86,325,547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348,664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8,397</w:t>
            </w: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78,583</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598,977</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87,019,172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351,184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(355,373)</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(8,763)</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bl>
    <w:p>
      <w:pPr>
        <w:spacing w:after="0" w:line="1" w:lineRule="exact"/>
        <w:rPr>
          <w:sz w:val="20"/>
          <w:szCs w:val="20"/>
          <w:color w:val="auto"/>
        </w:rPr>
      </w:pPr>
    </w:p>
    <w:p>
      <w:pPr>
        <w:sectPr>
          <w:pgSz w:w="11900" w:h="16838" w:orient="portrait"/>
          <w:cols w:equalWidth="0" w:num="1">
            <w:col w:w="11180"/>
          </w:cols>
          <w:pgMar w:left="320" w:top="1287" w:right="399" w:bottom="1440" w:gutter="0" w:footer="0" w:header="0"/>
        </w:sectPr>
      </w:pPr>
    </w:p>
    <w:p>
      <w:pPr>
        <w:ind w:left="20"/>
        <w:spacing w:after="0"/>
        <w:rPr>
          <w:sz w:val="20"/>
          <w:szCs w:val="20"/>
          <w:color w:val="auto"/>
        </w:rPr>
      </w:pPr>
      <w:r>
        <w:rPr>
          <w:rFonts w:ascii="Arial" w:cs="Arial" w:eastAsia="Arial" w:hAnsi="Arial"/>
          <w:sz w:val="14"/>
          <w:szCs w:val="14"/>
          <w:color w:val="auto"/>
        </w:rPr>
        <w:t>Issuance of vested restricted stock units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through at-the-market offering, net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Issuance of common stock upon exercise of pre-funded warrants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upon exercise of common warrants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Currency translation adjustment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2020</w:t>
      </w:r>
    </w:p>
    <w:p>
      <w:pPr>
        <w:spacing w:after="0" w:line="55" w:lineRule="exact"/>
        <w:rPr>
          <w:sz w:val="20"/>
          <w:szCs w:val="20"/>
          <w:color w:val="auto"/>
        </w:rPr>
      </w:pPr>
    </w:p>
    <w:p>
      <w:pPr>
        <w:ind w:left="20" w:right="1160"/>
        <w:spacing w:after="0" w:line="281" w:lineRule="auto"/>
        <w:rPr>
          <w:sz w:val="20"/>
          <w:szCs w:val="20"/>
          <w:color w:val="auto"/>
        </w:rPr>
      </w:pPr>
      <w:r>
        <w:rPr>
          <w:rFonts w:ascii="Arial" w:cs="Arial" w:eastAsia="Arial" w:hAnsi="Arial"/>
          <w:sz w:val="14"/>
          <w:szCs w:val="14"/>
          <w:color w:val="auto"/>
        </w:rPr>
        <w:t>Issuance of common stock under Employee Stock Purchase Plan Issuance of vested restricted stock units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common stock through private placement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common warrants with long-term debt,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upon exercise of common warrants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financing fees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Currency translation adjustment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spacing w:after="0"/>
              <w:rPr>
                <w:sz w:val="20"/>
                <w:szCs w:val="20"/>
                <w:color w:val="auto"/>
              </w:rPr>
            </w:pPr>
            <w:r>
              <w:rPr>
                <w:rFonts w:ascii="Arial" w:cs="Arial" w:eastAsia="Arial" w:hAnsi="Arial"/>
                <w:sz w:val="14"/>
                <w:szCs w:val="14"/>
                <w:color w:val="auto"/>
              </w:rPr>
              <w:t>10,938</w:t>
            </w:r>
          </w:p>
        </w:tc>
        <w:tc>
          <w:tcPr>
            <w:tcW w:w="36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00" w:type="dxa"/>
            <w:vAlign w:val="bottom"/>
          </w:tcPr>
          <w:p>
            <w:pPr>
              <w:jc w:val="right"/>
              <w:spacing w:after="0"/>
              <w:rPr>
                <w:sz w:val="20"/>
                <w:szCs w:val="20"/>
                <w:color w:val="auto"/>
              </w:rPr>
            </w:pPr>
            <w:r>
              <w:rPr>
                <w:rFonts w:ascii="Arial" w:cs="Arial" w:eastAsia="Arial" w:hAnsi="Arial"/>
                <w:sz w:val="14"/>
                <w:szCs w:val="14"/>
                <w:color w:val="auto"/>
              </w:rPr>
              <w:t>470,509</w:t>
            </w:r>
          </w:p>
        </w:tc>
        <w:tc>
          <w:tcPr>
            <w:tcW w:w="36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967</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8,342,128</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4,967,563</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17,214</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17,214</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1,481</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1,481</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9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(24,081)</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(24,081)</w:t>
            </w:r>
          </w:p>
        </w:tc>
      </w:tr>
      <w:tr>
        <w:trPr>
          <w:trHeight w:val="18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100,847,810</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370,944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(379,454)</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(13,052)</w:t>
            </w:r>
          </w:p>
        </w:tc>
      </w:tr>
      <w:tr>
        <w:trPr>
          <w:trHeight w:val="24"/>
        </w:trPr>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800" w:type="dxa"/>
            <w:vAlign w:val="bottom"/>
          </w:tcPr>
          <w:p>
            <w:pPr>
              <w:jc w:val="right"/>
              <w:spacing w:after="0"/>
              <w:rPr>
                <w:sz w:val="20"/>
                <w:szCs w:val="20"/>
                <w:color w:val="auto"/>
              </w:rPr>
            </w:pPr>
            <w:r>
              <w:rPr>
                <w:rFonts w:ascii="Arial" w:cs="Arial" w:eastAsia="Arial" w:hAnsi="Arial"/>
                <w:sz w:val="14"/>
                <w:szCs w:val="14"/>
                <w:color w:val="auto"/>
              </w:rPr>
              <w:t>31,629</w:t>
            </w:r>
          </w:p>
        </w:tc>
        <w:tc>
          <w:tcPr>
            <w:tcW w:w="36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2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4"/>
        </w:trPr>
        <w:tc>
          <w:tcPr>
            <w:tcW w:w="800" w:type="dxa"/>
            <w:vAlign w:val="bottom"/>
          </w:tcPr>
          <w:p>
            <w:pPr>
              <w:jc w:val="right"/>
              <w:spacing w:after="0"/>
              <w:rPr>
                <w:sz w:val="20"/>
                <w:szCs w:val="20"/>
                <w:color w:val="auto"/>
              </w:rPr>
            </w:pPr>
            <w:r>
              <w:rPr>
                <w:rFonts w:ascii="Arial" w:cs="Arial" w:eastAsia="Arial" w:hAnsi="Arial"/>
                <w:sz w:val="14"/>
                <w:szCs w:val="14"/>
                <w:color w:val="auto"/>
              </w:rPr>
              <w:t>60,937</w:t>
            </w:r>
          </w:p>
        </w:tc>
        <w:tc>
          <w:tcPr>
            <w:tcW w:w="36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5,416,390</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10,268</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10,269</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879,210</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3,485</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3,485</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1,296</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r>
      <w:tr>
        <w:trPr>
          <w:trHeight w:val="18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107,235,976</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386,374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(389,183)</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(7,382)</w:t>
            </w:r>
          </w:p>
        </w:tc>
      </w:tr>
      <w:tr>
        <w:trPr>
          <w:trHeight w:val="24"/>
        </w:trPr>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-2125345</wp:posOffset>
            </wp:positionV>
            <wp:extent cx="709803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-1885315</wp:posOffset>
            </wp:positionV>
            <wp:extent cx="709803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-1645285</wp:posOffset>
            </wp:positionV>
            <wp:extent cx="709803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-1405255</wp:posOffset>
            </wp:positionV>
            <wp:extent cx="709803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-1122045</wp:posOffset>
            </wp:positionV>
            <wp:extent cx="709803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-882015</wp:posOffset>
            </wp:positionV>
            <wp:extent cx="709803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-642620</wp:posOffset>
            </wp:positionV>
            <wp:extent cx="709803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-401955</wp:posOffset>
            </wp:positionV>
            <wp:extent cx="709803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-161925</wp:posOffset>
            </wp:positionV>
            <wp:extent cx="70980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900" w:space="720"/>
            <w:col w:w="5560"/>
          </w:cols>
          <w:pgMar w:left="320" w:top="1287" w:right="399" w:bottom="1440" w:gutter="0" w:footer="0" w:header="0"/>
          <w:type w:val="continuous"/>
        </w:sectPr>
      </w:pPr>
    </w:p>
    <w:p>
      <w:pPr>
        <w:jc w:val="center"/>
        <w:ind w:right="-59"/>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87"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other</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r>
      <w:tr>
        <w:trPr>
          <w:trHeight w:val="194"/>
        </w:trPr>
        <w:tc>
          <w:tcPr>
            <w:tcW w:w="588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comprehensive</w:t>
            </w:r>
          </w:p>
        </w:tc>
        <w:tc>
          <w:tcPr>
            <w:tcW w:w="20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r>
      <w:tr>
        <w:trPr>
          <w:trHeight w:val="188"/>
        </w:trPr>
        <w:tc>
          <w:tcPr>
            <w:tcW w:w="5880" w:type="dxa"/>
            <w:vAlign w:val="bottom"/>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84"/>
        </w:trPr>
        <w:tc>
          <w:tcPr>
            <w:tcW w:w="588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22,471,776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279,539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(280,403)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(4,557)</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115,600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22,188,706</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30,940</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30,942</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1,180</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Unrealized gains on securities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(12,074)</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Balance at March 31,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44,788,025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311,824</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(292,477)</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(4,533)</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14,819</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164,926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1,251</w:t>
            </w: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Unrealized gains on securities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(16,394)</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w:t>
            </w: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44,952,951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313,447</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(308,871)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(4,525)</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bl>
    <w:p>
      <w:pPr>
        <w:spacing w:after="0" w:line="1" w:lineRule="exact"/>
        <w:rPr>
          <w:sz w:val="20"/>
          <w:szCs w:val="20"/>
          <w:color w:val="auto"/>
        </w:rPr>
      </w:pPr>
    </w:p>
    <w:p>
      <w:pPr>
        <w:sectPr>
          <w:pgSz w:w="11900" w:h="16838" w:orient="portrait"/>
          <w:cols w:equalWidth="0" w:num="1">
            <w:col w:w="11240"/>
          </w:cols>
          <w:pgMar w:left="320" w:top="1246" w:right="339" w:bottom="1440" w:gutter="0" w:footer="0" w:header="0"/>
        </w:sectPr>
      </w:pPr>
    </w:p>
    <w:p>
      <w:pPr>
        <w:ind w:left="20" w:right="2160"/>
        <w:spacing w:after="0" w:line="277" w:lineRule="auto"/>
        <w:rPr>
          <w:sz w:val="20"/>
          <w:szCs w:val="20"/>
          <w:color w:val="auto"/>
        </w:rPr>
      </w:pPr>
      <w:r>
        <w:rPr>
          <w:rFonts w:ascii="Arial" w:cs="Arial" w:eastAsia="Arial" w:hAnsi="Arial"/>
          <w:sz w:val="14"/>
          <w:szCs w:val="14"/>
          <w:color w:val="auto"/>
        </w:rPr>
        <w:t>Issuance of common stock upon exercise of options Issuance of vested restricted stock units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Issuance of common stock through private placement, net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Currency translation adjustment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gains (losses) on securities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15"/>
                <w:szCs w:val="15"/>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4"/>
        </w:trPr>
        <w:tc>
          <w:tcPr>
            <w:tcW w:w="700" w:type="dxa"/>
            <w:vAlign w:val="bottom"/>
          </w:tcPr>
          <w:p>
            <w:pPr>
              <w:jc w:val="right"/>
              <w:spacing w:after="0"/>
              <w:rPr>
                <w:sz w:val="20"/>
                <w:szCs w:val="20"/>
                <w:color w:val="auto"/>
              </w:rPr>
            </w:pPr>
            <w:r>
              <w:rPr>
                <w:rFonts w:ascii="Arial" w:cs="Arial" w:eastAsia="Arial" w:hAnsi="Arial"/>
                <w:sz w:val="14"/>
                <w:szCs w:val="14"/>
                <w:color w:val="auto"/>
              </w:rPr>
              <w:t>50,000</w:t>
            </w:r>
          </w:p>
        </w:tc>
        <w:tc>
          <w:tcPr>
            <w:tcW w:w="340" w:type="dxa"/>
            <w:vAlign w:val="bottom"/>
          </w:tcPr>
          <w:p>
            <w:pPr>
              <w:spacing w:after="0"/>
              <w:rPr>
                <w:sz w:val="15"/>
                <w:szCs w:val="15"/>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0" w:type="dxa"/>
            <w:vAlign w:val="bottom"/>
          </w:tcPr>
          <w:p>
            <w:pPr>
              <w:jc w:val="right"/>
              <w:spacing w:after="0"/>
              <w:rPr>
                <w:sz w:val="20"/>
                <w:szCs w:val="20"/>
                <w:color w:val="auto"/>
              </w:rPr>
            </w:pPr>
            <w:r>
              <w:rPr>
                <w:rFonts w:ascii="Arial" w:cs="Arial" w:eastAsia="Arial" w:hAnsi="Arial"/>
                <w:sz w:val="14"/>
                <w:szCs w:val="14"/>
                <w:color w:val="auto"/>
              </w:rPr>
              <w:t>3,178,174</w:t>
            </w:r>
          </w:p>
        </w:tc>
        <w:tc>
          <w:tcPr>
            <w:tcW w:w="3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5,715</w:t>
            </w:r>
          </w:p>
        </w:tc>
        <w:tc>
          <w:tcPr>
            <w:tcW w:w="3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5,715</w:t>
            </w:r>
          </w:p>
        </w:tc>
      </w:tr>
      <w:tr>
        <w:trPr>
          <w:trHeight w:val="189"/>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1,303</w:t>
            </w:r>
          </w:p>
        </w:tc>
        <w:tc>
          <w:tcPr>
            <w:tcW w:w="3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1,303</w:t>
            </w:r>
          </w:p>
        </w:tc>
      </w:tr>
      <w:tr>
        <w:trPr>
          <w:trHeight w:val="189"/>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5"/>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(11,994)</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(11,994)</w:t>
            </w:r>
          </w:p>
        </w:tc>
      </w:tr>
      <w:tr>
        <w:trPr>
          <w:trHeight w:val="185"/>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48,196,387</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320,478</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(320,865)</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(4,533)</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w:t>
            </w:r>
          </w:p>
        </w:tc>
      </w:tr>
      <w:tr>
        <w:trPr>
          <w:trHeight w:val="24"/>
        </w:trPr>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-882650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-642620</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-402590</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-162560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1246" w:right="339" w:bottom="1440" w:gutter="0" w:footer="0" w:header="0"/>
          <w:type w:val="continuous"/>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7" w:name="page8"/>
    <w:bookmarkEnd w:id="7"/>
    <w:p>
      <w:pPr>
        <w:ind w:left="414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9"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7"/>
        </w:trPr>
        <w:tc>
          <w:tcPr>
            <w:tcW w:w="8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4"/>
        </w:trPr>
        <w:tc>
          <w:tcPr>
            <w:tcW w:w="8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9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(40,462)</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86"/>
        </w:trPr>
        <w:tc>
          <w:tcPr>
            <w:tcW w:w="8980" w:type="dxa"/>
            <w:vAlign w:val="bottom"/>
          </w:tcPr>
          <w:p>
            <w:pPr>
              <w:ind w:left="200"/>
              <w:spacing w:after="0"/>
              <w:rPr>
                <w:sz w:val="20"/>
                <w:szCs w:val="20"/>
                <w:color w:val="auto"/>
              </w:rPr>
            </w:pPr>
            <w:r>
              <w:rPr>
                <w:rFonts w:ascii="Arial" w:cs="Arial" w:eastAsia="Arial" w:hAnsi="Arial"/>
                <w:sz w:val="14"/>
                <w:szCs w:val="14"/>
                <w:color w:val="auto"/>
              </w:rPr>
              <w:t>Amortization of premiums (accretion of discounts) on investments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Non-cash lease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86"/>
        </w:trPr>
        <w:tc>
          <w:tcPr>
            <w:tcW w:w="8980" w:type="dxa"/>
            <w:vAlign w:val="bottom"/>
          </w:tcPr>
          <w:p>
            <w:pPr>
              <w:ind w:left="200"/>
              <w:spacing w:after="0"/>
              <w:rPr>
                <w:sz w:val="20"/>
                <w:szCs w:val="20"/>
                <w:color w:val="auto"/>
              </w:rPr>
            </w:pPr>
            <w:r>
              <w:rPr>
                <w:rFonts w:ascii="Arial" w:cs="Arial" w:eastAsia="Arial" w:hAnsi="Arial"/>
                <w:sz w:val="14"/>
                <w:szCs w:val="14"/>
                <w:color w:val="auto"/>
              </w:rPr>
              <w:t>(Gain) Loss on disposal of property and equipment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186"/>
        </w:trPr>
        <w:tc>
          <w:tcPr>
            <w:tcW w:w="8980" w:type="dxa"/>
            <w:vAlign w:val="bottom"/>
          </w:tcPr>
          <w:p>
            <w:pPr>
              <w:ind w:left="200"/>
              <w:spacing w:after="0"/>
              <w:rPr>
                <w:sz w:val="20"/>
                <w:szCs w:val="20"/>
                <w:color w:val="auto"/>
              </w:rPr>
            </w:pPr>
            <w:r>
              <w:rPr>
                <w:rFonts w:ascii="Arial" w:cs="Arial" w:eastAsia="Arial" w:hAnsi="Arial"/>
                <w:sz w:val="14"/>
                <w:szCs w:val="14"/>
                <w:color w:val="auto"/>
              </w:rPr>
              <w:t>Non-cash interest expense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 liabilities revaluation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980" w:type="dxa"/>
            <w:vAlign w:val="bottom"/>
          </w:tcPr>
          <w:p>
            <w:pPr>
              <w:ind w:left="20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realized losses on investments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898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980" w:type="dxa"/>
            <w:vAlign w:val="bottom"/>
          </w:tcPr>
          <w:p>
            <w:pPr>
              <w:ind w:left="320"/>
              <w:spacing w:after="0"/>
              <w:rPr>
                <w:sz w:val="20"/>
                <w:szCs w:val="20"/>
                <w:color w:val="auto"/>
              </w:rPr>
            </w:pPr>
            <w:r>
              <w:rPr>
                <w:rFonts w:ascii="Arial" w:cs="Arial" w:eastAsia="Arial" w:hAnsi="Arial"/>
                <w:sz w:val="14"/>
                <w:szCs w:val="14"/>
                <w:color w:val="auto"/>
              </w:rPr>
              <w:t>Prepaid expenses, deposits and other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6"/>
        </w:trPr>
        <w:tc>
          <w:tcPr>
            <w:tcW w:w="898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99,512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(7,046)</w:t>
            </w:r>
          </w:p>
        </w:tc>
        <w:tc>
          <w:tcPr>
            <w:tcW w:w="0" w:type="dxa"/>
            <w:vAlign w:val="bottom"/>
          </w:tcPr>
          <w:p>
            <w:pPr>
              <w:spacing w:after="0"/>
              <w:rPr>
                <w:sz w:val="1"/>
                <w:szCs w:val="1"/>
                <w:color w:val="auto"/>
              </w:rPr>
            </w:pPr>
          </w:p>
        </w:tc>
      </w:tr>
      <w:tr>
        <w:trPr>
          <w:trHeight w:val="179"/>
        </w:trPr>
        <w:tc>
          <w:tcPr>
            <w:tcW w:w="8980" w:type="dxa"/>
            <w:vAlign w:val="bottom"/>
          </w:tcPr>
          <w:p>
            <w:pPr>
              <w:ind w:left="7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42,131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(38,559)</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Receipts from the maturity of short-term investments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short-term investments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(18,188)</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Sale of short term investments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8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the sale of property and equipment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6"/>
        </w:trPr>
        <w:tc>
          <w:tcPr>
            <w:tcW w:w="8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8"/>
        </w:trPr>
        <w:tc>
          <w:tcPr>
            <w:tcW w:w="89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long-term debt, net of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Repayments of principal on outstanding debt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Net proceeds from issuance of common stock</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Net proceeds from issuance of common stock- at-the-market offering</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Net proceeds from issuance of common stock- private placement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Issuance costs paid for December 2019 financing</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Other financing fees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Proceeds from exercise of pre-funded and common warrants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8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8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36,507</w:t>
            </w:r>
          </w:p>
        </w:tc>
        <w:tc>
          <w:tcPr>
            <w:tcW w:w="0" w:type="dxa"/>
            <w:vAlign w:val="bottom"/>
          </w:tcPr>
          <w:p>
            <w:pPr>
              <w:spacing w:after="0"/>
              <w:rPr>
                <w:sz w:val="1"/>
                <w:szCs w:val="1"/>
                <w:color w:val="auto"/>
              </w:rPr>
            </w:pPr>
          </w:p>
        </w:tc>
      </w:tr>
      <w:tr>
        <w:trPr>
          <w:trHeight w:val="179"/>
        </w:trPr>
        <w:tc>
          <w:tcPr>
            <w:tcW w:w="8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Net change in cash, cash equivalents, and restricted cash</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56,089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86"/>
        </w:trPr>
        <w:tc>
          <w:tcPr>
            <w:tcW w:w="8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91,551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37,682</w:t>
            </w:r>
          </w:p>
        </w:tc>
        <w:tc>
          <w:tcPr>
            <w:tcW w:w="0" w:type="dxa"/>
            <w:vAlign w:val="bottom"/>
          </w:tcPr>
          <w:p>
            <w:pPr>
              <w:spacing w:after="0"/>
              <w:rPr>
                <w:sz w:val="1"/>
                <w:szCs w:val="1"/>
                <w:color w:val="auto"/>
              </w:rPr>
            </w:pPr>
          </w:p>
        </w:tc>
      </w:tr>
      <w:tr>
        <w:trPr>
          <w:trHeight w:val="211"/>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147,640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35,892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Cash paid for interest</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88"/>
        </w:trPr>
        <w:tc>
          <w:tcPr>
            <w:tcW w:w="898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Cashless warrant exercise</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Reclassification of warrant liability to equity upon exercise of warrants</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Fair value of warrants issued in connection with issuance of long-term debt</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980" w:type="dxa"/>
            <w:vAlign w:val="bottom"/>
          </w:tcPr>
          <w:p>
            <w:pPr>
              <w:spacing w:after="0"/>
              <w:rPr>
                <w:sz w:val="20"/>
                <w:szCs w:val="20"/>
                <w:color w:val="auto"/>
              </w:rPr>
            </w:pPr>
            <w:r>
              <w:rPr>
                <w:rFonts w:ascii="Arial" w:cs="Arial" w:eastAsia="Arial" w:hAnsi="Arial"/>
                <w:sz w:val="14"/>
                <w:szCs w:val="14"/>
                <w:color w:val="auto"/>
              </w:rPr>
              <w:t>Purchase of property and equipment not yet paid</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Equity offering costs in accrued liabilities</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980" w:type="dxa"/>
            <w:vAlign w:val="bottom"/>
          </w:tcPr>
          <w:p>
            <w:pPr>
              <w:spacing w:after="0"/>
              <w:rPr>
                <w:sz w:val="20"/>
                <w:szCs w:val="20"/>
                <w:color w:val="auto"/>
              </w:rPr>
            </w:pPr>
            <w:r>
              <w:rPr>
                <w:rFonts w:ascii="Arial" w:cs="Arial" w:eastAsia="Arial" w:hAnsi="Arial"/>
                <w:sz w:val="14"/>
                <w:szCs w:val="14"/>
                <w:color w:val="auto"/>
              </w:rPr>
              <w:t>Debt issuance costs in accrued liabilities</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66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b w:val="1"/>
          <w:bCs w:val="1"/>
          <w:color w:val="auto"/>
        </w:rPr>
        <w:t>.</w:t>
      </w:r>
    </w:p>
    <w:p>
      <w:pPr>
        <w:sectPr>
          <w:pgSz w:w="11900" w:h="16838" w:orient="portrait"/>
          <w:cols w:equalWidth="0" w:num="1">
            <w:col w:w="9019"/>
          </w:cols>
          <w:pgMar w:left="1440" w:top="720"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clinical-stage biotechnology company leveraging its ImmTOR™ platform with the goals of amplifying the efficacy of biologics, including enabling the re-dosing of life-saving gene therapies, and restoring self-tolerance in autoimmune diseases. The Company plans to combine ImmTOR with a range of biologic therapies for rare and serious diseases that require new treatment options due to high immunogenicity of existing therapies. Since inception, the Company has devoted its efforts principally to research and development of its technology and product candidates, recruiting management and technical staff, acquiring operating assets, and raising capital.</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and nine months ended September 30, 2020 and 2019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2019 included in the Company’s Annual Report on Form 10-K that was filed with the SEC on March 12, 2020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2020 and consolidated results of operations and cash flows for the nine months ended September 30, 2020. Such adjustments are of a normal and recurring nature. The results of operations for the three and nine months ended September 30, 2020 are not necessarily indicative of the results of operations that may be expected for the year ending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the Company has financed its operations primarily through the initial public offering of its common stock, private placements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w:t>
      </w:r>
    </w:p>
    <w:p>
      <w:pPr>
        <w:sectPr>
          <w:pgSz w:w="11900" w:h="16838" w:orient="portrait"/>
          <w:cols w:equalWidth="0" w:num="1">
            <w:col w:w="11220"/>
          </w:cols>
          <w:pgMar w:left="320" w:top="1242"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type w:val="continuous"/>
        </w:sectPr>
      </w:pPr>
    </w:p>
    <w:bookmarkStart w:id="10" w:name="page11"/>
    <w:bookmarkEnd w:id="10"/>
    <w:p>
      <w:pPr>
        <w:spacing w:after="0" w:line="263" w:lineRule="auto"/>
        <w:rPr>
          <w:sz w:val="20"/>
          <w:szCs w:val="20"/>
          <w:color w:val="auto"/>
        </w:rPr>
      </w:pPr>
      <w:r>
        <w:rPr>
          <w:rFonts w:ascii="Arial" w:cs="Arial" w:eastAsia="Arial" w:hAnsi="Arial"/>
          <w:sz w:val="18"/>
          <w:szCs w:val="18"/>
          <w:color w:val="auto"/>
        </w:rPr>
        <w:t>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September 30, 2020, the Company’s cash, cash equivalents and restricted cash were $147.6 million, of which $1.4 million was restricted cash related to lease commitments and $0.3 million was held by its Russian subsidiary designated solely for use in its operations, will enable us to fund our operating expenses and capital expenditure requirements into the first quarter of 2023. The Company has incurred losses and negative cash flows from operating activities since inception. As of September 30, 2020 and December 31, 2019, the Company had an accumulated deficit of $389.2 million and $335.8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this time, there is significant uncertainty relating to the trajectory of the COVID-19 pandemic and the impact of related responses. Any impact of COVID-19 on the Company's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 The outbreak of the coronavirus, COVID-19, could adversely impact our business, including our preclinical studies and clinical trials.” in Part II, Item 1A of this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September 30,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88" w:lineRule="exact"/>
        <w:rPr>
          <w:sz w:val="20"/>
          <w:szCs w:val="20"/>
          <w:color w:val="auto"/>
        </w:rPr>
      </w:pPr>
    </w:p>
    <w:p>
      <w:pPr>
        <w:ind w:right="7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jc w:val="both"/>
        <w:ind w:right="24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equity. Foreign currency transaction gains or losses are reflected in the consolidated statements of operations and comprehensive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the valuation of its warrant liabilities and estimating accrued research and development expenses. The Company assesses the above estimates on an ongoing basis; however, actual results could materially differ from those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 w:name="page12"/>
    <w:bookmarkEnd w:id="11"/>
    <w:p>
      <w:pPr>
        <w:ind w:right="560"/>
        <w:spacing w:after="0" w:line="308" w:lineRule="auto"/>
        <w:rPr>
          <w:sz w:val="20"/>
          <w:szCs w:val="20"/>
          <w:color w:val="auto"/>
        </w:rPr>
      </w:pPr>
      <w:r>
        <w:rPr>
          <w:rFonts w:ascii="Arial" w:cs="Arial" w:eastAsia="Arial" w:hAnsi="Arial"/>
          <w:sz w:val="17"/>
          <w:szCs w:val="17"/>
          <w:color w:val="auto"/>
        </w:rPr>
        <w:t>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Investments and Restricted Cash</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marketable securities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6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nine months ended September 30, 2020, there were no realized losses on sales of investments, and no investments were adjusted for other than temporary declines in fair value.</w:t>
      </w:r>
    </w:p>
    <w:p>
      <w:pPr>
        <w:spacing w:after="0" w:line="4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As of September 30, 2020, the Company had restricted cash balances relating to a secured letter of credit in connection with its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Short-term restricted cash</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cash, cash equivalents, and restricted cash shown in the consolidated statement of cash flows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77"/>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146,261</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34,234</w:t>
            </w:r>
          </w:p>
        </w:tc>
      </w:tr>
      <w:tr>
        <w:trPr>
          <w:trHeight w:val="184"/>
        </w:trPr>
        <w:tc>
          <w:tcPr>
            <w:tcW w:w="36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195"/>
        </w:trPr>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1,379</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r>
      <w:tr>
        <w:trPr>
          <w:trHeight w:val="185"/>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147,640</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35,892</w:t>
            </w:r>
          </w:p>
        </w:tc>
      </w:tr>
      <w:tr>
        <w:trPr>
          <w:trHeight w:val="24"/>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1003"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September 30, 2020, the Company maintained approximately $0.3 million in Russian bank accounts, all of which was held in U.S. dollars.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September 30, 2020 and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financial instruments consist mainly of cash equivalents, restricted cash, accounts payable, loans payable, and common warrants. The carrying amounts of cash equivalents, restricted cash, accounts receivable, and accounts payable approximate their estimated fair value due to their short-term maturities. At September 30, 2020, given the recent issuance of the Term A Loan under the 2020 Term Loan (each, as defined below), the Company believes the carrying value approximates the fair value of the loan.</w:t>
      </w:r>
    </w:p>
    <w:p>
      <w:pPr>
        <w:spacing w:after="0" w:line="7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2" w:name="page13"/>
    <w:bookmarkEnd w:id="12"/>
    <w:p>
      <w:pPr>
        <w:ind w:left="66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were determined using Level 3 inputs.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nine months ended September 30, 2020 or the year ended December 31,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nine months ended September 30, 2020 and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recognized through net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1" w:lineRule="exact"/>
        <w:rPr>
          <w:sz w:val="20"/>
          <w:szCs w:val="20"/>
          <w:color w:val="auto"/>
        </w:rPr>
      </w:pPr>
    </w:p>
    <w:p>
      <w:pPr>
        <w:ind w:right="20" w:firstLine="8"/>
        <w:spacing w:after="0" w:line="253"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ind w:right="40"/>
        <w:spacing w:after="0" w:line="272" w:lineRule="auto"/>
        <w:rPr>
          <w:sz w:val="20"/>
          <w:szCs w:val="20"/>
          <w:color w:val="auto"/>
        </w:rPr>
      </w:pPr>
      <w:r>
        <w:rPr>
          <w:rFonts w:ascii="Arial" w:cs="Arial" w:eastAsia="Arial" w:hAnsi="Arial"/>
          <w:sz w:val="17"/>
          <w:szCs w:val="17"/>
          <w:color w:val="auto"/>
        </w:rPr>
        <w:t>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Sobi, AskBio, Sarepta, and Spark (see Note 12) will be satisfied over time, and revenue will be recognized using the output method, based on the proportion of actual deliveries to the total expected deliveries over the initial term.</w:t>
      </w:r>
    </w:p>
    <w:p>
      <w:pPr>
        <w:spacing w:after="0" w:line="6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The Company currently generates its revenue through grants, collaboration and license agreements with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collaborators for the development and commercialization of product candidates. Grants and license agreements with customers are accounted for in accordance with ASC 606. The Company analyzes collaboration arrangements by first assessing whether they are within the scope of ASC Topic 808, </w:t>
      </w:r>
      <w:r>
        <w:rPr>
          <w:rFonts w:ascii="Arial" w:cs="Arial" w:eastAsia="Arial" w:hAnsi="Arial"/>
          <w:sz w:val="16"/>
          <w:szCs w:val="16"/>
          <w:i w:val="1"/>
          <w:iCs w:val="1"/>
          <w:color w:val="auto"/>
        </w:rPr>
        <w:t>Collaborative Arrangements (ASC 808</w:t>
      </w:r>
      <w:r>
        <w:rPr>
          <w:rFonts w:ascii="Arial" w:cs="Arial" w:eastAsia="Arial" w:hAnsi="Arial"/>
          <w:sz w:val="16"/>
          <w:szCs w:val="16"/>
          <w:color w:val="auto"/>
        </w:rPr>
        <w:t>), and evaluates whether such arrangements involve joint operating activities performed by parties that are both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The Company early adopted ASU No. 2018-18, </w:t>
      </w:r>
      <w:r>
        <w:rPr>
          <w:rFonts w:ascii="Arial" w:cs="Arial" w:eastAsia="Arial" w:hAnsi="Arial"/>
          <w:sz w:val="16"/>
          <w:szCs w:val="16"/>
          <w:i w:val="1"/>
          <w:iCs w:val="1"/>
          <w:color w:val="auto"/>
        </w:rPr>
        <w:t>Collaborative Arrangements (Topic 808):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Interaction between Topic 808 and Topic 606</w:t>
      </w:r>
      <w:r>
        <w:rPr>
          <w:rFonts w:ascii="Arial" w:cs="Arial" w:eastAsia="Arial" w:hAnsi="Arial"/>
          <w:sz w:val="16"/>
          <w:szCs w:val="16"/>
          <w:color w:val="auto"/>
        </w:rPr>
        <w:t>, which provides guidance on evaluating certain transactions between collaborative arrangement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Arial" w:cs="Arial" w:eastAsia="Arial" w:hAnsi="Arial"/>
          <w:sz w:val="16"/>
          <w:szCs w:val="16"/>
          <w:i w:val="1"/>
          <w:iCs w:val="1"/>
          <w:color w:val="auto"/>
        </w:rPr>
        <w:t>Research and Development (ASC 730)</w:t>
      </w:r>
      <w:r>
        <w:rPr>
          <w:rFonts w:ascii="Arial" w:cs="Arial" w:eastAsia="Arial" w:hAnsi="Arial"/>
          <w:sz w:val="16"/>
          <w:szCs w:val="16"/>
          <w:color w:val="auto"/>
        </w:rPr>
        <w:t>,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66"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5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performance obligation shall be recognized as revenue, or as a reduction of revenue, in the period in which the transaction price changes.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June 11, 2020, the Company and Sobi entered into a license and development agreement (the “Sobi License”). Pursuant to the Sobi License, clinical trial costs incurred to complete development of SEL-212, including but not limited to costs incurred while conducting and completing the Phase 3 DISSOLVE trials, will be reimbursed by Sobi. The reimbursable costs exclude any costs of additional development activities required that are related to ImmTOR and that are unrelated to SEL-212.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ind w:right="160"/>
        <w:spacing w:after="0" w:line="290"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The Company reduces recorded stock-based compensation for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are ultimately expected to vest.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and pre-funded warrants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September 30, 2020 and December 31, 2019, the Company was not a party to any litigation that could have a material adverse effect on the Company’s business, financial position, results of operations 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r>
        <w:rPr>
          <w:rFonts w:ascii="Arial" w:cs="Arial" w:eastAsia="Arial" w:hAnsi="Arial"/>
          <w:sz w:val="18"/>
          <w:szCs w:val="18"/>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estimated incremental borrowing rate upon lease modification. See Note 8 for details.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(ASU 2018-13) which changes the fair value measurement disclosure requirements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right="140"/>
        <w:spacing w:after="0" w:line="311" w:lineRule="auto"/>
        <w:rPr>
          <w:sz w:val="20"/>
          <w:szCs w:val="20"/>
          <w:color w:val="auto"/>
        </w:rPr>
      </w:pPr>
      <w:r>
        <w:rPr>
          <w:rFonts w:ascii="Arial" w:cs="Arial" w:eastAsia="Arial" w:hAnsi="Arial"/>
          <w:sz w:val="16"/>
          <w:szCs w:val="16"/>
          <w:color w:val="auto"/>
        </w:rPr>
        <w:t>of ASC 820. Entities will no longer be required to disclose the amount of, and reasons for, transfers between Level 1 and Level 2 of the fair value hierarchy, the policy of timing of transfers between levels of the fair value hierarchy and the valuation processes for Level 3 fair value measurements. The Company adopted the new standard effective January 1, 2020, and there was no impact on its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04"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 – 40)</w:t>
      </w:r>
      <w:r>
        <w:rPr>
          <w:rFonts w:ascii="Arial" w:cs="Arial" w:eastAsia="Arial" w:hAnsi="Arial"/>
          <w:sz w:val="18"/>
          <w:szCs w:val="18"/>
          <w:color w:val="auto"/>
        </w:rPr>
        <w:t>. ASU 2020-06 simplifies the accounting for certain financial instruments with characteristics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including convertible instruments and contracts on an entity’s own equity. This ASU is effective for smaller reporting companies for fiscal years beginning after December 15, 2023, with early adoption permitted no earlier than January 1, 2021. The Company is assessing the impact this standard will have on its consolidated financial statements and disclosures.</w:t>
      </w:r>
    </w:p>
    <w:p>
      <w:pPr>
        <w:spacing w:after="0" w:line="8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 Simplifying the Accounting for Income Taxes.</w:t>
      </w:r>
      <w:r>
        <w:rPr>
          <w:rFonts w:ascii="Arial" w:cs="Arial" w:eastAsia="Arial" w:hAnsi="Arial"/>
          <w:sz w:val="16"/>
          <w:szCs w:val="16"/>
          <w:color w:val="auto"/>
        </w:rPr>
        <w:t xml:space="preserve"> ASU 2019-12 simplifies the accounting for income taxes by removing certain exceptions to the general principles in Topic 740. This ASU is effective for public entities for fiscal years beginning after December 15, 2020. The Company is assessing the impact this standard will have on its consolidated financial statements and disclosures.</w:t>
      </w:r>
    </w:p>
    <w:p>
      <w:pPr>
        <w:spacing w:after="0" w:line="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Subsequently, in November 2018, the FASB issued ASU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December 31, 2019, the Company did not have marketable securities.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reported a net loss for the three and nine months ended September 30, 2020, and 2019. For this reason basic and diluted net loss per share are the same for all periods presented. Since the shares underlying the 8,342,128 pre-funded warrants were issuable for little or no consideration, they are considered outstanding for both basic and diluted earnings per share. During the second quarter 2020, all 8,342,128 pre-funded warrants were exercised, but had no effect on basic and diluted shares at exercise because all were included in both basic and diluted from the period of issuance. The following table sets forth the computation of basic and diluted net loss per share (in thousands, except share and per-share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Denominator:</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60" w:type="dxa"/>
            <w:vAlign w:val="bottom"/>
          </w:tcPr>
          <w:p>
            <w:pPr>
              <w:ind w:left="20"/>
              <w:spacing w:after="0" w:line="135" w:lineRule="exact"/>
              <w:rPr>
                <w:sz w:val="20"/>
                <w:szCs w:val="20"/>
                <w:color w:val="auto"/>
              </w:rPr>
            </w:pPr>
            <w:r>
              <w:rPr>
                <w:rFonts w:ascii="Arial" w:cs="Arial" w:eastAsia="Arial" w:hAnsi="Arial"/>
                <w:sz w:val="14"/>
                <w:szCs w:val="14"/>
                <w:color w:val="auto"/>
                <w:w w:val="99"/>
              </w:rPr>
              <w:t>Weighted-average common shares and pre-funded warrants outstanding—basic and</w:t>
            </w:r>
          </w:p>
        </w:tc>
        <w:tc>
          <w:tcPr>
            <w:tcW w:w="2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105,325,788</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46,407,846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98,968,359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43,265,909</w:t>
            </w:r>
          </w:p>
        </w:tc>
        <w:tc>
          <w:tcPr>
            <w:tcW w:w="0" w:type="dxa"/>
            <w:vAlign w:val="bottom"/>
          </w:tcPr>
          <w:p>
            <w:pPr>
              <w:spacing w:after="0"/>
              <w:rPr>
                <w:sz w:val="1"/>
                <w:szCs w:val="1"/>
                <w:color w:val="auto"/>
              </w:rPr>
            </w:pPr>
          </w:p>
        </w:tc>
      </w:tr>
      <w:tr>
        <w:trPr>
          <w:trHeight w:val="18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 options to purchase common stock</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Unvested restricted stock units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 warrants to purchase common stock</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77"/>
        </w:trPr>
        <w:tc>
          <w:tcPr>
            <w:tcW w:w="1440" w:type="dxa"/>
            <w:vAlign w:val="bottom"/>
          </w:tcPr>
          <w:p>
            <w:pPr>
              <w:jc w:val="right"/>
              <w:spacing w:after="0"/>
              <w:rPr>
                <w:sz w:val="20"/>
                <w:szCs w:val="20"/>
                <w:color w:val="auto"/>
              </w:rPr>
            </w:pPr>
            <w:r>
              <w:rPr>
                <w:rFonts w:ascii="Arial" w:cs="Arial" w:eastAsia="Arial" w:hAnsi="Arial"/>
                <w:sz w:val="14"/>
                <w:szCs w:val="14"/>
                <w:color w:val="auto"/>
              </w:rPr>
              <w:t>7,487,154</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5,354,645</w:t>
            </w:r>
          </w:p>
        </w:tc>
      </w:tr>
      <w:tr>
        <w:trPr>
          <w:trHeight w:val="184"/>
        </w:trPr>
        <w:tc>
          <w:tcPr>
            <w:tcW w:w="1440" w:type="dxa"/>
            <w:vAlign w:val="bottom"/>
          </w:tcPr>
          <w:p>
            <w:pPr>
              <w:jc w:val="right"/>
              <w:spacing w:after="0"/>
              <w:rPr>
                <w:sz w:val="20"/>
                <w:szCs w:val="20"/>
                <w:color w:val="auto"/>
              </w:rPr>
            </w:pPr>
            <w:r>
              <w:rPr>
                <w:rFonts w:ascii="Arial" w:cs="Arial" w:eastAsia="Arial" w:hAnsi="Arial"/>
                <w:sz w:val="14"/>
                <w:szCs w:val="14"/>
                <w:color w:val="auto"/>
              </w:rPr>
              <w:t>98,438</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225,000</w:t>
            </w:r>
          </w:p>
        </w:tc>
      </w:tr>
      <w:tr>
        <w:trPr>
          <w:trHeight w:val="195"/>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13,888,525</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95,619</w:t>
            </w:r>
          </w:p>
        </w:tc>
      </w:tr>
      <w:tr>
        <w:trPr>
          <w:trHeight w:val="185"/>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21,474,117</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5,675,264</w:t>
            </w:r>
          </w:p>
        </w:tc>
      </w:tr>
      <w:tr>
        <w:trPr>
          <w:trHeight w:val="24"/>
        </w:trPr>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-5201285</wp:posOffset>
            </wp:positionH>
            <wp:positionV relativeFrom="paragraph">
              <wp:posOffset>-530860</wp:posOffset>
            </wp:positionV>
            <wp:extent cx="710628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-281940</wp:posOffset>
            </wp:positionV>
            <wp:extent cx="710628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720"/>
            <w:col w:w="3040"/>
          </w:cols>
          <w:pgMar w:left="320" w:top="1003"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September 30, 2020 and December 31, 2019, and indicate the level within the fair value hierarchy where each measurement is classified. Below is a summary of assets and liabilities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30,575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30,575</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30,575</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25,433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25,433</w:t>
            </w:r>
          </w:p>
        </w:tc>
      </w:tr>
      <w:tr>
        <w:trPr>
          <w:trHeight w:val="21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41,549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41,549</w:t>
            </w:r>
          </w:p>
        </w:tc>
      </w:tr>
      <w:tr>
        <w:trPr>
          <w:trHeight w:val="21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each of September 30, 2020 and December 31, 2019, the money market funds were classified as cash and cash equivalents on the accompanying consolidated balance sheets as they mature within 90 days from the date of purchase.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Used in Determining Fair Value of Common Warrants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is required to revalue the common warrants at each reporting date with any changes in fair value recorded in the statement of operations. The valuation of the common warrants is considered under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for the nine months ended September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warrants is determined using Level 3 inputs inherent in the Black-Scholes simulation valuation.</w:t>
      </w:r>
    </w:p>
    <w:p>
      <w:pPr>
        <w:spacing w:after="0" w:line="117"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6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18" w:name="page19"/>
    <w:bookmarkEnd w:id="18"/>
    <w:p>
      <w:pPr>
        <w:ind w:left="66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Black-Scholes pricing model assumptions used to record the fair value of the warrant liability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0" w:type="dxa"/>
            <w:vAlign w:val="bottom"/>
          </w:tcPr>
          <w:p>
            <w:pPr>
              <w:spacing w:after="0"/>
              <w:rPr>
                <w:sz w:val="16"/>
                <w:szCs w:val="16"/>
                <w:color w:val="auto"/>
              </w:rPr>
            </w:pPr>
          </w:p>
        </w:tc>
        <w:tc>
          <w:tcPr>
            <w:tcW w:w="1660" w:type="dxa"/>
            <w:vAlign w:val="bottom"/>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r>
      <w:tr>
        <w:trPr>
          <w:trHeight w:val="195"/>
        </w:trPr>
        <w:tc>
          <w:tcPr>
            <w:tcW w:w="94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6"/>
        </w:trPr>
        <w:tc>
          <w:tcPr>
            <w:tcW w:w="940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r>
      <w:tr>
        <w:trPr>
          <w:trHeight w:val="192"/>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82"/>
        </w:trPr>
        <w:tc>
          <w:tcPr>
            <w:tcW w:w="94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95 %</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reflects a roll-forward of fair value for the Company’s Level 3 warrant liabilities (see Note 10), for the nine months ended September 30,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Warrant liabilities</w:t>
            </w:r>
          </w:p>
        </w:tc>
      </w:tr>
      <w:tr>
        <w:trPr>
          <w:trHeight w:val="188"/>
        </w:trPr>
        <w:tc>
          <w:tcPr>
            <w:tcW w:w="9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as of December 31, 2019</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41,549</w:t>
            </w:r>
          </w:p>
        </w:tc>
      </w:tr>
      <w:tr>
        <w:trPr>
          <w:trHeight w:val="186"/>
        </w:trPr>
        <w:tc>
          <w:tcPr>
            <w:tcW w:w="9340" w:type="dxa"/>
            <w:vAlign w:val="bottom"/>
          </w:tcPr>
          <w:p>
            <w:pPr>
              <w:ind w:left="200"/>
              <w:spacing w:after="0"/>
              <w:rPr>
                <w:sz w:val="20"/>
                <w:szCs w:val="20"/>
                <w:color w:val="auto"/>
              </w:rPr>
            </w:pPr>
            <w:r>
              <w:rPr>
                <w:rFonts w:ascii="Arial" w:cs="Arial" w:eastAsia="Arial" w:hAnsi="Arial"/>
                <w:sz w:val="14"/>
                <w:szCs w:val="14"/>
                <w:color w:val="auto"/>
              </w:rPr>
              <w:t>Exercises</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(19,722)</w:t>
            </w:r>
          </w:p>
        </w:tc>
      </w:tr>
      <w:tr>
        <w:trPr>
          <w:trHeight w:val="189"/>
        </w:trPr>
        <w:tc>
          <w:tcPr>
            <w:tcW w:w="9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fair value</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w:t>
            </w:r>
          </w:p>
        </w:tc>
      </w:tr>
      <w:tr>
        <w:trPr>
          <w:trHeight w:val="186"/>
        </w:trPr>
        <w:tc>
          <w:tcPr>
            <w:tcW w:w="9340" w:type="dxa"/>
            <w:vAlign w:val="bottom"/>
          </w:tcPr>
          <w:p>
            <w:pPr>
              <w:ind w:left="20"/>
              <w:spacing w:after="0"/>
              <w:rPr>
                <w:sz w:val="20"/>
                <w:szCs w:val="20"/>
                <w:color w:val="auto"/>
              </w:rPr>
            </w:pPr>
            <w:r>
              <w:rPr>
                <w:rFonts w:ascii="Arial" w:cs="Arial" w:eastAsia="Arial" w:hAnsi="Arial"/>
                <w:sz w:val="14"/>
                <w:szCs w:val="14"/>
                <w:color w:val="auto"/>
              </w:rPr>
              <w:t>Fair value as of September 30, 2020</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25,433</w:t>
            </w:r>
          </w:p>
        </w:tc>
      </w:tr>
      <w:tr>
        <w:trPr>
          <w:trHeight w:val="20"/>
        </w:trPr>
        <w:tc>
          <w:tcPr>
            <w:tcW w:w="9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r>
      <w:tr>
        <w:trPr>
          <w:trHeight w:val="195"/>
        </w:trPr>
        <w:tc>
          <w:tcPr>
            <w:tcW w:w="8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8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4,836</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192"/>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192"/>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6"/>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process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property and equipment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r>
      <w:tr>
        <w:trPr>
          <w:trHeight w:val="186"/>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(4,781)</w:t>
            </w:r>
          </w:p>
        </w:tc>
      </w:tr>
      <w:tr>
        <w:trPr>
          <w:trHeight w:val="211"/>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expense was $0.1 million and $0.2 million for the three months ended September 30, 2020 and 2019, respectively. For each of the nine months ended September 30, 2020 and 2019, depreciation expense was $0.5 million, respectively. The Company recorded accelerated depreciation costs of less than $0.1 million in the reported property and equipment for the nine months ended September 30, 2020 relating to the new corporate headquarters move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r>
      <w:tr>
        <w:trPr>
          <w:trHeight w:val="195"/>
        </w:trPr>
        <w:tc>
          <w:tcPr>
            <w:tcW w:w="8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8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employee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Collaboration and licensing</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92"/>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patent fees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Accrued external research and development costs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4,379</w:t>
            </w:r>
          </w:p>
        </w:tc>
      </w:tr>
      <w:tr>
        <w:trPr>
          <w:trHeight w:val="192"/>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services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92"/>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December 2019 financing</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86"/>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r>
      <w:tr>
        <w:trPr>
          <w:trHeight w:val="211"/>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480 Arsenal Way Lease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had a non-cancellable operating lease for its laboratory and office space located at 480 Arsenal Way, Watertown, Massachusetts ("Prior Headquarters Lease"). Pursuant to the Prior Headquarters Lease, the landlord provided the Company a tenant improvement allowance of up to $0.7 million, which the Company fully utilized during 2012. The leasehold improvements were capitalized as a component of property and equipment. In connection with the Prior Headquarters Lease, the Company had a letter of credit for $0.3 million which renewed automatically each year and was classified in restricted cash. In August 2016, the Company signed an amendment to the Prior Headquarters Lease, which extended the term through March 31, 2020. In March 2020, the Company signed an amendment to extend the lease term one additional month to April 30, 2020. The right-of-use asset and lease liability were remeasured and recorded based on the change in the lease term in which the net impact was immaterial.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75 North Beacon Street Lease</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October 2017, the Company entered into a lease for approximately 5,100 square feet of additional office space located at 75 North Beacon Street, Watertown, Massachusetts (the “75 North Beacon Lease”) for a term through March 31, 2020. On January 11, 2019, the Company vacated 75 North Beacon Street, Watertown, MA and consolidated all employees at its then- corporate headquarters at 480 Arsenal Way, Watertown, MA. The right-of-use asset with carrying amount of $0.2 million attributable to the 75 North Beacon Lease was written down to zero during the first quarter of 2019.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2019, the Company entered into a lease for 25,078 square feet of laboratory and office space located at 65 Grove Street, Watertown, Massachusetts (the “Headquarters Lease”). As part of the Headquarters Lease, the Company incurred $0.8 million in non-reimbursable construction costs. The lease began in March 2020, consistent with when the Company took control of the office space and the lease term is 8 years. The discount rate of 8.9% was determined based on the Company’s incremental borrowing rate adjusted for the lease term including any reasonably certain renewal periods. Rent payments began in May 2020, and the base rent for the first year is $0.2 million per month. In connection with the Headquarters Lease, the Company secured a letter of credit from Silicon Valley Bank for $1.4 million which renews automatically each year. The Company recorded the right-of-use asset and operating lease liabilities of $11.8 million during the three months ended March 31, 2020 as control of the premises was transferred to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Moscow, Russia 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month-to-month facility agreement for its Moscow, Russia office. Rent expense is recognized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All Lease Costs Recognized Under ASC 842</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Rent expense for the three months ended September 30, 2020 and 2019 was $0.6 million and $0.5 million, respectively. Rent expense for the nine months ended September 30, 2020 and 2019 was $2.0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For the three and nine months ended September 30, 2020 and 2019 the components of lease costs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26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6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5"/>
        </w:trPr>
        <w:tc>
          <w:tcPr>
            <w:tcW w:w="6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color w:val="auto"/>
              </w:rPr>
              <w:t>Variable lease expense</w:t>
            </w:r>
          </w:p>
        </w:tc>
        <w:tc>
          <w:tcPr>
            <w:tcW w:w="820" w:type="dxa"/>
            <w:vAlign w:val="bottom"/>
          </w:tcPr>
          <w:p>
            <w:pPr>
              <w:spacing w:after="0"/>
              <w:rPr>
                <w:sz w:val="16"/>
                <w:szCs w:val="16"/>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625</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expense</w:t>
            </w:r>
          </w:p>
        </w:tc>
        <w:tc>
          <w:tcPr>
            <w:tcW w:w="8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color w:val="auto"/>
              </w:rPr>
              <w:t>Total lease expense</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w:t>
            </w:r>
          </w:p>
        </w:tc>
      </w:tr>
      <w:tr>
        <w:trPr>
          <w:trHeight w:val="21"/>
        </w:trPr>
        <w:tc>
          <w:tcPr>
            <w:tcW w:w="6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the Company's operating lease liabilities as of September 30, 2020 and December 31, 2019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(remainder)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Arial" w:cs="Arial" w:eastAsia="Arial" w:hAnsi="Arial"/>
                <w:sz w:val="14"/>
                <w:szCs w:val="14"/>
                <w:color w:val="auto"/>
              </w:rPr>
              <w:t>2021</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6,985</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future minimum lease payments</w:t>
            </w: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15,009</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8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Included in the condensed consolidated balance sheet: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6"/>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9,886</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248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5"/>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175"/>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6"/>
        </w:trPr>
        <w:tc>
          <w:tcPr>
            <w:tcW w:w="8760" w:type="dxa"/>
            <w:vAlign w:val="bottom"/>
          </w:tcPr>
          <w:p>
            <w:pPr>
              <w:ind w:left="280"/>
              <w:spacing w:after="0"/>
              <w:rPr>
                <w:sz w:val="20"/>
                <w:szCs w:val="20"/>
                <w:color w:val="auto"/>
              </w:rPr>
            </w:pPr>
            <w:r>
              <w:rPr>
                <w:rFonts w:ascii="Arial" w:cs="Arial" w:eastAsia="Arial" w:hAnsi="Arial"/>
                <w:sz w:val="14"/>
                <w:szCs w:val="14"/>
                <w:color w:val="auto"/>
              </w:rPr>
              <w:t>Operating cash flows from operating leases</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2,079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r>
    </w:tbl>
    <w:p>
      <w:pPr>
        <w:spacing w:after="0" w:line="17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which is non-cash, the changes in the Company’s right-of-use asset and lease liability for the nine months ended September 30, 2020 are reflected in the non-cash lease expense and accrued expenses and other liabilities, respectively, in the consolidated statements of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years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years</w:t>
            </w:r>
          </w:p>
        </w:tc>
      </w:tr>
      <w:tr>
        <w:trPr>
          <w:trHeight w:val="182"/>
        </w:trPr>
        <w:tc>
          <w:tcPr>
            <w:tcW w:w="830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400" w:type="dxa"/>
            <w:vAlign w:val="bottom"/>
          </w:tcPr>
          <w:p>
            <w:pPr>
              <w:jc w:val="right"/>
              <w:spacing w:after="0"/>
              <w:rPr>
                <w:sz w:val="20"/>
                <w:szCs w:val="20"/>
                <w:color w:val="auto"/>
              </w:rPr>
            </w:pPr>
            <w:r>
              <w:rPr>
                <w:rFonts w:ascii="Arial" w:cs="Arial" w:eastAsia="Arial" w:hAnsi="Arial"/>
                <w:sz w:val="14"/>
                <w:szCs w:val="14"/>
                <w:color w:val="auto"/>
              </w:rPr>
              <w:t>8.9 %</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31, 2020, the Company entered into a term loan of up to $35.0 million (the "2020 Term Loan"), consisting of term loans in an aggregate amount of $25.0 million (the “Term A Loan”) and term loans in an aggregate amount of $10.0 million (the “Term B Loan”), governed by a loan and security agreement between the Company and Oxford Finance LLC, a Delaware limited liability company (“Oxford”) as Collateral Agent and a Lender, and Silicon Valley Bank, a California corporation (“SVB”), as a Lender (the "Loan Agreement"). The Term A Loan was funded in full on August 31, 2020 (the “Funding Date”).</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Term B Loan will be available, subject to Collateral Agent’s discretion and customary terms and conditions, during the period commencing on the date the Company has delivered to the Collateral Agent and the Lenders evidence: (i) the Company or one of the Company’s collaboration partners has enrolled its first randomized patient for a Phase 1 clinical trial evaluating the treatment of methylmalonic acidemia (“MMA”), and (ii) the Company has enrolled the first patient in each of two Phase 3 pivotal trials evaluating SEL-212 (the “Second Draw Period Milestone”) and ending on the earliest of (i) the date which is thirty (30) days following the date the Second Draw Period Milestone is achieved, (ii) September 30, 2021 (iii) and the occurrence of an event of default, other than an event of default that has been waived in writing by Collateral Agent and the Lenders in their sole discretion (such period, the “Second Draw Period”).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2020 Term Loan will mature on August 1, 2025. Each advance under the Term Loan accrues interest at a floating per annum rate equal to the greater of</w:t>
      </w:r>
    </w:p>
    <w:p>
      <w:pPr>
        <w:spacing w:after="0" w:line="46" w:lineRule="exact"/>
        <w:rPr>
          <w:sz w:val="20"/>
          <w:szCs w:val="20"/>
          <w:color w:val="auto"/>
        </w:rPr>
      </w:pPr>
    </w:p>
    <w:p>
      <w:pPr>
        <w:ind w:right="380" w:firstLine="8"/>
        <w:spacing w:after="0" w:line="281"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seven and nine tenths of one percent (7.90%), and (b) the lesser of (x) the sum of (i) the prime rate reported in The Wall Street Journal on the last business day of the month that immediately precedes the month in which the interest will accrue, and (ii) four and sixty-five hundredths of one percent</w:t>
      </w:r>
    </w:p>
    <w:p>
      <w:pPr>
        <w:spacing w:after="0" w:line="1"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(4.65%) and (y) ten percent (10.00%). The Term Loan provides for interest-only payments on a monthly basis until April 1,2022; provided however, if the Company has delivered to the Collateral Agent and the Lenders prior to September 30, 2021 evidence that Borrower has achieved the Second Draw Period Milestone, the Term Loan provides for interest-only payments on a monthly basis until October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w:t>
      </w:r>
    </w:p>
    <w:p>
      <w:pPr>
        <w:spacing w:after="0" w:line="3"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$2.3 million is recorded as a loan discount.</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spacing w:after="0" w:line="7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spacing w:after="0" w:line="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spacing w:after="0" w:line="5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incurred $0.4 million in debt issuance costs in connection with the closing of the 2020 Term Loan. Debt issuance costs are presented in the consolidated balance sheet as a direct deduction from the associated liability and amortized to interest expense over the term of the related debt.</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assessed all terms and features of the 2020 Term Loan to identify any potential embedded features that would require bifurcation. As part of this analysis, the Company assessed the economic characteristics and risks of the 2020 Term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ind w:right="340"/>
        <w:spacing w:after="0" w:line="342" w:lineRule="auto"/>
        <w:rPr>
          <w:sz w:val="20"/>
          <w:szCs w:val="20"/>
          <w:color w:val="auto"/>
        </w:rPr>
      </w:pPr>
      <w:r>
        <w:rPr>
          <w:rFonts w:ascii="Arial" w:cs="Arial" w:eastAsia="Arial" w:hAnsi="Arial"/>
          <w:sz w:val="16"/>
          <w:szCs w:val="16"/>
          <w:color w:val="auto"/>
        </w:rPr>
        <w:t>Loan, including any put, call, and contingent features. The Company determined that the interest rate collar and prepayment call option did not require bifurcation; whereas the contingent put option and default (contingent) interest rate feature met bifurcation criteria resulting in immaterial amounts.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31, 2020, in connection with the 2020 Term A Loan, the Company issued warrants to the Lenders to purchase an aggregate of 196,850 shares of its common stock at an exercise price equal to $2.54 per share. In accordance with ASC 815-40, these warrants are classified as permanent equity in the accompanying consolidated balance sheets and will expire ten years from the date of issuance. The initial grant date fair value of the warrants was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$0.4 million determined by Black-Scholes and recorded to shareholders' equity, with the SVB portion allocated to the reacquisition price of the 2017 Term Loan and the Oxford fair value portion as a loan discount to the Term A Loan.</w:t>
      </w:r>
    </w:p>
    <w:p>
      <w:pPr>
        <w:spacing w:after="0" w:line="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on August 31, 2020, pursuant to the terms of a Warrant Side Letter agreement among the Company and the Lenders, the Company agreed to issue to the Lenders, on the date the Company draws the Term B Loan and in accordance with each party’s respective pro rata share with respect to the Term B Loan, one or more warrants to purchase an aggregate number of shares of its common stock that is equal to $200,000 divided by the average closing price of the Company’s common stock on The Nasdaq Stock Market LLC for the ten consecutive trading days ending the day before such issuance, rounded down to the nearest whole number of shares, and having an exercise price equal to the Term B Warrant Price.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the Funding Date, the Company entered into a payoff letter with SVB, pursuant to which the Company utilized $13.7 million of the 2020 Term Loan to pay off all outstanding obligations under the 2017 Term Loan (as defined below), consisting of the principal payment, final prepayment and accrued interest. During the three months ended September 30, 2020, the Company recognized a loss on extinguishment of debt in the amount of $0.5 million determined as the difference between the reacquisition price and carrying value at August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121"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On September 12, 2017, the Company entered into a term loan of up to $21.0 million (the “2017 Term Loan” and, together with the 2020 Term Loan, the “Term Loans”)) with Silicon Valley Bank. The 2017 Term Loan was governed by a loan and security agreement, dated September 12, 2017, between the Company and SVB. The 2017 Term Loan was funded in full on September 13, 2017.</w:t>
      </w:r>
    </w:p>
    <w:p>
      <w:pPr>
        <w:spacing w:after="0" w:line="7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incurred less than $0.1 million in debt issuance costs in connection with the closing of the 2017 Term Loan. Debt issuance costs were presented in the consolidated balance sheet as a direct deduction from the associated liability and amortized to interest expense over the term of the related debt.</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Prior to the extinguishment of the 2017 Term Loan in August 2020 discussed in greater detail above, the 2017 Term Loan was secured by a lien on substantially all of the assets of the Company, other than intellectual property, provided that such lien on substantially all assets included any rights to payments and proceeds from the sale, licensing or disposition of intellectual property. The Company had also granted SVB a negative pledge with respect to its intellectual property. Each advance under the 2017 Term Loan accrued interest at a floating per annum rate equal to one-half of one percent above the prime rate (as published in the money rates section of The Wall Street Journal). The 2017 Term Loan provided for interest-only payments monthly through August 31, 2019. The monthly interest was subject to recalculation upon a change in the prime rate.</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2020 and December 31, 2019, the outstanding principal balances were $25.0 million for the 2020 Term Loan and $18.2 million for the 2017 Term Loan,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and interest payments on the 2020 Term Loan as of September 30, 2020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(Remainder)</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1,975</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7,318</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2023</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8,594</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r>
      <w:tr>
        <w:trPr>
          <w:trHeight w:val="186"/>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2025</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w:t>
            </w:r>
          </w:p>
        </w:tc>
      </w:tr>
      <w:tr>
        <w:trPr>
          <w:trHeight w:val="186"/>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minimum debt payments</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33,505</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Less: Amount representing interest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(6,254)</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discount and deferred charges</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r>
      <w:tr>
        <w:trPr>
          <w:trHeight w:val="186"/>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loan payable</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 payable, net of current portion</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three months ended September 30, 2020 and 2019, the Company recognized $0.3 million and $0.4 million of interest expense related to the Term Loans, respectively. During the nine months ended September 30, 2020 and 2019, interest expense was $0.8 million and $1.2 million,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2020 Shelf Registration Statement</w:t>
      </w:r>
    </w:p>
    <w:p>
      <w:pPr>
        <w:spacing w:after="0" w:line="117"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On August 6, 2020, the Company filed an updated universal shelf registration statement on Form S-3 (Reg. No. 333-241692) with the SEC to sell an aggregate amount of up to $200.0 million of certain of its securities. The shelf registration statement was declared effective by the SEC on August 14,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2017, the Company entered into a sales agreement (the “2017 Sales Agreement”), with Jefferies LLC, as sales agent, to sell shares of its common stock with an aggregate value of up to $50 million in an "at-the-market" offering. On August 6, 2020, concurrent with the filing of the updated shelf registration statement, the Company entered into a new sales agreement (the “2020 Sales Agreement”) with Jefferies LLC, as sales agent, pursuant to which the Company may, from time to time, issue and sell common stock with an aggregate value of up to $50 million in an "at-the-market" offering. The 2017 Sales Agreement terminated pursuant to its terms in August 2020.</w:t>
      </w:r>
    </w:p>
    <w:p>
      <w:pPr>
        <w:spacing w:after="0" w:line="8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Sales of common stock, if any, pursuant to the 2020 Sales Agreement, may be made in sales deemed to be an “at the market offering” as defined in Rule 415(a) of the Securities Act, including sales made directly through the Nasdaq Global Market or on any other existing trading market for the Company’s common stock. The Company intends to use the proceeds from the offering for working capital and other general corporate purposes. The Company may suspend or terminate the 2020 Sales Agreement at any time.</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From August 11, 2017, the date the Company entered into the 2017 Sales Agreement, to December 31, 2019, the Company sold 615,453 shares of its common stock pursuant to the 2017 Sales Agreement at an average price of approximately $1.84 per share for aggregate net proceeds of $1.0 million, after deducting commissions and other transaction costs, pursuant to its shelf registration statement filed in August 2017.</w:t>
      </w:r>
    </w:p>
    <w:p>
      <w:pPr>
        <w:spacing w:after="0" w:line="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nine months ended September 30, 2020, the Company sold 1,069,486 shares of its common stock pursuant to the 2017 Sales Agreement and the 2020 Sales Agreement, as applicable, at an average price of approximately $2.16 per share for aggregate net proceeds of $2.1 million, after deducting commissions and other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Sobi Stock Purchase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11, 2020, the Company entered into a stock purchase agreement (the “Sobi Purchase Agreement”) with Swedish Orphan Biovitrum AB (Publ), a Swedish corporation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 million (the “Sobi Private Placement”). The closing of the Sobi Private Placement occurred on July 31, 2020. The shares of common stock acquired in the Sobi Private Placement are subject to a one-year lock-up from closing, during which time Sobi is prohibited from selling or otherwise disposing of such shares.</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accordance with ASC 815, this forward sale treatment qualified as equity classification as the shares are not within the scope of ASC 480. The gross proceeds of $25 million were determined to include a premium to the fair value of the Company’s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ind w:right="320"/>
        <w:spacing w:after="0" w:line="277" w:lineRule="auto"/>
        <w:rPr>
          <w:sz w:val="20"/>
          <w:szCs w:val="20"/>
          <w:color w:val="auto"/>
        </w:rPr>
      </w:pPr>
      <w:r>
        <w:rPr>
          <w:rFonts w:ascii="Arial" w:cs="Arial" w:eastAsia="Arial" w:hAnsi="Arial"/>
          <w:sz w:val="18"/>
          <w:szCs w:val="18"/>
          <w:color w:val="auto"/>
        </w:rPr>
        <w:t>shares as of July 28, 2020 of approximately $14.5 million. As a result, such amount was included in the transaction price for revenue recognition of the Sobi License. See Note 12 for details.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on June 11, 2020, the Company entered into a registration rights agreement (as amended by that certain letter agreement, dated as of November 4, 2020,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(10) Business Days after the SEC informs the Company that no review of such resale registration statement will be made or that the SEC has no further comments on such resale registration statement.</w:t>
      </w:r>
    </w:p>
    <w:p>
      <w:pPr>
        <w:spacing w:after="0" w:line="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Sobi Private Placement was exempt from registration pursuant to Section 4(a)(2) of the Securities Act and Regulation D promulgated thereunder, as a transaction by an issuer not involving a public offering. Sobi has represented that it acquired the securities for investment only and not with a view to or for sale in connection with any distribution thereof, and appropriate legends have been affixed to the securities issued in this transaction.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Financing</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December 18, 2019, the Company entered into a securities purchase agreement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recorded the fair value of the common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spacing w:after="0" w:line="79" w:lineRule="exact"/>
        <w:rPr>
          <w:sz w:val="20"/>
          <w:szCs w:val="20"/>
          <w:color w:val="auto"/>
        </w:rPr>
      </w:pPr>
    </w:p>
    <w:p>
      <w:pPr>
        <w:jc w:val="both"/>
        <w:ind w:right="720"/>
        <w:spacing w:after="0" w:line="263" w:lineRule="auto"/>
        <w:rPr>
          <w:sz w:val="20"/>
          <w:szCs w:val="20"/>
          <w:color w:val="auto"/>
        </w:rPr>
      </w:pPr>
      <w:r>
        <w:rPr>
          <w:rFonts w:ascii="Arial" w:cs="Arial" w:eastAsia="Arial" w:hAnsi="Arial"/>
          <w:sz w:val="18"/>
          <w:szCs w:val="18"/>
          <w:color w:val="auto"/>
        </w:rPr>
        <w:t>The common warrants were revalued as of December 31, 2019 at $41.5 million. During the three and nine months ended September 30, 2020, the Company recorded a gain (loss) on the decrease (increase) in the fair value of the warrants of $4.8 million and $(3.6) million, respectively, in the consolidated statements of operations.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23, 2019, in connection with the 2019 PIPE, the Company entered into a registration rights agreement (the “2019 Registration Rights Agreement”), pursuant to which the Company agreed to prepare and file a registration statement with the SEC within 45 days after the closing of the 2019 PIPE for purposes of registering the resale of the shares of common stock issued and sold in the 2019 PIPE, shares of common stock issuable upon exercise of the warrants sold in the 2019 PIPE, and any shares of common stock issued as a dividend or other distribution with respect to the shares of common stock or shares of common stock issuable upon exercise of the warrants. The 2019 PIPE registration statement was declared effective by the SEC on February 6, 2020.</w:t>
      </w:r>
    </w:p>
    <w:p>
      <w:pPr>
        <w:spacing w:after="0" w:line="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agreed, among other things, to indemnify the investors in the 2019 PIPE, and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2019 Registration Rights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Financing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26, 2017, the Company entered into a securities purchase agreement (the "Institutional Purchase Agreement") with a select group of institutional investors (the “Institutional Investors”) and a securities purchase agreement with Timothy A. Springer, Ph.D., a member of the board of directors (the "Springer Purchase Agreement") for a private placement of the Company's securities (the "2017 PIPE"). The closing of the 2017 PIPE occurred on June 27, 2017.</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Global Market on June 23, 2017, and warrants to purchase up to 79,130 shares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5" w:name="page26"/>
    <w:bookmarkEnd w:id="25"/>
    <w:p>
      <w:pPr>
        <w:spacing w:after="0" w:line="257" w:lineRule="auto"/>
        <w:rPr>
          <w:sz w:val="20"/>
          <w:szCs w:val="20"/>
          <w:color w:val="auto"/>
        </w:rPr>
      </w:pPr>
      <w:r>
        <w:rPr>
          <w:rFonts w:ascii="Arial" w:cs="Arial" w:eastAsia="Arial" w:hAnsi="Arial"/>
          <w:sz w:val="18"/>
          <w:szCs w:val="18"/>
          <w:color w:val="auto"/>
        </w:rPr>
        <w:t>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 After deducting for placement agent fees and offering expenses, the aggregate net proceeds from the 2017 PIPE were approximately $47.1 million.</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27, 2017, in connection with the 2017 PIPE, the Company entered into a registration rights agreement (the “2017 Registration Rights Agreement”) with the Institutional Investors and Dr. Springer. Pursuant to the 2017 Registration Rights Agreement, the Company agreed to prepare and file a registration statement with the SEC within 20 days after the closing of the 2017 PIPE for purposes of registering the resale of the shares of common stock issued and sold in the 2017 PIPE, the Warrant Shares, and any shares of common stock issued as a dividend or other distribution with respect to the shares of common stock or Warrant Shares. The 2017 PIPE registration statement was declared effective by the SEC on July 21, 2017.</w:t>
      </w:r>
    </w:p>
    <w:p>
      <w:pPr>
        <w:spacing w:after="0" w:line="53"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agreed to indemnify the Institutional Investors and Dr. Springer,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2017 Registration Rights Agreement.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During the nine months ended September 30, 2020, warrant holders exercised 8,722,645 common warrants on a cashless basis and received 5,176,973 shares of common stock. In addition, warrant holders exercised 669,800 common warrants and 8,342,128 pre-funded warrants, and paid the exercise price in cash. On August 31, 2020, in connection with the 2020 Term A Loan, 196,850 equity classified warrants were issued to the Lenders.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9"/>
              </w:rPr>
              <w:t>Number of Warrants</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040" w:type="dxa"/>
            <w:vAlign w:val="bottom"/>
          </w:tcPr>
          <w:p>
            <w:pPr>
              <w:spacing w:after="0"/>
              <w:rPr>
                <w:sz w:val="10"/>
                <w:szCs w:val="10"/>
                <w:color w:val="auto"/>
              </w:rPr>
            </w:pPr>
          </w:p>
        </w:tc>
        <w:tc>
          <w:tcPr>
            <w:tcW w:w="15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Equity classified</w:t>
            </w:r>
          </w:p>
        </w:tc>
        <w:tc>
          <w:tcPr>
            <w:tcW w:w="17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Liability classified</w:t>
            </w:r>
          </w:p>
        </w:tc>
        <w:tc>
          <w:tcPr>
            <w:tcW w:w="13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380" w:type="dxa"/>
            <w:vAlign w:val="bottom"/>
          </w:tcPr>
          <w:p>
            <w:pPr>
              <w:jc w:val="right"/>
              <w:ind w:right="148"/>
              <w:spacing w:after="0" w:line="122" w:lineRule="exact"/>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88"/>
        </w:trPr>
        <w:tc>
          <w:tcPr>
            <w:tcW w:w="50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4"/>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8,437,747</w:t>
            </w:r>
          </w:p>
        </w:tc>
        <w:tc>
          <w:tcPr>
            <w:tcW w:w="17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22,988,501</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31,426,248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(8,342,128)</w:t>
            </w:r>
          </w:p>
        </w:tc>
        <w:tc>
          <w:tcPr>
            <w:tcW w:w="1740" w:type="dxa"/>
            <w:vAlign w:val="bottom"/>
          </w:tcPr>
          <w:p>
            <w:pPr>
              <w:jc w:val="right"/>
              <w:ind w:right="248"/>
              <w:spacing w:after="0"/>
              <w:rPr>
                <w:sz w:val="20"/>
                <w:szCs w:val="20"/>
                <w:color w:val="auto"/>
              </w:rPr>
            </w:pPr>
            <w:r>
              <w:rPr>
                <w:rFonts w:ascii="Arial" w:cs="Arial" w:eastAsia="Arial" w:hAnsi="Arial"/>
                <w:sz w:val="14"/>
                <w:szCs w:val="14"/>
                <w:color w:val="auto"/>
              </w:rPr>
              <w:t>(9,392,445)</w:t>
            </w:r>
          </w:p>
        </w:tc>
        <w:tc>
          <w:tcPr>
            <w:tcW w:w="1220" w:type="dxa"/>
            <w:vAlign w:val="bottom"/>
          </w:tcPr>
          <w:p>
            <w:pPr>
              <w:jc w:val="right"/>
              <w:spacing w:after="0"/>
              <w:rPr>
                <w:sz w:val="20"/>
                <w:szCs w:val="20"/>
                <w:color w:val="auto"/>
              </w:rPr>
            </w:pPr>
            <w:r>
              <w:rPr>
                <w:rFonts w:ascii="Arial" w:cs="Arial" w:eastAsia="Arial" w:hAnsi="Arial"/>
                <w:sz w:val="14"/>
                <w:szCs w:val="14"/>
                <w:color w:val="auto"/>
              </w:rPr>
              <w:t>(17,734,573)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196,850</w:t>
            </w:r>
          </w:p>
        </w:tc>
        <w:tc>
          <w:tcPr>
            <w:tcW w:w="17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196,850</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Outstanding at September 30, 2020</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292,469</w:t>
            </w: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13,596,056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13,888,525</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September 30, 2020, the Company had 200,000,000 shares of common stock authorized for issuance, $0.0001 par value per share, with 107,235,976 shares issued and outstanding. The voting, dividend and liquidation rights of the common stockholders are subject to and qualified by the rights, powers and preferences of the preferred stock. The common stock has the following characteristics: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September 30, 2020, no dividends have been declared or paid on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 ended</w:t>
            </w:r>
          </w:p>
        </w:tc>
      </w:tr>
      <w:tr>
        <w:trPr>
          <w:trHeight w:val="187"/>
        </w:trPr>
        <w:tc>
          <w:tcPr>
            <w:tcW w:w="780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2020</w:t>
            </w:r>
          </w:p>
        </w:tc>
        <w:tc>
          <w:tcPr>
            <w:tcW w:w="16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2019</w:t>
            </w:r>
          </w:p>
        </w:tc>
      </w:tr>
      <w:tr>
        <w:trPr>
          <w:trHeight w:val="18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common warrants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13,888,525</w:t>
            </w:r>
          </w:p>
        </w:tc>
        <w:tc>
          <w:tcPr>
            <w:tcW w:w="1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31,426,248</w:t>
            </w:r>
          </w:p>
        </w:tc>
      </w:tr>
      <w:tr>
        <w:trPr>
          <w:trHeight w:val="186"/>
        </w:trPr>
        <w:tc>
          <w:tcPr>
            <w:tcW w:w="7800" w:type="dxa"/>
            <w:vAlign w:val="bottom"/>
          </w:tcPr>
          <w:p>
            <w:pPr>
              <w:ind w:left="20"/>
              <w:spacing w:after="0"/>
              <w:rPr>
                <w:sz w:val="20"/>
                <w:szCs w:val="20"/>
                <w:color w:val="auto"/>
              </w:rPr>
            </w:pPr>
            <w:r>
              <w:rPr>
                <w:rFonts w:ascii="Arial" w:cs="Arial" w:eastAsia="Arial" w:hAnsi="Arial"/>
                <w:sz w:val="14"/>
                <w:szCs w:val="14"/>
                <w:color w:val="auto"/>
              </w:rPr>
              <w:t>Shares available for future stock incentive awards</w:t>
            </w:r>
          </w:p>
        </w:tc>
        <w:tc>
          <w:tcPr>
            <w:tcW w:w="1640" w:type="dxa"/>
            <w:vAlign w:val="bottom"/>
          </w:tcPr>
          <w:p>
            <w:pPr>
              <w:jc w:val="right"/>
              <w:spacing w:after="0"/>
              <w:rPr>
                <w:sz w:val="20"/>
                <w:szCs w:val="20"/>
                <w:color w:val="auto"/>
              </w:rPr>
            </w:pPr>
            <w:r>
              <w:rPr>
                <w:rFonts w:ascii="Arial" w:cs="Arial" w:eastAsia="Arial" w:hAnsi="Arial"/>
                <w:sz w:val="14"/>
                <w:szCs w:val="14"/>
                <w:color w:val="auto"/>
              </w:rPr>
              <w:t>5,237,969</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1,765,018</w:t>
            </w:r>
          </w:p>
        </w:tc>
      </w:tr>
      <w:tr>
        <w:trPr>
          <w:trHeight w:val="192"/>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restricted stock units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98,438</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181,250</w:t>
            </w:r>
          </w:p>
        </w:tc>
      </w:tr>
      <w:tr>
        <w:trPr>
          <w:trHeight w:val="18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common stock options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7,487,154</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6,796,669</w:t>
            </w:r>
          </w:p>
        </w:tc>
      </w:tr>
      <w:tr>
        <w:trPr>
          <w:trHeight w:val="21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26,712,086</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40,169,185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9300" w:firstLine="8"/>
        <w:spacing w:after="0" w:line="378"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ind w:right="160"/>
        <w:spacing w:after="0" w:line="291" w:lineRule="auto"/>
        <w:rPr>
          <w:sz w:val="20"/>
          <w:szCs w:val="20"/>
          <w:color w:val="auto"/>
        </w:rPr>
      </w:pPr>
      <w:r>
        <w:rPr>
          <w:rFonts w:ascii="Arial" w:cs="Arial" w:eastAsia="Arial" w:hAnsi="Arial"/>
          <w:sz w:val="16"/>
          <w:szCs w:val="16"/>
          <w:color w:val="auto"/>
        </w:rPr>
        <w:t>The Company maintains the 2008 Stock Incentive Plan (the “2008 Plan”) for employees, consultants, advisors, and directors. The 2008 Plan provided for the granting of incentive and non-qualified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nine months ended September 30, 2020 and 2019, the number of shares of common stock that may be issued under the 2016 Plan was increased by 3,453,022 shares and 898,871 shares, respectively. As of September 30, 2020, 2,379,188 shares remain available for future issuance under the 2016 Plan.</w:t>
      </w:r>
    </w:p>
    <w:p>
      <w:pPr>
        <w:spacing w:after="0" w:line="5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pacing w:after="0" w:line="4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Company’s 2018 Employment Inducement Incentive Award Plan (the “2018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2018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2018 Inducement Incentive Award Plan. On March 25, 2019, the Board approved the amendment and restatement of the 2018 Inducement Incentive Award Plan to reserve an additional 2,000,000 shares of the Company’s common stock for issuance thereunder. As of September 30, 2020, there are 1,358,333 shares available for future grant under the 2018 Inducement Incentive Award Plan.</w:t>
      </w:r>
    </w:p>
    <w:p>
      <w:pPr>
        <w:spacing w:after="0" w:line="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each option award was estimated on the grant date using the Black-Scholes option pricing model. Expected volatilities are based on the Company’s historical volatility and the historical volatilities of peer companies because the Company's common stock has not traded for a period that is at least equal to the expected term of its stock option awards. The Company uses the “simplified” method to estimate the expected life of options granted and are expected to be outstanding. The risk-free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27" w:name="page28"/>
    <w:bookmarkEnd w:id="27"/>
    <w:p>
      <w:pPr>
        <w:ind w:right="320"/>
        <w:spacing w:after="0" w:line="277" w:lineRule="auto"/>
        <w:rPr>
          <w:sz w:val="20"/>
          <w:szCs w:val="20"/>
          <w:color w:val="auto"/>
        </w:rPr>
      </w:pPr>
      <w:r>
        <w:rPr>
          <w:rFonts w:ascii="Arial" w:cs="Arial" w:eastAsia="Arial" w:hAnsi="Arial"/>
          <w:sz w:val="18"/>
          <w:szCs w:val="18"/>
          <w:color w:val="auto"/>
        </w:rPr>
        <w:t>differ from those estimates. The Company has estimated a forfeiture rate of 10% based on historical attrition trends. The Company records stock-based compensation expense only on awards that are expected to vest.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Effective June 25, 2020, the Company entered into transition agreements with two executive officers, under which the right to exercise their vested options was extended for a period of two years following their respective separation dates. The subsequent stock based compensation amount recognized in connection with the option modification in the second quarter was less than $0.1 million.</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4"/>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0.16 %</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2.14 %</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86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7"/>
              </w:rPr>
              <w:t>94.88 %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88.23 %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90.19 %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87.79 %</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common stock</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2.17</w:t>
            </w:r>
          </w:p>
        </w:tc>
      </w:tr>
    </w:tbl>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weighted average grant date fair value of stock options granted to employees during the three and nine months ended September 30, 2020 was $1.88, and $1.77, respectively. The weighted average grant date fair value of stock options granted to employees during the three and nine months ended September 30, 2019 was $1.26, and $1.60, respectively.</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2020, total unrecognized compensation expense related to unvested employee stock options was $8.3 million, which is expected to be recognized over a weighted average period of 2.4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consultants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No stock option awards were granted to non-employee consultants during the three and nine months ended September 30, 2020. The weighted average grant date fair value of stock options granted to non-employee consultants during the nine months ended September 30, 2019 was $1.46. As of September 30, 2020, no unrecognized compensation expense related to unvested non-employee consultants stock options remained.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summarizes the activity under the 2008 Plan, 2016 Plan, and 2018 Inducement Incentive Award Plan: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6"/>
                <w:szCs w:val="16"/>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720" w:type="dxa"/>
            <w:vAlign w:val="bottom"/>
          </w:tcPr>
          <w:p>
            <w:pPr>
              <w:spacing w:after="0"/>
              <w:rPr>
                <w:sz w:val="16"/>
                <w:szCs w:val="16"/>
                <w:color w:val="auto"/>
              </w:rPr>
            </w:pP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195"/>
        </w:trPr>
        <w:tc>
          <w:tcPr>
            <w:tcW w:w="4720" w:type="dxa"/>
            <w:vAlign w:val="bottom"/>
          </w:tcPr>
          <w:p>
            <w:pPr>
              <w:spacing w:after="0"/>
              <w:rPr>
                <w:sz w:val="16"/>
                <w:szCs w:val="16"/>
                <w:color w:val="auto"/>
              </w:rPr>
            </w:pPr>
          </w:p>
        </w:tc>
        <w:tc>
          <w:tcPr>
            <w:tcW w:w="1520" w:type="dxa"/>
            <w:vAlign w:val="bottom"/>
          </w:tcPr>
          <w:p>
            <w:pPr>
              <w:jc w:val="right"/>
              <w:ind w:right="46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Employee awards</w:t>
            </w:r>
          </w:p>
        </w:tc>
        <w:tc>
          <w:tcPr>
            <w:tcW w:w="1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6,323,596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1,716</w:t>
            </w:r>
          </w:p>
        </w:tc>
      </w:tr>
      <w:tr>
        <w:trPr>
          <w:trHeight w:val="192"/>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tcPr>
          <w:p>
            <w:pPr>
              <w:jc w:val="right"/>
              <w:spacing w:after="0"/>
              <w:rPr>
                <w:sz w:val="20"/>
                <w:szCs w:val="20"/>
                <w:color w:val="auto"/>
              </w:rPr>
            </w:pPr>
            <w:r>
              <w:rPr>
                <w:rFonts w:ascii="Arial" w:cs="Arial" w:eastAsia="Arial" w:hAnsi="Arial"/>
                <w:sz w:val="14"/>
                <w:szCs w:val="14"/>
                <w:color w:val="auto"/>
              </w:rPr>
              <w:t>(42,628)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September 30,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7,014,081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1,873</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Vested at September 30, 2020</w:t>
            </w:r>
          </w:p>
        </w:tc>
        <w:tc>
          <w:tcPr>
            <w:tcW w:w="1520" w:type="dxa"/>
            <w:vAlign w:val="bottom"/>
          </w:tcPr>
          <w:p>
            <w:pPr>
              <w:jc w:val="right"/>
              <w:spacing w:after="0"/>
              <w:rPr>
                <w:sz w:val="20"/>
                <w:szCs w:val="20"/>
                <w:color w:val="auto"/>
              </w:rPr>
            </w:pPr>
            <w:r>
              <w:rPr>
                <w:rFonts w:ascii="Arial" w:cs="Arial" w:eastAsia="Arial" w:hAnsi="Arial"/>
                <w:sz w:val="14"/>
                <w:szCs w:val="14"/>
                <w:color w:val="auto"/>
              </w:rPr>
              <w:t>1,907,100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273</w:t>
            </w:r>
          </w:p>
        </w:tc>
      </w:tr>
      <w:tr>
        <w:trPr>
          <w:trHeight w:val="19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September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6,521,522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1,739</w:t>
            </w:r>
          </w:p>
        </w:tc>
      </w:tr>
      <w:tr>
        <w:trPr>
          <w:trHeight w:val="216"/>
        </w:trPr>
        <w:tc>
          <w:tcPr>
            <w:tcW w:w="4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Non-employee awards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38</w:t>
            </w:r>
          </w:p>
        </w:tc>
      </w:tr>
      <w:tr>
        <w:trPr>
          <w:trHeight w:val="192"/>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September 30,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Vested at September 30, 2020</w:t>
            </w:r>
          </w:p>
        </w:tc>
        <w:tc>
          <w:tcPr>
            <w:tcW w:w="1520" w:type="dxa"/>
            <w:vAlign w:val="bottom"/>
          </w:tcPr>
          <w:p>
            <w:pPr>
              <w:jc w:val="right"/>
              <w:spacing w:after="0"/>
              <w:rPr>
                <w:sz w:val="20"/>
                <w:szCs w:val="20"/>
                <w:color w:val="auto"/>
              </w:rPr>
            </w:pPr>
            <w:r>
              <w:rPr>
                <w:rFonts w:ascii="Arial" w:cs="Arial" w:eastAsia="Arial" w:hAnsi="Arial"/>
                <w:sz w:val="14"/>
                <w:szCs w:val="14"/>
                <w:color w:val="auto"/>
              </w:rPr>
              <w:t>429,523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45</w:t>
            </w:r>
          </w:p>
        </w:tc>
      </w:tr>
      <w:tr>
        <w:trPr>
          <w:trHeight w:val="19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September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second quarter of 2020, the Company entered into a transition agreement with an executive officer under which previously awarded restricted stock units under the Inducement Incentive Award Plan remain eligible to vest in accordance with their terms, notwithstanding the requirement that the executive remain in continuous service with the Company through the applicable vesting date, if the administrator of the Inducement Incentive Award Plan determines the applicable performance conditions are achieved on or prior to December 31, 2020. In accordance with ASC718, the restricted stock units granted were remeasured with a weighted average fair value of $2.92 per share based on the closing price of the Company’s common stock on the date the transition agreement was executed. Since the performance condition is probable of achievement, the restricted stock units were re-valued, resulting in additional expense of less than $0.1 million.</w:t>
      </w:r>
    </w:p>
    <w:p>
      <w:pPr>
        <w:spacing w:after="0" w:line="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Unrecognized compensation expense for the restricted stock units was $0.6 million as of September 30, 2020, which is expected to be recognized over a weighted average period of 2.2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7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1"/>
                <w:szCs w:val="11"/>
                <w:color w:val="auto"/>
              </w:rPr>
            </w:pPr>
          </w:p>
        </w:tc>
        <w:tc>
          <w:tcPr>
            <w:tcW w:w="14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184"/>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at December 31,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Granted</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Forfeited</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at September 30, 2020</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52" w:lineRule="exact"/>
        <w:rPr>
          <w:sz w:val="20"/>
          <w:szCs w:val="20"/>
          <w:color w:val="auto"/>
        </w:rPr>
      </w:pPr>
    </w:p>
    <w:p>
      <w:pPr>
        <w:ind w:right="720"/>
        <w:spacing w:after="0" w:line="236" w:lineRule="auto"/>
        <w:rPr>
          <w:sz w:val="20"/>
          <w:szCs w:val="20"/>
          <w:color w:val="auto"/>
        </w:rPr>
      </w:pPr>
      <w:r>
        <w:rPr>
          <w:rFonts w:ascii="Arial" w:cs="Arial" w:eastAsia="Arial" w:hAnsi="Arial"/>
          <w:sz w:val="18"/>
          <w:szCs w:val="18"/>
          <w:color w:val="auto"/>
        </w:rPr>
        <w:t>Under the ESPP, the Company has set two six-month offering periods during each calendar year, one beginning March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the other beginning September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calendar year, during which employees may elect to have up to 25% of their eligible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ind w:right="160"/>
        <w:spacing w:after="0" w:line="286" w:lineRule="auto"/>
        <w:rPr>
          <w:sz w:val="20"/>
          <w:szCs w:val="20"/>
          <w:color w:val="auto"/>
        </w:rPr>
      </w:pPr>
      <w:r>
        <w:rPr>
          <w:rFonts w:ascii="Arial" w:cs="Arial" w:eastAsia="Arial" w:hAnsi="Arial"/>
          <w:sz w:val="17"/>
          <w:szCs w:val="17"/>
          <w:color w:val="auto"/>
        </w:rPr>
        <w:t>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 The first ESPP offering period began on March 1, 2017.</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nine months ended September 30, 2020 and 2019, the number of shares of common stock that may be issued under the ESPP was increased by 863,254 shares and 224,717 shares, respectively. During the nine months ended September 30, 2020, the Company issued 110,212 shares of common stock under the ESPP. As of September 30, 2020, 1,500,448 shares remain available for future issuance under the ESPP.</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each of the three and nine months ended September 30, 2020 and 2019, the Company recognized less than $0.1 million of stock-based compensation expense under the ESPP.</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49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4"/>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w:t>
            </w:r>
          </w:p>
        </w:tc>
      </w:tr>
      <w:tr>
        <w:trPr>
          <w:trHeight w:val="18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w:t>
            </w:r>
          </w:p>
        </w:tc>
      </w:tr>
      <w:tr>
        <w:trPr>
          <w:trHeight w:val="211"/>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stock-based compensation expense</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right="9120" w:firstLine="8"/>
        <w:spacing w:after="0" w:line="425"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Swedish Orphan Biovitrum</w:t>
      </w:r>
    </w:p>
    <w:p>
      <w:pPr>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11, 2020, the Company and Sobi, entered into a license and development agreement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(the “Compound”) and ImmTOR. Pursuant to the Sobi License, in consideration of the license, Sobi agreed to pay the Company a one-time, up-front payment of $75 million. Sobi has also agreed to make milestone payments totaling up to $630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transactions contemplated by the Sobi License were consummated on July 28, 2020 following the expiration or termination of the required waiting periods under the Hart-Scott-Rodino Antitrust Improvements Act of 1976.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ind w:right="120"/>
        <w:spacing w:after="0" w:line="342" w:lineRule="auto"/>
        <w:rPr>
          <w:sz w:val="20"/>
          <w:szCs w:val="20"/>
          <w:color w:val="auto"/>
        </w:rPr>
      </w:pPr>
      <w:r>
        <w:rPr>
          <w:rFonts w:ascii="Arial" w:cs="Arial" w:eastAsia="Arial" w:hAnsi="Arial"/>
          <w:sz w:val="16"/>
          <w:szCs w:val="16"/>
          <w:color w:val="auto"/>
        </w:rPr>
        <w:t>Additionally, on June 11, 2020, the Company entered into the Sobi Purchase Agreement in connection with the Sobi Private Placement. The closing of the Sobi Private Placement occurred on July 31, 2020, following the closing of the transactions contemplated under the Sobi License. See Note 10 for details.</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determining the transaction price, the Company concluded the upfront payment of $75 million and the $5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right="40"/>
        <w:spacing w:after="0" w:line="272" w:lineRule="auto"/>
        <w:rPr>
          <w:sz w:val="20"/>
          <w:szCs w:val="20"/>
          <w:color w:val="auto"/>
        </w:rPr>
      </w:pPr>
      <w:r>
        <w:rPr>
          <w:rFonts w:ascii="Arial" w:cs="Arial" w:eastAsia="Arial" w:hAnsi="Arial"/>
          <w:sz w:val="17"/>
          <w:szCs w:val="17"/>
          <w:color w:val="auto"/>
        </w:rPr>
        <w:t>As of September 30, 2020, the Company recorded $62.7 million as a short-term contract liability and $35.1 million as a long-term contract liability representing deferred revenue associated with this agreement. In addition, the Company recognized $1.5 million of contract assets, of which $1.0 million is presented in prepaid expenses and other current assets, $0.5 million is in other assets in the accompanying Consolidated Balance Sheets, related to incremental costs that would not have been incurred if the Sobi License had not been obtained. The Company recorded a total outstanding receivable of $12.6 million. The receivable balance consisted of the $5.0 million development milestone that was achieved as a result of dosing the first patient in the Phase 3 DISSOLVE trial and $7.6 million of billings incurred for the Phase 3 DISSOLVE program that are subject to reimbursement by Sobi. Revenue of $4.3 million related to the Sobi License was recognized during the three months ended September 30,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13, 2020, the Company and Sarepta Therapeutics, Inc., (“Sarepta”) entered into a Research License and Option Agreement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 As of September 30, 2020, all milestones were constrained. The Company will re-evaluate the transaction price in each reporting period, as uncertain events are resolved. The Company will recognize the revenue associated with the upfront payment and combined single performance obligation utilizing the output method, over the 24 month term as the Manufactured Supply is delivered to Sarepta.</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7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As of September 30, 2020, the Company recorded $1.7 million as a long-term contract liability representing deferred revenue associated with this agreement. Revenue of $0.3 million related to the Sarepta Agreement was recognized during the three months ended September 30, 2020.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for Pompe Disease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Pursuant to the AskBio License Agreement, the Company will supply AskBio with its ImmTOR platform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 (the “AskBio License and Supply Obligation”).</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September 30, 2020 and December 31, 2019, all milestones were constrained. The Company will re-evaluate the transaction price in each reporting period, as uncertain events are resolved, or as other changes in circumstances occur.</w:t>
      </w:r>
    </w:p>
    <w:p>
      <w:pPr>
        <w:spacing w:after="0" w:line="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September 30, 2020 and December 31, 2019, the Company recorded $1.7 million as a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nine months ended September 30, 2020 as no deliveries were made during the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an initial identified target.</w:t>
      </w:r>
    </w:p>
    <w:p>
      <w:pPr>
        <w:spacing w:after="0" w:line="6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platform for up to four additional targets. The Company was eligible to receive a variable fee up to $2.0 million for each additional target option elected, dependent on the incidence of the applicable indication. The election period in which Spark could have exercised additional targets under the Spark License Agreement was a term of three years from the Contract Date, which expired on December 1, 2019.</w:t>
      </w:r>
    </w:p>
    <w:p>
      <w:pPr>
        <w:spacing w:after="0" w:line="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Assuming successful development and commercialization, the Company could receive up to an additional $65.0 million in development and regulatory milestone payments and $365.0 million in commercialization milestone payments for each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3" w:name="page34"/>
    <w:bookmarkEnd w:id="33"/>
    <w:p>
      <w:pPr>
        <w:ind w:right="40"/>
        <w:spacing w:after="0" w:line="257" w:lineRule="auto"/>
        <w:rPr>
          <w:sz w:val="20"/>
          <w:szCs w:val="20"/>
          <w:color w:val="auto"/>
        </w:rPr>
      </w:pPr>
      <w:r>
        <w:rPr>
          <w:rFonts w:ascii="Arial" w:cs="Arial" w:eastAsia="Arial" w:hAnsi="Arial"/>
          <w:sz w:val="18"/>
          <w:szCs w:val="18"/>
          <w:color w:val="auto"/>
        </w:rPr>
        <w:t>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Beyond the Initial Closing, the Spark Purchase Agreement contemplated potential future sales of shares by the Company to Spark as follows:</w:t>
      </w:r>
    </w:p>
    <w:p>
      <w:pPr>
        <w:spacing w:after="0" w:line="129" w:lineRule="exact"/>
        <w:rPr>
          <w:sz w:val="20"/>
          <w:szCs w:val="20"/>
          <w:color w:val="auto"/>
        </w:rPr>
      </w:pPr>
    </w:p>
    <w:p>
      <w:pPr>
        <w:ind w:left="660" w:right="42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5" w:lineRule="exact"/>
        <w:rPr>
          <w:rFonts w:ascii="Arial" w:cs="Arial" w:eastAsia="Arial" w:hAnsi="Arial"/>
          <w:sz w:val="16"/>
          <w:szCs w:val="16"/>
          <w:color w:val="auto"/>
        </w:rPr>
      </w:pPr>
    </w:p>
    <w:p>
      <w:pPr>
        <w:ind w:left="660" w:hanging="328"/>
        <w:spacing w:after="0" w:line="27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Under the Spark Purchase Agreement, Spark agreed not to dispose of any of the shares acquired at either the Initial Closing or the from the subsequent Acquisition Rights that it may acquire until January 1, 2018 and, thereafter, transfers are contractually subject to volume limitations applicable to an “affiliate” under Rule 144 of the Securities Act.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(see Note 14) totaling $2.2 million for the MIT sub-license provided to Spark, and $0.4 million relative to the calculated premium paid by Spark for the equity investments made under the Spark Purchase Agreement.</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identified the following components of the agreement: (1) certain exclusive, worldwide, royalty bearing licenses to the Company’s intellectual property and a license to conduct certain research activities under the collaboration, (the "Spark License"), (2) options to research, develop and commercialize gene therapies utilizing the ImmTOR platform for up to four additional target therapy options, (the "Option Obligation"), (3) manufactured supply of ImmTOR, (the "Supply Obligation") at a discount. In exchange, the Company received an upfront payment of $15.0 million and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4" w:name="page35"/>
    <w:bookmarkEnd w:id="34"/>
    <w:p>
      <w:pPr>
        <w:spacing w:after="0" w:line="296" w:lineRule="auto"/>
        <w:rPr>
          <w:sz w:val="20"/>
          <w:szCs w:val="20"/>
          <w:color w:val="auto"/>
        </w:rPr>
      </w:pPr>
      <w:r>
        <w:rPr>
          <w:rFonts w:ascii="Arial" w:cs="Arial" w:eastAsia="Arial" w:hAnsi="Arial"/>
          <w:sz w:val="16"/>
          <w:szCs w:val="16"/>
          <w:color w:val="auto"/>
        </w:rPr>
        <w:t>The Company determined that the Spark License and Supply Obligation represent a single promise and performance obligation (the “Combined License and Supply Obligation”). This is because Spark cannot derive benefit from the license without the simultaneous transfer of the patent protected ImmTOR supply. The Company also determined that the Option Obligation, which includes the related Supply Obligation, provides the customer with a material right and is considered a performance obligation in the arrangement since it was priced at an incremental discount. Therefore, the Company determined that the Spark agreement contains five distinct performance obligations: the Combined License and Supply Obligation, and the four separate target options.</w:t>
      </w:r>
    </w:p>
    <w:p>
      <w:pPr>
        <w:spacing w:after="0" w:line="5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September 30, 2020, all future milestones are constrained. The Company will re-evaluate the transaction price in each reporting period, as uncertain events are resolved, or as other changes in circumstances occur.</w:t>
      </w:r>
    </w:p>
    <w:p>
      <w:pPr>
        <w:spacing w:after="0" w:line="7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target options ($1.3 million for each option) using the relative standalone selling price method to each obligation. The standalone selling price for the Combined License and Supply Obligation was determined using a discounted cash flow model. The standalone selling price for the target options were determined based on the fair value of the license minus the strike price of the option (the probability of exercise was included in the valuation) as well as the estimated discount of the Supply Obligation.</w:t>
      </w:r>
    </w:p>
    <w:p>
      <w:pPr>
        <w:spacing w:after="0" w:line="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estimated proceeds expected to be received from the sale of the Supply Obligation were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was initially estimated to be approximately four years.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 2019, the term for Spark to exercise additional target options expired; the Company recognized $6.7 million in revenue from deferred revenue as originally allocated. In addition, during the year ended December 31, 2019, there were two deliveries resulting in less than $0.1 million of revenue recognized. No revenue related to the Spark License Agreement was recognized during the nine months ended September 30, 2020 as no deliveries were made during the period.</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2020 and December 31, 2019, there was a contract liability of $9.2 million representing deferred revenue presented as non-current associated with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(deficit) equity.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5" w:name="page36"/>
    <w:bookmarkEnd w:id="35"/>
    <w:p>
      <w:pPr>
        <w:spacing w:after="0" w:line="279" w:lineRule="auto"/>
        <w:rPr>
          <w:sz w:val="20"/>
          <w:szCs w:val="20"/>
          <w:color w:val="auto"/>
        </w:rPr>
      </w:pPr>
      <w:r>
        <w:rPr>
          <w:rFonts w:ascii="Arial" w:cs="Arial" w:eastAsia="Arial" w:hAnsi="Arial"/>
          <w:sz w:val="17"/>
          <w:szCs w:val="17"/>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6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5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June 5,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has received grant funding from the Russia-based Development Fund of New Technologies Development and Commercialization Center ("Skolkovo"). From grant inception through September 30, 2020, the Company received $2.0 million from Skolkovo.</w:t>
      </w:r>
    </w:p>
    <w:p>
      <w:pPr>
        <w:spacing w:after="0" w:line="3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7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September 30, 2020,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aggregate amount of the transaction price allocated to remaining performance obligations was $115.8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Sobi, Sarepta, AskBio, Spark and Skolkovo Foundation</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nine months ended September 30,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548"/>
              <w:spacing w:after="0"/>
              <w:rPr>
                <w:sz w:val="20"/>
                <w:szCs w:val="20"/>
                <w:color w:val="auto"/>
              </w:rPr>
            </w:pPr>
            <w:r>
              <w:rPr>
                <w:rFonts w:ascii="Arial" w:cs="Arial" w:eastAsia="Arial" w:hAnsi="Arial"/>
                <w:sz w:val="14"/>
                <w:szCs w:val="14"/>
                <w:b w:val="1"/>
                <w:bCs w:val="1"/>
                <w:color w:val="auto"/>
              </w:rPr>
              <w:t>Balance at</w:t>
            </w:r>
          </w:p>
        </w:tc>
      </w:tr>
      <w:tr>
        <w:trPr>
          <w:trHeight w:val="194"/>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 period</w:t>
            </w:r>
          </w:p>
        </w:tc>
        <w:tc>
          <w:tcPr>
            <w:tcW w:w="360" w:type="dxa"/>
            <w:vAlign w:val="bottom"/>
          </w:tcPr>
          <w:p>
            <w:pPr>
              <w:spacing w:after="0"/>
              <w:rPr>
                <w:sz w:val="16"/>
                <w:szCs w:val="16"/>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end of period</w:t>
            </w: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195"/>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6"/>
        </w:trPr>
        <w:tc>
          <w:tcPr>
            <w:tcW w:w="3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115,839</w:t>
            </w:r>
          </w:p>
        </w:tc>
      </w:tr>
      <w:tr>
        <w:trPr>
          <w:trHeight w:val="21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104,158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115,839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incurred expenses for consulting services provided by its founders totaling less than $0.1 million and $0.1 million during each of the three months ended September 30, 2020 and 2019, respectively, and $0.1 million and $0.4 million during the nine months ended September 30, 2020 and 2019, respectively. The Company entered into consulting agreements with its founders to serve on its Scientific Advisory Board, effective January 1, 2020 to December 31, 2021, under which they will be paid quarterly for their services.</w:t>
      </w:r>
    </w:p>
    <w:p>
      <w:pPr>
        <w:spacing w:after="0" w:line="200" w:lineRule="exact"/>
        <w:rPr>
          <w:sz w:val="20"/>
          <w:szCs w:val="20"/>
          <w:color w:val="auto"/>
        </w:rPr>
      </w:pPr>
    </w:p>
    <w:p>
      <w:pPr>
        <w:spacing w:after="0" w:line="226" w:lineRule="exact"/>
        <w:rPr>
          <w:sz w:val="20"/>
          <w:szCs w:val="20"/>
          <w:color w:val="auto"/>
        </w:rPr>
      </w:pPr>
    </w:p>
    <w:p>
      <w:pPr>
        <w:ind w:right="8600" w:firstLine="8"/>
        <w:spacing w:after="0" w:line="425"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Asklepios Biopharmaceutical, Inc.</w:t>
      </w:r>
    </w:p>
    <w:p>
      <w:pPr>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6, 2019, the Company entered into a feasibility study and license agreement with AskBio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AskBio's AAV gene therapy, or MMA-101, for the treatment of MMA,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 of concept, and the parties do not mutually agree in writing to proceed with the collaboration, the AskBio Collaboration Agreement will expire.</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(the “R&amp;D Services”), (2) granting a non-exclusive, non-transferable, royalty-free, fully paid up, worldwide license to certain intellectual property of the Company, (the “IP Rights”) for the purpose of performing the POC Studies, (the “Research License”), (3) granting an exclusive, nontransferable, worldwide license to the IP Rights for use in certain indications (the” Collaboration License”), (4) providing manufactured supply of preclinical and clinical ImmTOR, (the “Manufactured Supply”), (5) participation on identified steering committees responsible for the oversight of the collaboration,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accordance with ASC 808, collaboration expenses are recognized within R&amp;D expense and selling, general and administrative expense on the Company's condensed consolidated statements of operations. For the three and nine months ended September 30, 2020, the Company recognized $0.6 million and $2.6 million, respectively, of collaboration expense under the AskBio Collaboration Agreement in which actual costs incurred by both parties approximate a 50% cost share.</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certain collaborative arrangements, the Company is entitled to reimbursement of certain R&amp;D expense. Activities under collaborative arrangements for which the Company is entitled to reimbursement are considered to be collaborative activities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jc w:val="both"/>
        <w:ind w:right="720"/>
        <w:spacing w:after="0" w:line="311" w:lineRule="auto"/>
        <w:rPr>
          <w:sz w:val="20"/>
          <w:szCs w:val="20"/>
          <w:color w:val="auto"/>
        </w:rPr>
      </w:pPr>
      <w:r>
        <w:rPr>
          <w:rFonts w:ascii="Arial" w:cs="Arial" w:eastAsia="Arial" w:hAnsi="Arial"/>
          <w:sz w:val="16"/>
          <w:szCs w:val="16"/>
          <w:color w:val="auto"/>
        </w:rPr>
        <w:t>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November 25, 2008, the Company entered into an exclusive patent license agreement (the “MIT License”)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12, 2020, the Company entered into a Fifth Amendment (the “MIT Amendment”) to the MIT License, which is effective as of May 15, 2020. Pursuant to the MIT Amendment, certain of the Company’s diligence obligations were extended, including a diligence obligation to commence a Phase 3 trial for a licensed product by a specific date in the second quarter of 2021. Additionally, certain of the Company’s development and regulatory milestones and payments upon achievement of such milestones were adjusted.</w:t>
      </w:r>
    </w:p>
    <w:p>
      <w:pPr>
        <w:spacing w:after="0" w:line="7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of September 30, 2020,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nine months ended September 30,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2014, the Company entered into a license agreement (the “3SBio License”) with Shenyang Sunshine Pharmaceutical Co., Ltd. (“3SBio”). The Company has paid to 3SBio an aggregate of $3.0 million in upfront and milestone-based payments under the 3SBio License as of September 30, 2020. License fees of $4.0 million are accrued as of September 30, 2020 resulting from the achievement of a clinical milestone during the three months ended September 30, 2020. The Company is required to make future payments to 3SBio contingent upon the occurrence of events related to the achievement of clinical and regulatory approval milestones of up to an aggregate of $17.0 million for products containing the Company's ImmTOR platform, and up to an aggregate of $41.5 million for products without the ImmTOR platform.</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2020 and 2019, the Company did not record a current or deferred income tax expense or benefit.</w:t>
      </w:r>
    </w:p>
    <w:p>
      <w:pPr>
        <w:spacing w:after="0" w:line="14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2019, the Company completed a Section 382 study, noting that an ownership change occurred during 2017. However, the Company has determined that all net operating losses would be available in the future. As a result, the deferred tax assets related to the federal and Massachusetts net operating losses and credit carryforwards are not currently limited.</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September 30, 2020, the Company had no unrecognized tax benefits or related interest and penalties accrued.</w:t>
      </w:r>
    </w:p>
    <w:p>
      <w:pPr>
        <w:spacing w:after="0" w:line="6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8" w:name="page39"/>
    <w:bookmarkEnd w:id="38"/>
    <w:p>
      <w:pPr>
        <w:ind w:right="50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Upon adoption of ASC 842 and during the quarter ended March 31, 2020 for the Headquarters Lease, a deferred tax liability was recorded for the right-of-use asset. The deferred tax asset for the lease liability and the deferred tax asset for the lease incentives was recorded, with no impact to the valuation allowance or deferred tax expense.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September 30, 2020 and 2019, respectively, and $0.1 million during each of the nine months ended September 30, 2020 and 2019.</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2020, the Company has an operating lease agreement for an office in Watertown, MA. See Note 8 for additional information regarding the Company's leases.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Part II, Item 1A “Risk Factors.”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 clinical-stage biopharmaceutical company leveraging our ImmTOR immune tolerance platform with the goals of amplifying the efficacy of biologics, including enabling the re-dosing of life-saving gene therapies, and restoring self-tolerance in autoimmune diseases. Our ImmTOR platform encapsulates an immunomodulator in biodegradable nanoparticles and is designed to mitigate the formation of anti-drug antibodies, or ADAs, by inducing antigen-specific immune tolerance. We have developed a portfolio of proprietary and collaboration-driven applications of ImmTOR, and we plan to continue to pursue opportunistic strategic collaborations, out-licensing, and in-licensing transactions in addition to developing proprietary compounds utilizing ImmTOR.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9" w:name="page40"/>
    <w:bookmarkEnd w:id="39"/>
    <w:p>
      <w:pPr>
        <w:ind w:right="100"/>
        <w:spacing w:after="0" w:line="279" w:lineRule="auto"/>
        <w:rPr>
          <w:sz w:val="20"/>
          <w:szCs w:val="20"/>
          <w:color w:val="auto"/>
        </w:rPr>
      </w:pPr>
      <w:r>
        <w:rPr>
          <w:rFonts w:ascii="Arial" w:cs="Arial" w:eastAsia="Arial" w:hAnsi="Arial"/>
          <w:sz w:val="17"/>
          <w:szCs w:val="17"/>
          <w:color w:val="auto"/>
        </w:rPr>
        <w:t>On June 12, 2020, we announced that we had entered into a license and development agreement, or the Sobi License, with Swedish Orphan Biovitrum AB (Publ), a Swedish corporation, or Sobi, pursuant to which we have agreed to grant Sobi an exclusive, worldwide (except as to Greater China) license to develop, manufacture and commercialize the our SEL-212 drug candidate, which is currently in development for the treatment of chronic refractory gout. For a further description of the Sobi License, see “Licenses and Collaborations-Swedish Orphan Biovitrum.”</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Following our entry into the Sobi License, we are focused on unlocking the full potential of the ImmTOR immune tolerance platform with the following goals:</w:t>
      </w:r>
    </w:p>
    <w:p>
      <w:pPr>
        <w:spacing w:after="0" w:line="62" w:lineRule="exact"/>
        <w:rPr>
          <w:sz w:val="20"/>
          <w:szCs w:val="20"/>
          <w:color w:val="auto"/>
        </w:rPr>
      </w:pPr>
    </w:p>
    <w:p>
      <w:pPr>
        <w:ind w:left="660" w:right="60" w:hanging="328"/>
        <w:spacing w:after="0" w:line="29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Amplifying the efficacy of biologic therapies</w:t>
      </w:r>
      <w:r>
        <w:rPr>
          <w:rFonts w:ascii="Arial" w:cs="Arial" w:eastAsia="Arial" w:hAnsi="Arial"/>
          <w:sz w:val="16"/>
          <w:szCs w:val="16"/>
          <w:color w:val="auto"/>
        </w:rPr>
        <w:t>. We believe the efficacy and safety of many currently marketed biologic therapies could be improved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utilizing ImmTOR with the goal of mitigating the formation of ADAs. We are applying this approach to immunogenic biologics, including pegadricase in the SEL-212 program, IGA proteases in our IgA nephropathy program, and AAV gene therapies. AAV gene therapies can typically only be administered once due to the formation of neutralizing antibodies, and therapeutic benefit can wane over time due to cell turnover. Enabling vector re-dosing has the potential to create durable therapies that allow patients to achieve, maintain, or restore therapeutic benefit.</w:t>
      </w:r>
    </w:p>
    <w:p>
      <w:pPr>
        <w:spacing w:after="0" w:line="53" w:lineRule="exact"/>
        <w:rPr>
          <w:rFonts w:ascii="Arial" w:cs="Arial" w:eastAsia="Arial" w:hAnsi="Arial"/>
          <w:sz w:val="16"/>
          <w:szCs w:val="16"/>
          <w:color w:val="auto"/>
        </w:rPr>
      </w:pPr>
    </w:p>
    <w:p>
      <w:pPr>
        <w:ind w:left="660" w:right="2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Restoring self-tolerance in autoimmune diseases</w:t>
      </w:r>
      <w:r>
        <w:rPr>
          <w:rFonts w:ascii="Arial" w:cs="Arial" w:eastAsia="Arial" w:hAnsi="Arial"/>
          <w:sz w:val="17"/>
          <w:szCs w:val="17"/>
          <w:color w:val="auto"/>
        </w:rPr>
        <w:t>. We believe we have demonstrated the ability of ImmTOR to mitigate deleterious immune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responses in humans with the SEL-212 program. We intend to develop antigen-specific immunotherapies with the goal of re-establishing tolerance to self-antigens in autoimmune diseases. Our initial indication under this approach will be in primary biliary cholangitis, or PBC.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Enzyme therapy – Chronic Refractory Gout</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most advanced product candidate is SEL-212, which has been licensed to Sobi (except as to Greater China) pursuant to the Sobi License, and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Phase 1/2 clinical data, we believe that SEL-212 has the potential to control serum uric acid, or SUA, levels and mitigate the formation of ADAs in response to the therapeutic enzyme.</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March 2019, we initiated a non-registrational Phase 2 head-to-head clinical trial of SEL-212 (COMPARE), in which SEL-212 was compared against the current FDA-approved therapy for chronic refractory gout, KRYSTEXXA, in multiple clinical sites in the United States. The two-armed, open label trial enrolled 170 patients with 87 patients receiving KRYSTEXXA (as set forth in the prescribing information) and the other 83 patients receiving six monthly doses of SEL-212 (0.15 mg/kg of ImmTOR and 0.2 mg/kg of pegadricase).</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30, 2020, we announced the topline results from the COMPARE trial. SEL-212 showed a numerically higher response rate to pegloticase on the primary endpoint during months 3 and 6 combined, but did not meet the primary endpoint of statistical superiority. SEL-212 did demonstrate a statistically significant higher response rate of SEL-212 during the third month of treatment, as well as a statistically significant greater overall reduction in mean SUA levels in SEL-212 versus pegloticase. SEL-212 demonstrated a numerically higher response rate of SEL-212 during the sixth month of treatment. In patients with tophi at baseline, SEL-212 demonstrated substantially higher responder rates for SEL-212 compared to pegloticase on the primary endpoint, and a statistically significant reduction in mean SUA when compared to pegloticase. Approximately 41% of patients in the Phase 2 COMPARE trial had visible tophi at baseline. SEL-212 and pegloticase showed favorable safety results and were well-tolerated: There were no deaths during the study. There were no notable differences in serious Treatment Emergent Adverse Events (TEAEs), treatment-related serious TEAEs, or infusion reactions between the two groups. A full analysis of safety signals, including gout flare incidence and severity, awaits evaluation of the full data set and will be reported together with the full efficacy analysis at a later medical meeting.</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and Sobi commenced the Phase 3 DISSOLVE clinical program of SEL-212 in September 2020. The Phase 3 clinical program consists of two double blinded, placebo-controlled trials of SEL-212 (DISSOLVE I and DISSOLVE II). Each trial is expected to enroll 105 patients, with 35 patients receiving 0.1 mg/kg of ImmTOR and 0.2 mg/kg of pegadricase, 35 patients receiving 0.15 mg/kg of ImmTOR and 0.2 mg/kg of pegadricase, and 35 patients receiving placebo. Topline data from the Phase 3 DISSOLVE clinical program is expected in the second half of 2022, and, if the program is successful, a Biologics License Application (BLA) filing is expected in the first quarter of 2023. The Phase 3 DISSOLVE clinical program will be funded by Sobi. See “Licenses and Collaborations-Swedish Orphan Biovitrum” for further details surrounding the Sobi License.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Amplifying the Efficacy of Biologics: Enzyme therapy – IgA Nephropathy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second indication in our enzyme therapy program is IgA nephropathy, a kidney disease that occurs when an antibody called immunoglobulin A (IgA) accumulates in the kidneys. We plan to file an Investigational New Drug, or IND, application, for this program by the end of 2021. On October 8, 2020, we and IGAN Biosciences, Inc., or IGAN, entered into an Option and License Agreement, or the IGAN Agreement. Pursuant to the IGAN Agreement, IGAN has granted us an exclusive license to research, evaluate, and conduct pre-clinical development activities on IGAN’s proprietary IgA Proteases. Previous studies in animal models conducted at independent laboratories demonstrated that IgA protease removed injurious IgA immune complexes from kidneys and reduced inflammation, fibrosis, and hematuria. These results suggest that it is an excellent candidate to potentially decrease the rate of disease progression and possibly even reverse the disease. The barrier to IgA protease commercialization is the bacterial origin of the protease, which makes it immunogenic. Our ImmTOR platform has shown in clinical studies the ability to mitigate the formation of ADAs to immunogenic enzymes, which has been demonstrated with our Phase 3 lead product candidate, SEL-212. We and IGAN intend to combine IGAN’s IgA protease with our ImmTOR platform to develop a novel combination product candidate for the treatment of IgA nephropathy and IgA-mediated diseases. We will have an option term of 24 months, during which we can elect to obtain an exclusive license to further develop and commercialize the product candidate to treat all IgA-mediated diseases, including IgA nephropathy, Linear IgA bullous dermatitis, IgA pemphigus, and Henoch-Schonlein purpura (also known as IgA vasculitis). See “Licenses and Collaborations-IGAN Biosciences” below for further details surrounding the IGAN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Gene Therapies</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When used in combination with AAV gene therapy vectors, ImmTOR has been observed to inhibit the immune response to the vector (Nature Communications, October 2018).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growing pediatric patients, who may lose expression over time. In addition, integrating ImmTOR into a gene therapy protocol has the potential to provide a first dose benefit by enhancing liver-directed transgene expression, which has been observed in preclinical models.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lead gene therapy program is in collaboration with AskBio in methylmalonic acidemia, or MMA, an inherited disorder in which the body is unable to process certain proteins and fats (lipids) properly. We and AskBio plan to file an IND for this product candidate, MMA-101, in MMA in the first quarter of 2021 under this collaboration, expect to commence a Phase 1 clinical trial in the first half of 2021, and report initial data by the end of 2021. In October 2020, we and AskBio received Rare Pediatric Disease Designation from the FDA for MMA-101 in combination with ImmTOR for the treatment of isolated MMA due to methylmalonyl-CoA mutase (MMUT) gene mutations. See “Licenses and Collaborations-AskBio” for further details surrounding the AskBio collaboration.</w:t>
      </w:r>
    </w:p>
    <w:p>
      <w:pPr>
        <w:spacing w:after="0" w:line="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We have several additional programs in development with our collaborators.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Restoring Self-tolerance in Autoimmune Diseases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lead autoimmune diseases indication is expected to be primary biliary cholangitis, or PBC, a t-cell driven autoimmune disease that causes progressive destruction of the bile ducts. Patients with PBC are in need of a highly-targeted, liver-directed approach to treating the root cause of the disorder. We believe PBC has a well-defined target antigen, significant unmet medical need, and is well suited to the application of our ImmTOR immune tolerance platform.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Swedish Orphan Biovitrum</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2020, we announced that we had entered into the Sobi License, pursuant to which we have agreed to grant Sobi an exclusive, worldwide (except as to Greater China) license to develop, manufacture and commercialize the our SEL-212 drug candidate, which is currently in development for the treatment of chronic refractory gout. In September 2020, pursuant to the Sobi License, Sobi paid the Company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ind w:right="360"/>
        <w:spacing w:after="0" w:line="277" w:lineRule="auto"/>
        <w:rPr>
          <w:sz w:val="20"/>
          <w:szCs w:val="20"/>
          <w:color w:val="auto"/>
        </w:rPr>
      </w:pPr>
      <w:r>
        <w:rPr>
          <w:rFonts w:ascii="Arial" w:cs="Arial" w:eastAsia="Arial" w:hAnsi="Arial"/>
          <w:sz w:val="18"/>
          <w:szCs w:val="18"/>
          <w:color w:val="auto"/>
        </w:rPr>
        <w:t>Additionally, Sobi purchased an aggregate of 5,416,390 shares of our common stock at $4.6156 for aggregate gross proceeds of $25 million, which we refer to as the Sobi Private Placement. The closing of the Sobi Private Placement occurred on July 31, 2020.</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Sobi License, we will have operational oversight of the Phase 3 DISSOLVE clinical program of SEL-212 (DISSOLVE I and DISSOLVE II) that commenced in September 2020, at Sobi's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IGAN Biosciences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October 2020, we and IGAN entered into the IGAN Agreement. Pursuant to the IGAN Agreement, IGAN has granted us an exclusive license to research, evaluate, and conduct pre-clinical development activities on IGAN’s proprietary IgA Proteases. We have an option term of 24 months, or the Option Term, during which we can elect to obtain an exclusive license to further develop and commercialize the product to treat all IgA-mediated diseases, including IgA nephropathy, Linear IgA bullous dermatitis, IgA pemphigus, and Henoch-Schonlein purpura (also known as IgA vasculitis).</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Upon execution of the IGAN Agreement, we paid IGAN a one-time up-front payment of $500,000 and we will owe additional payments to IGAN upon opting-in to an exclusive license agreement, as well as upon the achievement of certain development and sales milestones.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Option Term, we may terminate the IGAN Agreement immediately for any reason upon written notice to IGAN. If we opt-in to an exclusive license agreement, we may terminate the IGAN Agreement upon 120 days’ written notice.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2020, we entered into a research license and option agreement with Sarepta Therapeutics, or the Sarepta Agreement. Pursuant to the agreement, we agreed to grant Sarepta a license to research and evaluate ImmTOR in combination with Sarepta’s AAV gene therapy or gene editing technology, using viral or non-viral delivery, or the Product,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if Sarepta pays an additional fee to the Company. Sarepta made an up-front payment to us upon signing of the agreement, and we are eligible to receive additional preclinical payments under the option term. If Sarepta opts-in to an exclusive license agreement, we could receive option exercise payments per indication, we would be entitled to significant development and commercial milestone payments and tiered royalties ranging from the mid-to-high single digits based on net sales.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AskBio</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We expect to commence a Phase 1 clinical trial in MMA-101 in the first half of 2021, with initial proof of concept data expected by the end of 2021. The initial proof of concept data will potentially validate the use of our ImmTOR platform to mitigate the formation of neutralizing anti-AAV capsid antibodies, which currently precludes redosing. If the proof of concept studies are successful, we will proceed with a collaboration to pursue the development and commercialization of AAV gene therapy product candidates utilizing ImmTOR for the treatment of certain agreed serious rare and orphan genetic diseases.</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Additionally, in December 2019 we entered into the AskBio License Agreement which provides AskBio with exclusive worldwide rights to our ImmTOR platform to research, develop and commercialize certain AAV-gene therapy products targeting the GAA gene, or derivatives thereof, to treat Pompe Disease.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CureCN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September 2018, we announced a collaboration with the European consortium, CureCN, for an ImmTOR+AAV gene therapy combination product candidate in Crigler-Najjar syndrome.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Therapeutics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December 2016, we entered into a license and option agreement with Spark Therapeutics, or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closely monitoring how the spread of the coronavirus is affecting our employees, business, preclinical studies and clinical trials. In response to the spread of COVID-19, we have closed our executive offices with our administrative employees continuing their work outside of our offices and limited the number of staff in any given research and development laboratory.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2" w:name="page43"/>
    <w:bookmarkEnd w:id="42"/>
    <w:p>
      <w:pPr>
        <w:spacing w:after="0" w:line="287" w:lineRule="auto"/>
        <w:rPr>
          <w:sz w:val="20"/>
          <w:szCs w:val="20"/>
          <w:color w:val="auto"/>
        </w:rPr>
      </w:pPr>
      <w:r>
        <w:rPr>
          <w:rFonts w:ascii="Arial" w:cs="Arial" w:eastAsia="Arial" w:hAnsi="Arial"/>
          <w:sz w:val="16"/>
          <w:szCs w:val="16"/>
          <w:color w:val="auto"/>
        </w:rPr>
        <w:t>Disruptions caused by the COVID-19 pandemic may result in difficulties or delays in initiating, enrolling, conducting or completing our planned and ongoing clinical trials and the incurrence of unforeseen costs as a result of preclinical study or clinical trial delays. While the COVID-19 pandemic has not had a material impact on our clinical programs as of the date of this Quarterly Report on Form 10-Q, it could have an impact on our ability to complete the Phase 3 DISSOLVE clinical program of SEL-212, and our ability to commence preclinical and clinical studies of our gene therapy and autoimmune disease programs, and our ability to obtain supply of both active drug substances and finished drug product as well as efficient execution of the overall supply chain for SEL-212 and our other programs. We have been proactively working with our contract research organization, or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As of the date of this Quarterly Report on Form 10-Q, we believe we will have adequate supply of all material necessary to conduct our Phase 3 DISSOLVE clinical program of SEL-212 in chronic refractory gout and to begin our clinical trial in gene therapy under our collaboration with AskBio.</w:t>
      </w:r>
    </w:p>
    <w:p>
      <w:pPr>
        <w:spacing w:after="0" w:line="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this time, there is significant uncertainty relating to the trajectory of the COVID-19 pandemic and the impact of related responses. Any impact of COVID-19 on the Company's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 The outbreak of the coronavirus, COVID-19, could adversely impact our business, including our preclinical studies and clinical trials.” in Part II, Item 1A of this Quarterly Report on Form 10-Q.</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$53.4 million and $40.5 million for the nine months ended September 30, 2020 and 2019, respectively. As of September 30, 2020, we had an accumulated deficit of $389.2 million. We expect to continue to incur significant expenses and operating losses for at least the next several years as we:</w:t>
      </w:r>
    </w:p>
    <w:p>
      <w:pPr>
        <w:spacing w:after="0" w:line="76" w:lineRule="exact"/>
        <w:rPr>
          <w:sz w:val="20"/>
          <w:szCs w:val="20"/>
          <w:color w:val="auto"/>
        </w:rPr>
      </w:pPr>
    </w:p>
    <w:p>
      <w:pPr>
        <w:ind w:left="660" w:right="460" w:hanging="324"/>
        <w:spacing w:after="0" w:line="277" w:lineRule="auto"/>
        <w:rPr>
          <w:sz w:val="20"/>
          <w:szCs w:val="20"/>
          <w:color w:val="auto"/>
        </w:rPr>
      </w:pPr>
      <w:r>
        <w:rPr>
          <w:rFonts w:ascii="Arial" w:cs="Arial" w:eastAsia="Arial" w:hAnsi="Arial"/>
          <w:sz w:val="18"/>
          <w:szCs w:val="18"/>
          <w:color w:val="auto"/>
        </w:rPr>
        <w:t>– continue the research and development of our other product candidates as well as product candidates that we may be developing jointly with collaboration partners;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seek to enhance our ImmTOR platform and discover and develop additional product candidates;</w:t>
      </w:r>
    </w:p>
    <w:p>
      <w:pPr>
        <w:spacing w:after="0" w:line="117" w:lineRule="exact"/>
        <w:rPr>
          <w:sz w:val="20"/>
          <w:szCs w:val="20"/>
          <w:color w:val="auto"/>
        </w:rPr>
      </w:pPr>
    </w:p>
    <w:p>
      <w:pPr>
        <w:ind w:left="660" w:right="60" w:hanging="324"/>
        <w:spacing w:after="0" w:line="277" w:lineRule="auto"/>
        <w:rPr>
          <w:sz w:val="20"/>
          <w:szCs w:val="20"/>
          <w:color w:val="auto"/>
        </w:rPr>
      </w:pPr>
      <w:r>
        <w:rPr>
          <w:rFonts w:ascii="Arial" w:cs="Arial" w:eastAsia="Arial" w:hAnsi="Arial"/>
          <w:sz w:val="18"/>
          <w:szCs w:val="18"/>
          <w:color w:val="auto"/>
        </w:rPr>
        <w:t>– seek to enter into collaboration, licensing and other agreements, including, but not limited to research and development, and/or commercialization agreements;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seek regulatory approvals for any product candidates that successfully complete clinical trials;</w:t>
      </w:r>
    </w:p>
    <w:p>
      <w:pPr>
        <w:spacing w:after="0" w:line="117" w:lineRule="exact"/>
        <w:rPr>
          <w:sz w:val="20"/>
          <w:szCs w:val="20"/>
          <w:color w:val="auto"/>
        </w:rPr>
      </w:pPr>
    </w:p>
    <w:p>
      <w:pPr>
        <w:ind w:left="660" w:right="400" w:hanging="324"/>
        <w:spacing w:after="0" w:line="277" w:lineRule="auto"/>
        <w:rPr>
          <w:sz w:val="20"/>
          <w:szCs w:val="20"/>
          <w:color w:val="auto"/>
        </w:rPr>
      </w:pPr>
      <w:r>
        <w:rPr>
          <w:rFonts w:ascii="Arial" w:cs="Arial" w:eastAsia="Arial" w:hAnsi="Arial"/>
          <w:sz w:val="18"/>
          <w:szCs w:val="18"/>
          <w:color w:val="auto"/>
        </w:rPr>
        <w:t>– potentially establish a sales, marketing and distribution infrastructure and scales-up external manufacturing capabilities to commercialize any products for which we may obtain regulatory approval;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maintain, expand and protect our intellectual property portfolio, including through licensing arrangements; and</w:t>
      </w:r>
    </w:p>
    <w:p>
      <w:pPr>
        <w:spacing w:after="0" w:line="117" w:lineRule="exact"/>
        <w:rPr>
          <w:sz w:val="20"/>
          <w:szCs w:val="20"/>
          <w:color w:val="auto"/>
        </w:rPr>
      </w:pPr>
    </w:p>
    <w:p>
      <w:pPr>
        <w:ind w:left="660" w:right="380" w:hanging="324"/>
        <w:spacing w:after="0" w:line="277" w:lineRule="auto"/>
        <w:rPr>
          <w:sz w:val="20"/>
          <w:szCs w:val="20"/>
          <w:color w:val="auto"/>
        </w:rPr>
      </w:pPr>
      <w:r>
        <w:rPr>
          <w:rFonts w:ascii="Arial" w:cs="Arial" w:eastAsia="Arial" w:hAnsi="Arial"/>
          <w:sz w:val="18"/>
          <w:szCs w:val="18"/>
          <w:color w:val="auto"/>
        </w:rPr>
        <w:t>– 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3" w:name="page44"/>
    <w:bookmarkEnd w:id="43"/>
    <w:p>
      <w:pPr>
        <w:ind w:right="260"/>
        <w:spacing w:after="0" w:line="263" w:lineRule="auto"/>
        <w:rPr>
          <w:sz w:val="20"/>
          <w:szCs w:val="20"/>
          <w:color w:val="auto"/>
        </w:rPr>
      </w:pPr>
      <w:r>
        <w:rPr>
          <w:rFonts w:ascii="Arial" w:cs="Arial" w:eastAsia="Arial" w:hAnsi="Arial"/>
          <w:sz w:val="18"/>
          <w:szCs w:val="18"/>
          <w:color w:val="auto"/>
        </w:rPr>
        <w:t>We believe that our existing cash, cash equivalents, short term investments, and restricted cash as of September 30, 2020 will enable us to fund our operating expenses and capital expenditure requirements into the first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Quarterly Report on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program-by-program basis and primarily include CMO 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incurred a total of $280.2 million in research and development expenses from inception through September 30, 2020, with a majority of the expenses being spent on the development of SEL-212 and a prior nicotine vaccine candidate, and the remainder being spent on our various discovery and preclinical stage product candidate programs and the general expansion of our technology.</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our intention to focus on advancing our ImmTOR platform, as stated in January 2019, we have ceased ongoing work on our immune stimulation programs SELA-070 and SEL-701, and currently do not have plans to move these programs forward or to perform any additional work on either of these programs.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1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 (key projects and initiatives):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6"/>
        </w:trPr>
        <w:tc>
          <w:tcPr>
            <w:tcW w:w="5240" w:type="dxa"/>
            <w:vAlign w:val="bottom"/>
          </w:tcPr>
          <w:p>
            <w:pPr>
              <w:ind w:left="220"/>
              <w:spacing w:after="0"/>
              <w:rPr>
                <w:sz w:val="20"/>
                <w:szCs w:val="20"/>
                <w:color w:val="auto"/>
              </w:rPr>
            </w:pPr>
            <w:r>
              <w:rPr>
                <w:rFonts w:ascii="Arial" w:cs="Arial" w:eastAsia="Arial" w:hAnsi="Arial"/>
                <w:sz w:val="14"/>
                <w:szCs w:val="14"/>
                <w:color w:val="auto"/>
              </w:rPr>
              <w:t>SEL-212</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4,019</w:t>
            </w:r>
          </w:p>
        </w:tc>
        <w:tc>
          <w:tcPr>
            <w:tcW w:w="1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23,992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15,334</w:t>
            </w:r>
          </w:p>
        </w:tc>
      </w:tr>
      <w:tr>
        <w:trPr>
          <w:trHeight w:val="19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AskBio collaboration</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40" w:type="dxa"/>
            <w:vAlign w:val="bottom"/>
          </w:tcPr>
          <w:p>
            <w:pPr>
              <w:ind w:left="220"/>
              <w:spacing w:after="0"/>
              <w:rPr>
                <w:sz w:val="20"/>
                <w:szCs w:val="20"/>
                <w:color w:val="auto"/>
              </w:rPr>
            </w:pPr>
            <w:r>
              <w:rPr>
                <w:rFonts w:ascii="Arial" w:cs="Arial" w:eastAsia="Arial" w:hAnsi="Arial"/>
                <w:sz w:val="14"/>
                <w:szCs w:val="14"/>
                <w:color w:val="auto"/>
              </w:rPr>
              <w:t>SELA-070</w:t>
            </w:r>
          </w:p>
        </w:tc>
        <w:tc>
          <w:tcPr>
            <w:tcW w:w="9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9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r>
      <w:tr>
        <w:trPr>
          <w:trHeight w:val="18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3,874</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11,700</w:t>
            </w:r>
          </w:p>
        </w:tc>
      </w:tr>
      <w:tr>
        <w:trPr>
          <w:trHeight w:val="208"/>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research and development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13,960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8,104</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June 11, 2020, the Company and Sobi entered into a license and development agreement (the “Sobi License”). Pursuant to the Sobi License, clinical trial costs incurred to complete development of SEL-212, including but not limited to costs incurred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ind w:right="560"/>
        <w:spacing w:after="0" w:line="277" w:lineRule="auto"/>
        <w:rPr>
          <w:sz w:val="20"/>
          <w:szCs w:val="20"/>
          <w:color w:val="auto"/>
        </w:rPr>
      </w:pPr>
      <w:r>
        <w:rPr>
          <w:rFonts w:ascii="Arial" w:cs="Arial" w:eastAsia="Arial" w:hAnsi="Arial"/>
          <w:sz w:val="18"/>
          <w:szCs w:val="18"/>
          <w:color w:val="auto"/>
        </w:rPr>
        <w:t>while conducting and completing the Phase 3 DISSOLVE trials, will be reimbursed by Sobi. The reimbursable costs exclude any costs of additional development activities required that are related to ImmTOR and that are unrelated to SEL-212.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during each of the three and nine months ended September 30,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September 30, 2020 and December 31, 2019, we maintained cash of $0.3 million and $0.4 million, respectively,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September 30, 2020 and 2019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6"/>
                <w:szCs w:val="16"/>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6"/>
                <w:szCs w:val="16"/>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4,646</w:t>
            </w: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8"/>
              </w:rPr>
              <w:t>— %</w:t>
            </w:r>
          </w:p>
        </w:tc>
      </w:tr>
    </w:tbl>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September 30, 2020, we recognized $4.3 million under the license agreement with Sobi resulting from the shipment of clinical supply and the reimbursement of costs incurred for the Phase 3 DISSOLVE clinical program and $0.3 million for shipments under the collaboration agreement with Sarepta. During the three months ended September 30, 2019, Selecta did not recognize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September 30, 2020 and 2019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6"/>
                <w:szCs w:val="16"/>
                <w:color w:val="auto"/>
              </w:rPr>
            </w:pPr>
          </w:p>
        </w:tc>
        <w:tc>
          <w:tcPr>
            <w:tcW w:w="168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6"/>
                <w:szCs w:val="16"/>
                <w:color w:val="auto"/>
              </w:rPr>
            </w:pPr>
          </w:p>
        </w:tc>
      </w:tr>
      <w:tr>
        <w:trPr>
          <w:trHeight w:val="184"/>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13,960</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5,856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r>
    </w:tbl>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three months ended September 30, 2020</w:t>
      </w:r>
      <w:r>
        <w:rPr>
          <w:rFonts w:ascii="Arial" w:cs="Arial" w:eastAsia="Arial" w:hAnsi="Arial"/>
          <w:sz w:val="18"/>
          <w:szCs w:val="18"/>
          <w:color w:val="2C2C2C"/>
        </w:rPr>
        <w:t>, our research and development expenses increased by $5.9 million, or 72%, as com</w:t>
      </w:r>
      <w:r>
        <w:rPr>
          <w:rFonts w:ascii="Arial" w:cs="Arial" w:eastAsia="Arial" w:hAnsi="Arial"/>
          <w:sz w:val="18"/>
          <w:szCs w:val="18"/>
          <w:color w:val="auto"/>
        </w:rPr>
        <w:t>pared to 2019. The increase in cost was primarily the result of the initiation of the Phase 3 DISSOLVE clinical program.</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5" w:name="page46"/>
    <w:bookmarkEnd w:id="45"/>
    <w:p>
      <w:pPr>
        <w:ind w:right="260"/>
        <w:spacing w:after="0" w:line="261" w:lineRule="auto"/>
        <w:rPr>
          <w:sz w:val="20"/>
          <w:szCs w:val="20"/>
          <w:color w:val="auto"/>
        </w:rPr>
      </w:pPr>
      <w:r>
        <w:rPr>
          <w:rFonts w:ascii="Arial" w:cs="Arial" w:eastAsia="Arial" w:hAnsi="Arial"/>
          <w:sz w:val="18"/>
          <w:szCs w:val="18"/>
          <w:color w:val="auto"/>
        </w:rPr>
        <w:t>These costs are subject to the cost reimbursement arrangement under the license agreement with Sobi. The increase in expense was also the result of the completion of its Phase 2 COMPARE trial for SEL-212, and for the AskBio Collaboration.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September 30, 2020 and 2019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9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162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6"/>
                <w:szCs w:val="16"/>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6"/>
                <w:szCs w:val="16"/>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730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bl>
    <w:p>
      <w:pPr>
        <w:spacing w:after="0" w:line="17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the three months ended September 30, 2020, our general and administrative expenses increased by $0.7 million, or 20%, as compared to 2019. The increase in costs was the result of expenses incurred for facilities, legal and professional fees offset by decreased travel expense.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Investment income was less than $0.1 million and $0.2 million, respectively during the three months ended September 30, 2020 as compared to 2019. The decrease reflects reduced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three months ended September 30, 2020, we recognized a $0.5 million loss on extinguishment of the 2017 Term Loan. (see Note 9 to our consolidated financial statements included elsewhere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recognized minimal foreign currency fluctuations during each of the three months ended September 30,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Interest expense was $0.4 million for each of the three months ended September 30, 2020 and 2019,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three months ended September 30, 2020, we recognized a $4.8 million gain for the decrease in the fair value of warrant liabilities utilizing a Black-Scholes valuation methodology. The decrease in value was primarily driven by a decrease in the share price and a slight decrease in the discount rate this quarter (see Note 5 to our consolidated financial statements included elsewhere in this Quarterly Report on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was de minimis for each of the three months ended September 30,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three months ended September 30, 2020 was $9.7 million compared to $12.0 million for the three months ended September 30,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nine months ended September 30, 2020 and 2019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6"/>
                <w:szCs w:val="16"/>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80" w:type="dxa"/>
            <w:vAlign w:val="bottom"/>
            <w:tcBorders>
              <w:bottom w:val="single" w:sz="8" w:color="auto"/>
            </w:tcBorders>
          </w:tcPr>
          <w:p>
            <w:pPr>
              <w:spacing w:after="0"/>
              <w:rPr>
                <w:sz w:val="16"/>
                <w:szCs w:val="16"/>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4,623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201 %</w:t>
            </w:r>
          </w:p>
        </w:tc>
      </w:tr>
    </w:tbl>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September 30, 2020, we recognized $4.3 million under the license agreement with Sobi resulting from the shipment of clinical supply and the reimbursement of costs incurred for the Phase 3 DISSOLVE clinical program and $0.3 million for shipments under the collaboration agreement with Sarepta. During the nine months ended September 30, 2019, we recognized less than $0.1 million of revenue for two shipments under the collaboration agreement with Spark.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nine months ended September 30, 2020 and 2019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c>
          <w:tcPr>
            <w:tcW w:w="17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6"/>
                <w:szCs w:val="16"/>
                <w:color w:val="auto"/>
              </w:rPr>
            </w:pPr>
          </w:p>
        </w:tc>
      </w:tr>
      <w:tr>
        <w:trPr>
          <w:trHeight w:val="184"/>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11,823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r>
    </w:tbl>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nine months ended September 30, 2020</w:t>
      </w:r>
      <w:r>
        <w:rPr>
          <w:rFonts w:ascii="Arial" w:cs="Arial" w:eastAsia="Arial" w:hAnsi="Arial"/>
          <w:sz w:val="18"/>
          <w:szCs w:val="18"/>
          <w:color w:val="2C2C2C"/>
        </w:rPr>
        <w:t>, our research and development expenses increased by $11.8 million, or 43%, as com</w:t>
      </w:r>
      <w:r>
        <w:rPr>
          <w:rFonts w:ascii="Arial" w:cs="Arial" w:eastAsia="Arial" w:hAnsi="Arial"/>
          <w:sz w:val="18"/>
          <w:szCs w:val="18"/>
          <w:color w:val="auto"/>
        </w:rPr>
        <w:t>pared to 2019. The increase in cost was primarily the result of expenses incurred for the initiation of the Phase 3 DISSOLVE clinical program for SEL-212, the Phase 2 COMPARE trial and for the AskBio Collaboration.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nine months ended September 30, 2020 and 2019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6"/>
                <w:szCs w:val="16"/>
                <w:color w:val="auto"/>
              </w:rPr>
            </w:pPr>
          </w:p>
        </w:tc>
        <w:tc>
          <w:tcPr>
            <w:tcW w:w="168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6"/>
                <w:szCs w:val="16"/>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6"/>
                <w:szCs w:val="16"/>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14,155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1,838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bl>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nine months ended September 30, 2020, our general and administrative expenses increased by $1.8 million, or 15%, as compared to 2019. The increase in costs was the result of expenses for legal and professional fees offset by consulting fees and travel expenses.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Investment income was $0.3 million and $0.7 million, respectively during the nine months ended September 30, 2020 as compared to 2019. The decrease reflects reduced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the nine months ended September 30, 2020, we recognized a $0.5 million loss on extinguishment of the 2017 Term Loan. (see Note 9 to our consolidated financial statements included elsewhere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recognized minimal foreign currency gains of less than $0.1 million and minimal losses of less than $0.1 million during each of the nine months ended September 30,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was $0.8 million and $1.2 million for the nine months ended September 30, 2020 and 2019,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For the nine months ended September 30, 2020, we recognized an $3.6 million charge for the increase in the fair value of warrant liabilities utilizing a Black-Scholes valuation methodology. The increase in value was primarily driven by an increase in the share price and volatility, offset by a decreased discount rate this quarter (see Note 5 to our consolidated financial statements included elsewhere in this Quarterly Report on Form 10-Q).</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was de minimis for each of the nine months ended September 30,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nine months ended September 30, 2020 was $53.4 million compared to $40.5 million for the nine months ended September 30, 2019.</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w:t>
      </w:r>
    </w:p>
    <w:p>
      <w:pPr>
        <w:sectPr>
          <w:pgSz w:w="11900" w:h="16838" w:orient="portrait"/>
          <w:cols w:equalWidth="0" w:num="1">
            <w:col w:w="11200"/>
          </w:cols>
          <w:pgMar w:left="320" w:top="99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47" w:name="page48"/>
    <w:bookmarkEnd w:id="47"/>
    <w:p>
      <w:pPr>
        <w:ind w:right="500"/>
        <w:spacing w:after="0" w:line="277" w:lineRule="auto"/>
        <w:rPr>
          <w:sz w:val="20"/>
          <w:szCs w:val="20"/>
          <w:color w:val="auto"/>
        </w:rPr>
      </w:pPr>
      <w:r>
        <w:rPr>
          <w:rFonts w:ascii="Arial" w:cs="Arial" w:eastAsia="Arial" w:hAnsi="Arial"/>
          <w:sz w:val="18"/>
          <w:szCs w:val="18"/>
          <w:color w:val="auto"/>
        </w:rPr>
        <w:t>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inception through September 30, 2020, we have raised an aggregate of $536.5 million to fund our operations, which includes $118.5 million from the sale of preferred stock, $11.1 million in government grant funding, $36.7 million from borrowings under our credit facility, $153.3 million from our collaborations and license agreements, $64.5 million in combined net proceeds from our initial public offering, $149.3 million in combined net proceeds from private placements and follow-on offerings of our common stock, and $3.1 million in aggregate net proceeds from "at-the-market" offerings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October 8, 2020, we entered into an Option and License Agreement with IGAN Biosciences, and paid IGAN a $0.5 million one-time up-front payment.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June 13, 2020, we entered into the Sarepta Agreement. We received a $2.0 million upfront payment.</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On June 11, 2020, we entered into the Sobi License. Upon closing of the Sobi Private Placement, Selecta received $25 million for Sobi’s purchase of our common stock at $4.6156 per share and $75 million under the Sobi License.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Additionally, Sobi has agreed to fund the Phase 3 clinical program of SEL-212, which commenced in September 2020, which is expected to substantially reduce Selecta’s annual operating expenses.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On December 17, 2019, we entered into the AskBio License Agreement. Pursuant to the AskBio License Agreement, AskBio has exercised its option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exclusively license intellectual property rights covering ImmTOR to research, develop, and commercialize certain AAV gene therapy products utilizing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ImmTOR, and targeting the GAA gene, or derivatives thereof, to treat Pompe Disease. We received $7.0 million of upfront fees pursuant to the AskBio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Agreement and are eligible to receive $237 million in milestone payments, and royalties on net sales ranging from the mid-to-high single digits.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2017, we entered into a sales agreement, or the 2017 Sales Agreement, with Jefferies LLC, as sales agent, to sell shares of our common stock with an aggregate value of up to $50 million in an "at-the-market" offering. In August 2020, concurrent with the filing of an updated shelf registration statement, we entered into a new sales agreement, or the 2020 Sales Agreement, with Jefferies LLC, as sales agent, pursuant to which we may, from time to time, issue and sell common stock with an aggregate value of up to $50 million in an "at-the-market" offering. The 2017 Sales Agreement terminated pursuant to its terms in August 2020.</w:t>
      </w:r>
    </w:p>
    <w:p>
      <w:pPr>
        <w:spacing w:after="0" w:line="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Sales of common stock, if any, pursuant to the 2020 Sales Agreement, may be made in sales deemed to be an “at the market offering” as defined in Rule 415(a) of the Securities Act, including sales made directly through the Nasdaq Global Market or on any other existing trading market for our common stock. We intend to use the proceeds from the offering for working capital and other general corporate purposes. We may suspend or terminate the 2020 Sales Agreement at any time.</w:t>
      </w:r>
    </w:p>
    <w:p>
      <w:pPr>
        <w:spacing w:after="0" w:line="7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From August 11, 2017, the date we entered into the 2017 Sales Agreement, to December 31, 2019, we sold 615,453 shares of our common stock pursuant to the 2017 Sales Agreement at an average price of approximately $1.84 per share for aggregate net proceeds of $1.0 million, after deducting commissions and other transaction costs. During the nine months ended September 30, 2020, we sold 1,069,486 shares of our common stock pursuant to the 2017 Sales Agreement and 2020 Sales Agreement, as applicable, at an average price of approximately $2.16 per share for aggregate net proceeds of $2.1 million, after deducting commissions and other transaction costs.</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September 30, 2020, our cash, cash equivalents, and restricted cash were $147.6 million, of which $1.4 million was restricted cash related to lease commitments and $0.3 million was held by our Russian subsidiary designated solely for use in its operations. Our Russian subsidiary cash is consolidated for financial reporting purposes.</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31, 2020, we entered into a term loan of up to $35.0 million, consisting of term loans in an aggregate amount of $25.0 million, or the Term A Loan, and term loans in an aggregate amount of $10.0 million, or the Term B Loan, governed by a loan and security agreement between the Company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Term B</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8" w:name="page49"/>
    <w:bookmarkEnd w:id="48"/>
    <w:p>
      <w:pPr>
        <w:ind w:right="140"/>
        <w:spacing w:after="0" w:line="255" w:lineRule="auto"/>
        <w:rPr>
          <w:sz w:val="20"/>
          <w:szCs w:val="20"/>
          <w:color w:val="auto"/>
        </w:rPr>
      </w:pPr>
      <w:r>
        <w:rPr>
          <w:rFonts w:ascii="Arial" w:cs="Arial" w:eastAsia="Arial" w:hAnsi="Arial"/>
          <w:sz w:val="18"/>
          <w:szCs w:val="18"/>
          <w:color w:val="auto"/>
        </w:rPr>
        <w:t>Loan will be available, subject to the collateral agent’s discretion and customary terms and conditions, during the period commencing on the date we have delivered to Oxford and SVB evidence: (i) we or one of the our collaboration partners has enrolled its first randomized patient for a Phase 1 clinical trial evaluating the treatment of MMA, and (ii) we have enrolled the first patient in each of two Phase 3 pivotal trials evaluating SEL-212, or the Second Draw Period Milestone, and ending on the earliest of (i) the date which is thirty (30) days following the date the Second Draw Period Milestone is achieved, (ii) September 30, 2021 (iii) and the occurrence of an event of default, other than an event of default that has been waived in writing by Oxford and SVB in their sole discretion.</w:t>
      </w:r>
    </w:p>
    <w:p>
      <w:pPr>
        <w:spacing w:after="0" w:line="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effect,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 further description of the 2020 Term Loan, see Note 9 to our unaudited consolidated financial statements included elsewhere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September 30, 2020 and December 31, 2019, we had an accumulated deficit of $389.2 million and $335.8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is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believe that our existing cash, cash equivalents, and restricted cash as of September 30, 2020 will enable us to fund our operating expenses and capital expenditure requirements into the first quarter of 2023.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color w:val="auto"/>
        </w:rPr>
        <w:t>–   the number of product candidates that we pursue;</w:t>
      </w:r>
    </w:p>
    <w:p>
      <w:pPr>
        <w:spacing w:after="0" w:line="117"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our collaboration agreements remaining in effect, our entering into additional collaboration agreements and our ability to achieve milestones under these agreements;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 of manufacturing clinical supplies of our product candidates;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headcount growth and associated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scope, progress, results and costs of preclinical development, laboratory testing and clinical trials for our other product candidates;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costs, timing and outcome of regulatory review of our product candidates;</w:t>
      </w:r>
    </w:p>
    <w:p>
      <w:pPr>
        <w:spacing w:after="0" w:line="117" w:lineRule="exact"/>
        <w:rPr>
          <w:sz w:val="20"/>
          <w:szCs w:val="20"/>
          <w:color w:val="auto"/>
        </w:rPr>
      </w:pPr>
    </w:p>
    <w:p>
      <w:pPr>
        <w:ind w:left="660" w:right="400" w:hanging="324"/>
        <w:spacing w:after="0" w:line="277" w:lineRule="auto"/>
        <w:rPr>
          <w:sz w:val="20"/>
          <w:szCs w:val="20"/>
          <w:color w:val="auto"/>
        </w:rPr>
      </w:pPr>
      <w:r>
        <w:rPr>
          <w:rFonts w:ascii="Arial" w:cs="Arial" w:eastAsia="Arial" w:hAnsi="Arial"/>
          <w:sz w:val="18"/>
          <w:szCs w:val="18"/>
          <w:color w:val="auto"/>
        </w:rPr>
        <w:t>– the costs and timing of future commercialization activities, including manufacturing, marketing, sales and distribution, for any of our product candidates for which we receive marketing approval;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revenue, if any, received from commercial sales of our product candidates for which we receive marketing approval;</w:t>
      </w:r>
    </w:p>
    <w:p>
      <w:pPr>
        <w:spacing w:after="0" w:line="117" w:lineRule="exact"/>
        <w:rPr>
          <w:sz w:val="20"/>
          <w:szCs w:val="20"/>
          <w:color w:val="auto"/>
        </w:rPr>
      </w:pPr>
    </w:p>
    <w:p>
      <w:pPr>
        <w:ind w:left="660" w:right="600" w:hanging="324"/>
        <w:spacing w:after="0" w:line="277" w:lineRule="auto"/>
        <w:rPr>
          <w:sz w:val="20"/>
          <w:szCs w:val="20"/>
          <w:color w:val="auto"/>
        </w:rPr>
      </w:pPr>
      <w:r>
        <w:rPr>
          <w:rFonts w:ascii="Arial" w:cs="Arial" w:eastAsia="Arial" w:hAnsi="Arial"/>
          <w:sz w:val="18"/>
          <w:szCs w:val="18"/>
          <w:color w:val="auto"/>
        </w:rPr>
        <w:t>– the costs and timing of preparing, filing and prosecuting patent applications, maintaining and enforcing our intellectual property rights and defending any intellectual property-related claims;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effect of competing technological and market developments; and</w:t>
      </w:r>
    </w:p>
    <w:p>
      <w:pPr>
        <w:spacing w:after="0" w:line="117" w:lineRule="exact"/>
        <w:rPr>
          <w:sz w:val="20"/>
          <w:szCs w:val="20"/>
          <w:color w:val="auto"/>
        </w:rPr>
      </w:pPr>
    </w:p>
    <w:p>
      <w:pPr>
        <w:ind w:left="660" w:right="120" w:hanging="324"/>
        <w:spacing w:after="0" w:line="277" w:lineRule="auto"/>
        <w:rPr>
          <w:sz w:val="20"/>
          <w:szCs w:val="20"/>
          <w:color w:val="auto"/>
        </w:rPr>
      </w:pPr>
      <w:r>
        <w:rPr>
          <w:rFonts w:ascii="Arial" w:cs="Arial" w:eastAsia="Arial" w:hAnsi="Arial"/>
          <w:sz w:val="18"/>
          <w:szCs w:val="18"/>
          <w:color w:val="auto"/>
        </w:rPr>
        <w:t>– 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noted above, the magnitude and duration of the COVID-19 pandemic and its impact on our liquidity future funding requirements is uncertain as of the filing date of this Quarterly Report on Form 10-Q as this continues to evolve globally. See “Impact of the COVID-19” above and “Risk Factors - The outbreak of the coronavirus, COVID-19, could adversely impact our business, including our preclinical studies and clinical trials.” in Part II, Item 1A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6"/>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67"/>
        </w:trPr>
        <w:tc>
          <w:tcPr>
            <w:tcW w:w="8380" w:type="dxa"/>
            <w:vAlign w:val="bottom"/>
          </w:tcPr>
          <w:p>
            <w:pPr>
              <w:ind w:left="20"/>
              <w:spacing w:after="0"/>
              <w:rPr>
                <w:sz w:val="20"/>
                <w:szCs w:val="20"/>
                <w:color w:val="auto"/>
              </w:rPr>
            </w:pPr>
            <w:r>
              <w:rPr>
                <w:rFonts w:ascii="Arial" w:cs="Arial" w:eastAsia="Arial" w:hAnsi="Arial"/>
                <w:sz w:val="14"/>
                <w:szCs w:val="14"/>
                <w:color w:val="auto"/>
              </w:rPr>
              <w:t>Cash provided by (used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4"/>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(38,559)</w:t>
            </w:r>
          </w:p>
        </w:tc>
      </w:tr>
      <w:tr>
        <w:trPr>
          <w:trHeight w:val="186"/>
        </w:trPr>
        <w:tc>
          <w:tcPr>
            <w:tcW w:w="838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192"/>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36,507</w:t>
            </w:r>
          </w:p>
        </w:tc>
      </w:tr>
      <w:tr>
        <w:trPr>
          <w:trHeight w:val="18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11"/>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56,089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provided by operating activities for the nine months ended September 30, 2020 was $42.1 million compared to $38.6 million used in the same period in 2019. The increase in net cash provided by operating activities was primarily due to the collection of $99.5 million in deferred revenue, a $7.4 million change in accrued expenses and other liabilities, offset by $10.1 million changes in prepaid expenses, deposits and other assets and accounts payable and a $7.6 million change in accounts receivable when compared to the prior year and a $9.4 million increase in recorded net loss after adjusting for a non-cash charge of $3.6 million for the warrant liability.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2020 was $0.6 million compared to net cash provided by investing activities of $0.2 million in the same period in 2019. The net cash used in investing activities in 2020 was to purchase property and equipment. During the nine months ended September 30, 2019, the net cash provided by investing was the result of purchases of short-term investments of $18.2 million, offset by $16.4 million of maturities and $2.0 million of sales of short-term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2020 was $14.6 million compared to net cash provided by financing activities of $36.5 million in the same period in 2019. The net cash provided by financing activities in 2020 was the result of $10.3 million from the Sobi Private Placement, $24.8 million from the Term A Loan, and $2.1 million net proceeds from "at-the-market" offerings, offset by $4.4 million of issuance costs paid for December 2019 financing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0" w:name="page51"/>
    <w:bookmarkEnd w:id="50"/>
    <w:p>
      <w:pPr>
        <w:jc w:val="both"/>
        <w:ind w:right="340"/>
        <w:spacing w:after="0" w:line="263" w:lineRule="auto"/>
        <w:rPr>
          <w:sz w:val="20"/>
          <w:szCs w:val="20"/>
          <w:color w:val="auto"/>
        </w:rPr>
      </w:pPr>
      <w:r>
        <w:rPr>
          <w:rFonts w:ascii="Arial" w:cs="Arial" w:eastAsia="Arial" w:hAnsi="Arial"/>
          <w:sz w:val="18"/>
          <w:szCs w:val="18"/>
          <w:color w:val="auto"/>
        </w:rPr>
        <w:t>$19.3 million principal payment on outstanding debt. The net cash provided by financing activities in 2019 was the result of $30.9 million net proceeds from the issuance of common stock under the January 2019 Public Offering, and $5.7 million net proceeds from a private placement offering in August 2019, offset by $0.7 million principal payment on outstanding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consolidated financial statements included elsewhere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September 30, 2020, we did not have any off-balance sheet arrangements as defined in the rules and regulations of the Securities and Exchange Commission.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June 11, 2020, the Company and Sobi entered into a license and development agreement (the “Sobi License”). Pursuant to the Sobi License, clinical trial costs incurred to complete development of SEL-212, including but not limited to costs incurred while conducting and completing the Phase 3 DISSOLVE trials, will be reimbursed by Sobi. The reimbursable costs exclude any costs of additional development activities required that are related to ImmTOR and that are unrelated to SEL-212.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Revenue is recognized when a customer obtains control of promised goods or services, in an amount that reflects the consideration which the entity expects to receive in exchange for those goods or services. Pursuant to ASC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ind w:right="160"/>
        <w:spacing w:after="0" w:line="287" w:lineRule="auto"/>
        <w:rPr>
          <w:sz w:val="20"/>
          <w:szCs w:val="20"/>
          <w:color w:val="auto"/>
        </w:rPr>
      </w:pPr>
      <w:r>
        <w:rPr>
          <w:rFonts w:ascii="Arial" w:cs="Arial" w:eastAsia="Arial" w:hAnsi="Arial"/>
          <w:sz w:val="16"/>
          <w:szCs w:val="16"/>
          <w:color w:val="auto"/>
        </w:rPr>
        <w:t>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Sobi, AskBio, and Sarepta (see Note 12 to our consolidated financial statements included elsewhere in this Quarterly Report on Form 10-</w:t>
      </w:r>
    </w:p>
    <w:p>
      <w:pPr>
        <w:spacing w:after="0" w:line="2" w:lineRule="exact"/>
        <w:rPr>
          <w:sz w:val="20"/>
          <w:szCs w:val="20"/>
          <w:color w:val="auto"/>
        </w:rPr>
      </w:pPr>
    </w:p>
    <w:p>
      <w:pPr>
        <w:ind w:right="300" w:firstLine="8"/>
        <w:spacing w:after="0" w:line="260" w:lineRule="auto"/>
        <w:tabs>
          <w:tab w:leader="none" w:pos="2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satisfied over time, and revenue will be recognized using the output method, based on the proportion of actual deliveries to the total expected deliveries over the initial term.</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We currently generate our revenue through grants, collaboration and license agreements with strategic collaborators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commercialization of product candidates. Grants and license agreements with customers are accounted for in accordance with ASC</w:t>
      </w:r>
    </w:p>
    <w:p>
      <w:pPr>
        <w:ind w:left="360" w:hanging="352"/>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We analyze collaboration arrangements by first assessing whether they are within the scope of ASC Topic 808, </w:t>
      </w:r>
      <w:r>
        <w:rPr>
          <w:rFonts w:ascii="Arial" w:cs="Arial" w:eastAsia="Arial" w:hAnsi="Arial"/>
          <w:sz w:val="16"/>
          <w:szCs w:val="16"/>
          <w:i w:val="1"/>
          <w:iCs w:val="1"/>
          <w:color w:val="auto"/>
        </w:rPr>
        <w:t>Collaborative Arrangements (ASC</w:t>
      </w:r>
    </w:p>
    <w:p>
      <w:pPr>
        <w:spacing w:after="0" w:line="32" w:lineRule="exact"/>
        <w:rPr>
          <w:rFonts w:ascii="Arial" w:cs="Arial" w:eastAsia="Arial" w:hAnsi="Arial"/>
          <w:sz w:val="16"/>
          <w:szCs w:val="16"/>
          <w:color w:val="auto"/>
        </w:rPr>
      </w:pPr>
    </w:p>
    <w:p>
      <w:pPr>
        <w:ind w:right="40"/>
        <w:spacing w:after="0" w:line="285" w:lineRule="auto"/>
        <w:rPr>
          <w:rFonts w:ascii="Arial" w:cs="Arial" w:eastAsia="Arial" w:hAnsi="Arial"/>
          <w:sz w:val="16"/>
          <w:szCs w:val="16"/>
          <w:color w:val="auto"/>
        </w:rPr>
      </w:pPr>
      <w:r>
        <w:rPr>
          <w:rFonts w:ascii="Arial" w:cs="Arial" w:eastAsia="Arial" w:hAnsi="Arial"/>
          <w:sz w:val="16"/>
          <w:szCs w:val="16"/>
          <w:i w:val="1"/>
          <w:iCs w:val="1"/>
          <w:color w:val="auto"/>
        </w:rPr>
        <w:t>808)</w:t>
      </w:r>
      <w:r>
        <w:rPr>
          <w:rFonts w:ascii="Arial" w:cs="Arial" w:eastAsia="Arial" w:hAnsi="Arial"/>
          <w:sz w:val="16"/>
          <w:szCs w:val="16"/>
          <w:color w:val="auto"/>
        </w:rPr>
        <w:t>, and evaluate whether such arrangements involve joint operating activities performed by parties that are both active participants in the activities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We early adopted ASU No.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xml:space="preserve">, which provides guidance on evaluating certain transactions between collaborative arrangement participants.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(ASC 730)</w:t>
      </w:r>
      <w:r>
        <w:rPr>
          <w:rFonts w:ascii="Arial" w:cs="Arial" w:eastAsia="Arial" w:hAnsi="Arial"/>
          <w:sz w:val="16"/>
          <w:szCs w:val="16"/>
          <w:color w:val="auto"/>
        </w:rPr>
        <w:t>, and record reimbursements from counterparties as an offset to the related costs. In determining the appropriate amount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recognized as it fulfills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6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R&amp;D expenses; and (v) profit/loss sharing arising from co-promotion arrangements.</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our intellectual property is determined to be distinct from the other performance obligations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70"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w:t>
      </w:r>
    </w:p>
    <w:p>
      <w:pPr>
        <w:spacing w:after="0" w:line="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ind w:right="580"/>
        <w:spacing w:after="0" w:line="277" w:lineRule="auto"/>
        <w:rPr>
          <w:sz w:val="20"/>
          <w:szCs w:val="20"/>
          <w:color w:val="auto"/>
        </w:rPr>
      </w:pPr>
      <w:r>
        <w:rPr>
          <w:rFonts w:ascii="Arial" w:cs="Arial" w:eastAsia="Arial" w:hAnsi="Arial"/>
          <w:sz w:val="18"/>
          <w:szCs w:val="18"/>
          <w:color w:val="auto"/>
        </w:rPr>
        <w:t>optional. For optional services that are distinct, we assess if they are priced at a discount, and therefore, provide a material right to the licensee to be accounted for as separate performance obligations.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December 2019, we issued common warrants in connection with a securities purchase agreement between the Company and a group of institutional investors and certain members of our board of directors. Pursuant to the terms of these common warrants, we could be required to settle the common warrants in cash in the event of certain acquisitions of the Company and, as a result, the common warrants are required to be measured at fair value and reported as a liability on the balance sheet. We recorded the fair value of the common warrants of $40.7 million upon issuance using the Black-Scholes valuation model, and are required to revalue the common warrants at each reporting date with any changes in fair value recorded on our statement of operations. 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As of September 30, 2020, the fair value of the common warrants of $25.4 million was recorded as a long-term liability on our balance sheet, which resulted in a charge in fair value of $3.6 million for the nine months ended September 30,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account for all stock-based compensation granted to employees and non-employees using a fair value method. Stock-based compensation is measured at the grant date fair value using the Black-Scholes option pricing model and is recognized over the requisite service period of the awards, usually the vesting period, on a straight-line basis, net of estimated forfeitures. We reduce recorded stock-based compensation for estimated forfeitures. To the extent that actual forfeitures differ from management’s estimates, the differences are recorded as a cumulative adjustment in the period the estimates were adjusted. Stock-based compensation expense recognized in the consolidated financial statements is based on awards that are ultimately expected to vest.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2020 and December 31, 2019, we had cash, cash equivalents, restricted cash and investments of $147.6 million and $91.6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3" w:name="page54"/>
    <w:bookmarkEnd w:id="53"/>
    <w:p>
      <w:pPr>
        <w:ind w:right="40"/>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September 30, 2020,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identified in management’s evaluation pursuant to Rules 13a-15(d) or 15d-15(d) of the Exchange Act that occurred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3, 2020, a putative stockholder of the Company filed a shareholder derivative action purportedly on behalf of the Company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approved the private placement transaction, announced on December 18, 2019, at a price allegedly below fair value. The complaint further alleges that the four defendant directors who participated in the private placement were unjustly enriched in connection with the transaction, because they had material non-public information which allegedly caused the stock price to increase when it was made public one day after the private placement was announced. On September 25, 2020, the defendants filed a motion to dismiss.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Since inception, we have incurred significant operating losses in every year. Our net loss was $53.4 million for the nine months ended September 30, 2020, and $55.4 million and $65.3 million for each of the years ended December 31, 2019 and 2018, respectively. As of September 30, 2020, we had an accumulated deficit of $389.2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platform, identifying potential product candidates and conducting preclinical studies and our clinical 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continue the research and development of our product candidates;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seek to enhance our ImmTOR platform and discover and develop additional product candidates;</w:t>
      </w:r>
    </w:p>
    <w:p>
      <w:pPr>
        <w:spacing w:after="0" w:line="117" w:lineRule="exact"/>
        <w:rPr>
          <w:sz w:val="20"/>
          <w:szCs w:val="20"/>
          <w:color w:val="auto"/>
        </w:rPr>
      </w:pPr>
    </w:p>
    <w:p>
      <w:pPr>
        <w:ind w:left="660" w:right="460" w:hanging="324"/>
        <w:spacing w:after="0" w:line="277" w:lineRule="auto"/>
        <w:rPr>
          <w:sz w:val="20"/>
          <w:szCs w:val="20"/>
          <w:color w:val="auto"/>
        </w:rPr>
      </w:pPr>
      <w:r>
        <w:rPr>
          <w:rFonts w:ascii="Arial" w:cs="Arial" w:eastAsia="Arial" w:hAnsi="Arial"/>
          <w:sz w:val="18"/>
          <w:szCs w:val="18"/>
          <w:color w:val="auto"/>
        </w:rPr>
        <w:t>– seek to maintain and enter into collaboration, licensing and other agreements, including, but not limited to research and development, and/or commercialization agreements;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seek regulatory approvals for any product candidates that successfully complete clinical trials;</w:t>
      </w:r>
    </w:p>
    <w:p>
      <w:pPr>
        <w:spacing w:after="0" w:line="117" w:lineRule="exact"/>
        <w:rPr>
          <w:sz w:val="20"/>
          <w:szCs w:val="20"/>
          <w:color w:val="auto"/>
        </w:rPr>
      </w:pPr>
    </w:p>
    <w:p>
      <w:pPr>
        <w:ind w:left="660" w:right="480" w:hanging="324"/>
        <w:spacing w:after="0" w:line="277" w:lineRule="auto"/>
        <w:rPr>
          <w:sz w:val="20"/>
          <w:szCs w:val="20"/>
          <w:color w:val="auto"/>
        </w:rPr>
      </w:pPr>
      <w:r>
        <w:rPr>
          <w:rFonts w:ascii="Arial" w:cs="Arial" w:eastAsia="Arial" w:hAnsi="Arial"/>
          <w:sz w:val="18"/>
          <w:szCs w:val="18"/>
          <w:color w:val="auto"/>
        </w:rPr>
        <w:t>– potentially establish a sales, marketing and distribution infrastructure and scale up external manufacturing capabilities to commercialize any products for which we may obtain regulatory approval;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maintain, expand and protect our intellectual property portfolio, including through licensing arrangements;</w:t>
      </w:r>
    </w:p>
    <w:p>
      <w:pPr>
        <w:spacing w:after="0" w:line="117" w:lineRule="exact"/>
        <w:rPr>
          <w:sz w:val="20"/>
          <w:szCs w:val="20"/>
          <w:color w:val="auto"/>
        </w:rPr>
      </w:pPr>
    </w:p>
    <w:p>
      <w:pPr>
        <w:ind w:left="660" w:right="380" w:hanging="324"/>
        <w:spacing w:after="0" w:line="277" w:lineRule="auto"/>
        <w:rPr>
          <w:sz w:val="20"/>
          <w:szCs w:val="20"/>
          <w:color w:val="auto"/>
        </w:rPr>
      </w:pPr>
      <w:r>
        <w:rPr>
          <w:rFonts w:ascii="Arial" w:cs="Arial" w:eastAsia="Arial" w:hAnsi="Arial"/>
          <w:sz w:val="18"/>
          <w:szCs w:val="18"/>
          <w:color w:val="auto"/>
        </w:rPr>
        <w:t>–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62" w:lineRule="exact"/>
        <w:rPr>
          <w:sz w:val="20"/>
          <w:szCs w:val="20"/>
          <w:color w:val="auto"/>
        </w:rPr>
      </w:pPr>
    </w:p>
    <w:p>
      <w:pPr>
        <w:ind w:left="660" w:right="80" w:hanging="324"/>
        <w:spacing w:after="0" w:line="277" w:lineRule="auto"/>
        <w:rPr>
          <w:sz w:val="20"/>
          <w:szCs w:val="20"/>
          <w:color w:val="auto"/>
        </w:rPr>
      </w:pPr>
      <w:r>
        <w:rPr>
          <w:rFonts w:ascii="Arial" w:cs="Arial" w:eastAsia="Arial" w:hAnsi="Arial"/>
          <w:sz w:val="18"/>
          <w:szCs w:val="18"/>
          <w:color w:val="auto"/>
        </w:rPr>
        <w:t>– experience any delays or encounter any issues with any of the above, including, but not limited to, failed studies, complex results, safety issues or other regulatory, manufacturing or scale-up challenges.</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color w:val="auto"/>
        </w:rPr>
        <w:t>development. We are only in the preliminary stages of most of these activities. We may never succeed in these activities and, even if we do, may never generate revenues that are significant enough to achieve profitability.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to develop our gene therapy program, including our collaboration with AskBio, research and develop our autoimmune program,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believe that our existing cash, cash equivalents and restricted cash as of September 30, 2020 will enable us to fund our operating expenses and capital expenditure requirements into the first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scope, progress, results and costs of our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number of product candidates that we pursue;</w:t>
      </w:r>
    </w:p>
    <w:p>
      <w:pPr>
        <w:spacing w:after="0" w:line="117"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color w:val="auto"/>
        </w:rPr>
        <w:t>– our collaboration agreements remaining in effect, our entering into additional collaboration agreements and our ability to achieve milestones under these agreements;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 of manufacturing clinical supplies of our product candidates;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headcount growth and associated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scope, progress, results and costs of preclinical development, laboratory testing and clinical trials for our other product candidates;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costs, timing and outcome of regulatory review of our product candidates;</w:t>
      </w:r>
    </w:p>
    <w:p>
      <w:pPr>
        <w:spacing w:after="0" w:line="117" w:lineRule="exact"/>
        <w:rPr>
          <w:sz w:val="20"/>
          <w:szCs w:val="20"/>
          <w:color w:val="auto"/>
        </w:rPr>
      </w:pPr>
    </w:p>
    <w:p>
      <w:pPr>
        <w:ind w:left="660" w:right="420" w:hanging="324"/>
        <w:spacing w:after="0" w:line="277" w:lineRule="auto"/>
        <w:rPr>
          <w:sz w:val="20"/>
          <w:szCs w:val="20"/>
          <w:color w:val="auto"/>
        </w:rPr>
      </w:pPr>
      <w:r>
        <w:rPr>
          <w:rFonts w:ascii="Arial" w:cs="Arial" w:eastAsia="Arial" w:hAnsi="Arial"/>
          <w:sz w:val="18"/>
          <w:szCs w:val="18"/>
          <w:color w:val="auto"/>
        </w:rPr>
        <w:t>– the costs and timing of future commercialization activities, including manufacturing, marketing, sales and distribution, for any of our product candidates for which we receive marketing approval;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revenue, if any, received from commercial sales of our product candidates for which we receive marketing approval;</w:t>
      </w:r>
    </w:p>
    <w:p>
      <w:pPr>
        <w:spacing w:after="0" w:line="117" w:lineRule="exact"/>
        <w:rPr>
          <w:sz w:val="20"/>
          <w:szCs w:val="20"/>
          <w:color w:val="auto"/>
        </w:rPr>
      </w:pPr>
    </w:p>
    <w:p>
      <w:pPr>
        <w:ind w:left="660" w:right="620" w:hanging="324"/>
        <w:spacing w:after="0" w:line="277" w:lineRule="auto"/>
        <w:rPr>
          <w:sz w:val="20"/>
          <w:szCs w:val="20"/>
          <w:color w:val="auto"/>
        </w:rPr>
      </w:pPr>
      <w:r>
        <w:rPr>
          <w:rFonts w:ascii="Arial" w:cs="Arial" w:eastAsia="Arial" w:hAnsi="Arial"/>
          <w:sz w:val="18"/>
          <w:szCs w:val="18"/>
          <w:color w:val="auto"/>
        </w:rPr>
        <w:t>– the costs and timing of preparing, filing and prosecuting patent applications, maintaining and enforcing our intellectual property rights and defending any intellectual property-related claims;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effect of competing technological and market developments; and</w:t>
      </w:r>
    </w:p>
    <w:p>
      <w:pPr>
        <w:spacing w:after="0" w:line="117" w:lineRule="exact"/>
        <w:rPr>
          <w:sz w:val="20"/>
          <w:szCs w:val="20"/>
          <w:color w:val="auto"/>
        </w:rPr>
      </w:pPr>
    </w:p>
    <w:p>
      <w:pPr>
        <w:ind w:left="660" w:right="140" w:hanging="324"/>
        <w:spacing w:after="0" w:line="277" w:lineRule="auto"/>
        <w:rPr>
          <w:sz w:val="20"/>
          <w:szCs w:val="20"/>
          <w:color w:val="auto"/>
        </w:rPr>
      </w:pPr>
      <w:r>
        <w:rPr>
          <w:rFonts w:ascii="Arial" w:cs="Arial" w:eastAsia="Arial" w:hAnsi="Arial"/>
          <w:sz w:val="18"/>
          <w:szCs w:val="18"/>
          <w:color w:val="auto"/>
        </w:rPr>
        <w:t>– 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6" w:name="page57"/>
    <w:bookmarkEnd w:id="56"/>
    <w:p>
      <w:pPr>
        <w:spacing w:after="0" w:line="275" w:lineRule="auto"/>
        <w:rPr>
          <w:sz w:val="20"/>
          <w:szCs w:val="20"/>
          <w:color w:val="auto"/>
        </w:rPr>
      </w:pPr>
      <w:r>
        <w:rPr>
          <w:rFonts w:ascii="Arial" w:cs="Arial" w:eastAsia="Arial" w:hAnsi="Arial"/>
          <w:sz w:val="17"/>
          <w:szCs w:val="17"/>
          <w:color w:val="auto"/>
        </w:rPr>
        <w:t>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commenced active operations in 2007, and our operations to date have been limited to developing and researching our ImmTOR platform and related products and programs, building our intellectual property portfolio, developing our supply chain, planning our business, raising capital and providing general and administrative support for these operations. Other than SEL-212, which we have agreed to license to Sobi (except as to Greater China), our product candidates are still in preclinical development. While we have completed our early development clinical trials and a Phase 2 clinical trial for SEL-212, we have not completed a clinical trial for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 future success or viability may not be as accurate as they could be if we had a longer operating history.</w:t>
      </w:r>
    </w:p>
    <w:p>
      <w:pPr>
        <w:spacing w:after="0" w:line="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31, 2020, we entered into a term loan of up to $35.0 million, consisting of term loans in an aggregate amount of $25.0 million, or the Term A Loan, and term loans in an aggregate amount of $10.0 million, or the Term B Loan, governed by a loan and security agreement between the Company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Term B Loan will be available, subject to the collateral agent’s discretion and customary terms and conditions, during the period commencing on the date we have delivered to Oxford and SVB evidence: (i) we or one of the our collaboration partners has enrolled its first randomized patient for a Phase 1 clinical trial evaluating the treatment of MMA, and (ii) we have enrolled the first patient in each of two Phase 3 pivotal trials evaluating SEL-212, or the Second Draw Period Milestone, and ending on the earliest of (i) the date which is thirty (30) days following the date the Second Draw Period Milestone is achieved, (ii) September 30, 2021 (iii) and the occurrence of an event of default, other than an event of default that has been waived in writing by Oxford and SVB in their sole discretion.</w:t>
      </w:r>
    </w:p>
    <w:p>
      <w:pPr>
        <w:spacing w:after="0" w:line="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effect,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7" w:name="page58"/>
    <w:bookmarkEnd w:id="57"/>
    <w:p>
      <w:pPr>
        <w:ind w:right="40"/>
        <w:spacing w:after="0" w:line="277" w:lineRule="auto"/>
        <w:rPr>
          <w:sz w:val="20"/>
          <w:szCs w:val="20"/>
          <w:color w:val="auto"/>
        </w:rPr>
      </w:pPr>
      <w:r>
        <w:rPr>
          <w:rFonts w:ascii="Arial" w:cs="Arial" w:eastAsia="Arial" w:hAnsi="Arial"/>
          <w:sz w:val="18"/>
          <w:szCs w:val="18"/>
          <w:color w:val="auto"/>
        </w:rPr>
        <w:t>For a further description of the 2020 Term Loan, see Note 9 to our unaudited consolidated financial statements included elsewhere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Tax Cuts and Jobs Act of 2017, or TCJA, has significantly changed the U.S. federal income taxation of U.S. corporations. The TCJA remains unclear in many respects and has been, and may continue to be, the subject of amendments and technical corrections, as well as interpretations and implementing regulations by the Treasury and Internal Revenue Service, which have lessened or increased certain adverse impacts of the TCJA and may do so in the future. We continue to work with our tax advisors and auditors to determine the full impact that the TCJA will have on us. We urge our investors to consult with their legal and tax advisors with respect to the TCJA.</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the TCJA, although the treatment of NOLs arising on or before December 31, 2017 has generally not changed, NOLs arising on or after January 1, 2018 will generally only be able to offset 80% of taxable income. Subsequently, in March 2020, the CARES Act removed the 80% limitation rule for 2018 through 2020, and on or after January 1, 2021, 80% is reinstated. This change may require us to pay federal income taxes in future years despite generating a loss for federal income tax purposes in prior years.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product candidates are based on our ImmTOR platform, which is an unproven approach designed to induce antigen-specific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of our product candidates are derived from our ImmTOR platform, which is an unproven approach to induce antigen-specific immune tolerance and to mitigate the immunogenicity of biologic therapies currently being implemented to treat patients. We are primarily developing our ImmTOR platform to improve and enable activity in biologics that are designed to treat rare and serious diseases.</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developing two gene therapy product candidates for rare inborn errors of metabolism. Our lead gene therapy program is a potential gene therapy treatment for methylmalonic acidemia, or MMA</w:t>
      </w:r>
      <w:r>
        <w:rPr>
          <w:rFonts w:ascii="Arial" w:cs="Arial" w:eastAsia="Arial" w:hAnsi="Arial"/>
          <w:sz w:val="17"/>
          <w:szCs w:val="17"/>
          <w:color w:val="333333"/>
        </w:rPr>
        <w:t>.</w:t>
      </w:r>
      <w:r>
        <w:rPr>
          <w:rFonts w:ascii="Arial" w:cs="Arial" w:eastAsia="Arial" w:hAnsi="Arial"/>
          <w:sz w:val="17"/>
          <w:szCs w:val="17"/>
          <w:color w:val="auto"/>
        </w:rPr>
        <w:t xml:space="preserve"> In August 2019, we entered into a feasibility study and license agreement with AskBio, or the AskBio Collaboration Agreement, pursuant to which we and AskBio agreed to conduct proof of concept studies to potentially validate the use of our ImmTOR platform in conjunction with an adeno-associated virus, or AAV, gene therapy for the treatment of MMA, to mitigate the formation of neutralizing anti-AAV capsid antibodies. If the proof of concept studies are successful, we will proceed with a collaboration to pursue the development and commercialization of AAV gene therapy product candidates utilizing ImmTOR for the treatment of certain agreed serious rare and orphan genetic diseases. Our proprietary gene therapy product candidate, SEL-313, is being developed to treat OTC deficiency and is currently in preclinical development. We have several additional programs in development with our collaborators. In September 2018, we announced a collaboration with the European consortium, CureCN, for an ImmTOR+AAV gene therapy combination product candidate in Crigler-Najjar syndrome.</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at an early stage of development of most of our product candidates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design, initiation and completion of preclinical studies and clinical trials with positive results;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58" w:name="page59"/>
    <w:bookmarkEnd w:id="58"/>
    <w:p>
      <w:pPr>
        <w:ind w:left="660" w:right="760" w:hanging="324"/>
        <w:spacing w:after="0" w:line="277" w:lineRule="auto"/>
        <w:rPr>
          <w:sz w:val="20"/>
          <w:szCs w:val="20"/>
          <w:color w:val="auto"/>
        </w:rPr>
      </w:pPr>
      <w:r>
        <w:rPr>
          <w:rFonts w:ascii="Arial" w:cs="Arial" w:eastAsia="Arial" w:hAnsi="Arial"/>
          <w:sz w:val="18"/>
          <w:szCs w:val="18"/>
          <w:color w:val="auto"/>
        </w:rPr>
        <w:t>– reliance on third parties (including but not limited to collaborators, licensees, clinical research organizations and contract manufacturing organizations);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receipt of marketing approvals from applicable regulatory authorities;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obtaining and maintaining patent and trade secret protection and regulatory exclusivity for our product candidates;</w:t>
      </w:r>
    </w:p>
    <w:p>
      <w:pPr>
        <w:spacing w:after="0" w:line="117" w:lineRule="exact"/>
        <w:rPr>
          <w:sz w:val="20"/>
          <w:szCs w:val="20"/>
          <w:color w:val="auto"/>
        </w:rPr>
      </w:pPr>
    </w:p>
    <w:p>
      <w:pPr>
        <w:ind w:left="660" w:right="80" w:hanging="324"/>
        <w:spacing w:after="0" w:line="277" w:lineRule="auto"/>
        <w:rPr>
          <w:sz w:val="20"/>
          <w:szCs w:val="20"/>
          <w:color w:val="auto"/>
        </w:rPr>
      </w:pPr>
      <w:r>
        <w:rPr>
          <w:rFonts w:ascii="Arial" w:cs="Arial" w:eastAsia="Arial" w:hAnsi="Arial"/>
          <w:sz w:val="18"/>
          <w:szCs w:val="18"/>
          <w:color w:val="auto"/>
        </w:rPr>
        <w:t>– making arrangements with third-party manufacturers for, or establishing, commercial manufacturing capabilities, or establishing such capabilities ourselves;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launching commercial sales of our products, if and when approved, whether alone or in collaboration with others;</w:t>
      </w:r>
    </w:p>
    <w:p>
      <w:pPr>
        <w:spacing w:after="0" w:line="117" w:lineRule="exact"/>
        <w:rPr>
          <w:sz w:val="20"/>
          <w:szCs w:val="20"/>
          <w:color w:val="auto"/>
        </w:rPr>
      </w:pPr>
    </w:p>
    <w:p>
      <w:pPr>
        <w:ind w:left="660" w:right="180" w:hanging="324"/>
        <w:spacing w:after="0" w:line="277" w:lineRule="auto"/>
        <w:rPr>
          <w:sz w:val="20"/>
          <w:szCs w:val="20"/>
          <w:color w:val="auto"/>
        </w:rPr>
      </w:pPr>
      <w:r>
        <w:rPr>
          <w:rFonts w:ascii="Arial" w:cs="Arial" w:eastAsia="Arial" w:hAnsi="Arial"/>
          <w:sz w:val="18"/>
          <w:szCs w:val="18"/>
          <w:color w:val="auto"/>
        </w:rPr>
        <w:t>– our existing collaboration agreements remaining in effect and our ability to enter into new collaborations throughout the development process as appropriate, from preclinical studies through to commercialization;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acceptance of our products, if and when approved, by patients and the medical community;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effectively competing with other therapies;</w:t>
      </w:r>
    </w:p>
    <w:p>
      <w:pPr>
        <w:spacing w:after="0" w:line="117" w:lineRule="exact"/>
        <w:rPr>
          <w:sz w:val="20"/>
          <w:szCs w:val="20"/>
          <w:color w:val="auto"/>
        </w:rPr>
      </w:pPr>
    </w:p>
    <w:p>
      <w:pPr>
        <w:ind w:left="660" w:right="660" w:hanging="324"/>
        <w:spacing w:after="0" w:line="277" w:lineRule="auto"/>
        <w:rPr>
          <w:sz w:val="20"/>
          <w:szCs w:val="20"/>
          <w:color w:val="auto"/>
        </w:rPr>
      </w:pPr>
      <w:r>
        <w:rPr>
          <w:rFonts w:ascii="Arial" w:cs="Arial" w:eastAsia="Arial" w:hAnsi="Arial"/>
          <w:sz w:val="18"/>
          <w:szCs w:val="18"/>
          <w:color w:val="auto"/>
        </w:rPr>
        <w:t>– obtaining and maintaining coverage and adequate reimbursement by third-party payors, including government payors, for our products, if approved;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protecting our rights in our intellectual property portfolio;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operating without infringing or violating the valid and enforceable patents or other intellectual property of third parties;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maintaining an acceptable safety profile of our products following approval; and</w:t>
      </w:r>
    </w:p>
    <w:p>
      <w:pPr>
        <w:spacing w:after="0" w:line="117" w:lineRule="exact"/>
        <w:rPr>
          <w:sz w:val="20"/>
          <w:szCs w:val="20"/>
          <w:color w:val="auto"/>
        </w:rPr>
      </w:pPr>
    </w:p>
    <w:p>
      <w:pPr>
        <w:ind w:left="660" w:right="560" w:hanging="324"/>
        <w:spacing w:after="0" w:line="277" w:lineRule="auto"/>
        <w:rPr>
          <w:sz w:val="20"/>
          <w:szCs w:val="20"/>
          <w:color w:val="auto"/>
        </w:rPr>
      </w:pPr>
      <w:r>
        <w:rPr>
          <w:rFonts w:ascii="Arial" w:cs="Arial" w:eastAsia="Arial" w:hAnsi="Arial"/>
          <w:sz w:val="18"/>
          <w:szCs w:val="18"/>
          <w:color w:val="auto"/>
        </w:rPr>
        <w:t>– maintaining and growing an organization of scientists and business people who can develop and commercialize our product candidates and technology.</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cannot be certain that our approach will lead to the development or approval of marketable products. In addition: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due to the unproven nature of our ImmTOR therapeutics, there may be different efficacy and safety rates in various indications;</w:t>
      </w:r>
    </w:p>
    <w:p>
      <w:pPr>
        <w:spacing w:after="0" w:line="117" w:lineRule="exact"/>
        <w:rPr>
          <w:sz w:val="20"/>
          <w:szCs w:val="20"/>
          <w:color w:val="auto"/>
        </w:rPr>
      </w:pPr>
    </w:p>
    <w:p>
      <w:pPr>
        <w:ind w:left="660" w:right="60" w:hanging="324"/>
        <w:spacing w:after="0" w:line="263" w:lineRule="auto"/>
        <w:rPr>
          <w:sz w:val="20"/>
          <w:szCs w:val="20"/>
          <w:color w:val="auto"/>
        </w:rPr>
      </w:pPr>
      <w:r>
        <w:rPr>
          <w:rFonts w:ascii="Arial" w:cs="Arial" w:eastAsia="Arial" w:hAnsi="Arial"/>
          <w:sz w:val="18"/>
          <w:szCs w:val="18"/>
          <w:color w:val="auto"/>
        </w:rPr>
        <w:t>– the FDA or other regulatory agencies may lack experience in evaluating the efficacy and safety of products based on ImmTOR which could result in a longer-than-expected regulatory review process, increase our expected development costs or delay or prevent commercialization of our product candidates.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4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ImmTOR platform. We may experience problems or delays in developing such product candidates and any such problems or delays (i) may result in unanticipated costs and time to develop our product candidates and/or (ii) may not be resolved in a satisfactory manner.</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9" w:name="page60"/>
    <w:bookmarkEnd w:id="59"/>
    <w:p>
      <w:pPr>
        <w:ind w:right="140"/>
        <w:spacing w:after="0" w:line="255" w:lineRule="auto"/>
        <w:rPr>
          <w:sz w:val="20"/>
          <w:szCs w:val="20"/>
          <w:color w:val="auto"/>
        </w:rPr>
      </w:pPr>
      <w:r>
        <w:rPr>
          <w:rFonts w:ascii="Arial" w:cs="Arial" w:eastAsia="Arial" w:hAnsi="Arial"/>
          <w:sz w:val="18"/>
          <w:szCs w:val="18"/>
          <w:color w:val="auto"/>
        </w:rPr>
        <w:t>continue to change in the future. For example, the FDA established the Office of Tissues and Advanced Therapies within its Center for Biologics Evaluation and Research, or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similar framework is in place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the clinical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ind w:right="60"/>
        <w:spacing w:after="0" w:line="257" w:lineRule="auto"/>
        <w:rPr>
          <w:sz w:val="20"/>
          <w:szCs w:val="20"/>
          <w:color w:val="auto"/>
        </w:rPr>
      </w:pPr>
      <w:r>
        <w:rPr>
          <w:rFonts w:ascii="Arial" w:cs="Arial" w:eastAsia="Arial" w:hAnsi="Arial"/>
          <w:sz w:val="18"/>
          <w:szCs w:val="18"/>
          <w:color w:val="auto"/>
        </w:rPr>
        <w:t>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8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product candidate, SEL-212, which has been licensed to Sobi (except as to Greater China), was evaluated in a Phase 2 clinical program that was initiated in October 2016 and the final patient's last visit occurred in January 2019. In March 2019, we initiated COMPARE, a Phase 2 clinical trial designed to directly compare the safety, efficacy and tolerability of SEL-212 to the currently FDA-approved uricase therapy, KRYSTEXXA, for the treatment of patients with chronic refractory gout, and completed our targeted enrollment of the COMPARE trial in December 2019. Under the Sobi License, we will have operational oversight of the Phase 3 DISSOLVE clinical program of SEL-212 (DISSOLVE I and DISSOLVE II) that commenced in September 2020, at Sobi's expense. For a further description of the Sobi License, see “Management’s Discussion and Analysis of Financial Condition and Results of Operations-Licenses and Collaborations-Swedish Orphan Biovitrum.”</w:t>
      </w:r>
    </w:p>
    <w:p>
      <w:pPr>
        <w:spacing w:after="0" w:line="6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Aside from SEL-212, which has been licensed to Sobi (except as to Greater China), our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from our Phase 2 head-to-head (COMPARE) study of SEL-212, including interim results, may not be predictive of future results. Moreover, we may not be able to complete, or may be required to deviate from the current clinical trial protocol for a variety of reasons.</w:t>
      </w:r>
    </w:p>
    <w:p>
      <w:pPr>
        <w:spacing w:after="0" w:line="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the Company to abandon development of SEL-403. In the SEL-212 Phase 1/2 clinical program, multiple SAEs have occurred, and future SAEs may occur causing the Company to incur additional costs or experience delays in completing, or causing the Company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1" w:name="page62"/>
    <w:bookmarkEnd w:id="61"/>
    <w:p>
      <w:pPr>
        <w:ind w:right="60"/>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We expect that we and Sobi will need to conduct more than one Phase 3 trial for SEL-212 for a chronic refractory gout indication in order to gain approval from the FDA. Even if we and Sobi conduct more than one Phase 3 trial for SEL-212, the FDA may not accept the data, and may delay, limit or deny approval of SEL-212, which could have an impact on the timing of development milestone payments owed to us by Sobi.</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clinical trials of our product candidates may produce unfavorable, incomplete or inconclusive results;</w:t>
      </w:r>
    </w:p>
    <w:p>
      <w:pPr>
        <w:spacing w:after="0" w:line="117" w:lineRule="exact"/>
        <w:rPr>
          <w:sz w:val="20"/>
          <w:szCs w:val="20"/>
          <w:color w:val="auto"/>
        </w:rPr>
      </w:pPr>
    </w:p>
    <w:p>
      <w:pPr>
        <w:ind w:left="660" w:right="540" w:hanging="324"/>
        <w:spacing w:after="0" w:line="277" w:lineRule="auto"/>
        <w:rPr>
          <w:sz w:val="20"/>
          <w:szCs w:val="20"/>
          <w:color w:val="auto"/>
        </w:rPr>
      </w:pPr>
      <w:r>
        <w:rPr>
          <w:rFonts w:ascii="Arial" w:cs="Arial" w:eastAsia="Arial" w:hAnsi="Arial"/>
          <w:sz w:val="18"/>
          <w:szCs w:val="18"/>
          <w:color w:val="auto"/>
        </w:rPr>
        <w:t>– regulators or institutional review boards may not authorize us or our investigators to commence a clinical trial or conduct a clinical trial at a prospective trial site;</w:t>
      </w:r>
    </w:p>
    <w:p>
      <w:pPr>
        <w:spacing w:after="0" w:line="62" w:lineRule="exact"/>
        <w:rPr>
          <w:sz w:val="20"/>
          <w:szCs w:val="20"/>
          <w:color w:val="auto"/>
        </w:rPr>
      </w:pPr>
    </w:p>
    <w:p>
      <w:pPr>
        <w:ind w:left="660" w:right="200" w:hanging="324"/>
        <w:spacing w:after="0" w:line="277" w:lineRule="auto"/>
        <w:rPr>
          <w:sz w:val="20"/>
          <w:szCs w:val="20"/>
          <w:color w:val="auto"/>
        </w:rPr>
      </w:pPr>
      <w:r>
        <w:rPr>
          <w:rFonts w:ascii="Arial" w:cs="Arial" w:eastAsia="Arial" w:hAnsi="Arial"/>
          <w:sz w:val="18"/>
          <w:szCs w:val="18"/>
          <w:color w:val="auto"/>
        </w:rPr>
        <w:t>– we may experience delays in reaching, or fail to reach, agreement on acceptable terms with contract research organizations, or CROs, or clinical trial sites;</w:t>
      </w:r>
    </w:p>
    <w:p>
      <w:pPr>
        <w:spacing w:after="0" w:line="62" w:lineRule="exact"/>
        <w:rPr>
          <w:sz w:val="20"/>
          <w:szCs w:val="20"/>
          <w:color w:val="auto"/>
        </w:rPr>
      </w:pPr>
    </w:p>
    <w:p>
      <w:pPr>
        <w:ind w:left="660" w:right="300" w:hanging="324"/>
        <w:spacing w:after="0" w:line="263" w:lineRule="auto"/>
        <w:rPr>
          <w:sz w:val="20"/>
          <w:szCs w:val="20"/>
          <w:color w:val="auto"/>
        </w:rPr>
      </w:pPr>
      <w:r>
        <w:rPr>
          <w:rFonts w:ascii="Arial" w:cs="Arial" w:eastAsia="Arial" w:hAnsi="Arial"/>
          <w:sz w:val="18"/>
          <w:szCs w:val="18"/>
          <w:color w:val="auto"/>
        </w:rPr>
        <w:t>– 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number of clinical trial sites required for clinical trials of our product candidates may be larger than we expect;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our third-party contractors may fail to comply with regulatory requirements or meet their contractual obligations to us in a timely manner, or at all;</w:t>
      </w:r>
    </w:p>
    <w:p>
      <w:pPr>
        <w:spacing w:after="0" w:line="140"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we may have to suspend or terminate clinical trials of our product candidates for various reasons, including a finding that the participants are being exposed to unacceptable health risks;</w:t>
      </w:r>
    </w:p>
    <w:p>
      <w:pPr>
        <w:spacing w:after="0" w:line="62" w:lineRule="exact"/>
        <w:rPr>
          <w:sz w:val="20"/>
          <w:szCs w:val="20"/>
          <w:color w:val="auto"/>
        </w:rPr>
      </w:pPr>
    </w:p>
    <w:p>
      <w:pPr>
        <w:ind w:left="660" w:right="720" w:hanging="324"/>
        <w:spacing w:after="0" w:line="277" w:lineRule="auto"/>
        <w:rPr>
          <w:sz w:val="20"/>
          <w:szCs w:val="20"/>
          <w:color w:val="auto"/>
        </w:rPr>
      </w:pPr>
      <w:r>
        <w:rPr>
          <w:rFonts w:ascii="Arial" w:cs="Arial" w:eastAsia="Arial" w:hAnsi="Arial"/>
          <w:sz w:val="18"/>
          <w:szCs w:val="18"/>
          <w:color w:val="auto"/>
        </w:rPr>
        <w:t>– investigators, regulators, data safety monitoring boards or institutional review boards may require that we or our investigators suspend or terminate clinical research, or we may decide to do so ourselves;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investigators may deviate from the trial protocol, fail to conduct the trial in accordance with regulatory requirements or misreport study data;</w:t>
      </w:r>
    </w:p>
    <w:p>
      <w:pPr>
        <w:spacing w:after="0" w:line="128" w:lineRule="exact"/>
        <w:rPr>
          <w:sz w:val="20"/>
          <w:szCs w:val="20"/>
          <w:color w:val="auto"/>
        </w:rPr>
      </w:pPr>
    </w:p>
    <w:p>
      <w:pPr>
        <w:ind w:left="660" w:right="360" w:hanging="324"/>
        <w:spacing w:after="0" w:line="277" w:lineRule="auto"/>
        <w:rPr>
          <w:sz w:val="20"/>
          <w:szCs w:val="20"/>
          <w:color w:val="auto"/>
        </w:rPr>
      </w:pPr>
      <w:r>
        <w:rPr>
          <w:rFonts w:ascii="Arial" w:cs="Arial" w:eastAsia="Arial" w:hAnsi="Arial"/>
          <w:sz w:val="18"/>
          <w:szCs w:val="18"/>
          <w:color w:val="auto"/>
        </w:rPr>
        <w:t>– 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sz w:val="20"/>
          <w:szCs w:val="20"/>
          <w:color w:val="auto"/>
        </w:rPr>
      </w:pPr>
    </w:p>
    <w:p>
      <w:pPr>
        <w:ind w:left="660" w:right="40" w:hanging="324"/>
        <w:spacing w:after="0" w:line="263" w:lineRule="auto"/>
        <w:rPr>
          <w:sz w:val="20"/>
          <w:szCs w:val="20"/>
          <w:color w:val="auto"/>
        </w:rPr>
      </w:pPr>
      <w:r>
        <w:rPr>
          <w:rFonts w:ascii="Arial" w:cs="Arial" w:eastAsia="Arial" w:hAnsi="Arial"/>
          <w:sz w:val="18"/>
          <w:szCs w:val="18"/>
          <w:color w:val="auto"/>
        </w:rPr>
        <w:t>– 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regulators may revise the requirements for approving our product candidates, or such requirements may not be as we expect;</w:t>
      </w:r>
    </w:p>
    <w:p>
      <w:pPr>
        <w:spacing w:after="0" w:line="117" w:lineRule="exact"/>
        <w:rPr>
          <w:sz w:val="20"/>
          <w:szCs w:val="20"/>
          <w:color w:val="auto"/>
        </w:rPr>
      </w:pPr>
    </w:p>
    <w:p>
      <w:pPr>
        <w:ind w:left="660" w:right="340" w:hanging="324"/>
        <w:spacing w:after="0" w:line="263" w:lineRule="auto"/>
        <w:rPr>
          <w:sz w:val="20"/>
          <w:szCs w:val="20"/>
          <w:color w:val="auto"/>
        </w:rPr>
      </w:pPr>
      <w:r>
        <w:rPr>
          <w:rFonts w:ascii="Arial" w:cs="Arial" w:eastAsia="Arial" w:hAnsi="Arial"/>
          <w:sz w:val="18"/>
          <w:szCs w:val="18"/>
          <w:color w:val="auto"/>
        </w:rPr>
        <w:t>– 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75" w:lineRule="exact"/>
        <w:rPr>
          <w:sz w:val="20"/>
          <w:szCs w:val="20"/>
          <w:color w:val="auto"/>
        </w:rPr>
      </w:pPr>
    </w:p>
    <w:p>
      <w:pPr>
        <w:ind w:left="660" w:right="100" w:hanging="324"/>
        <w:spacing w:after="0" w:line="277" w:lineRule="auto"/>
        <w:rPr>
          <w:sz w:val="20"/>
          <w:szCs w:val="20"/>
          <w:color w:val="auto"/>
        </w:rPr>
      </w:pPr>
      <w:r>
        <w:rPr>
          <w:rFonts w:ascii="Arial" w:cs="Arial" w:eastAsia="Arial" w:hAnsi="Arial"/>
          <w:sz w:val="18"/>
          <w:szCs w:val="18"/>
          <w:color w:val="auto"/>
        </w:rPr>
        <w:t>– regarding trials managed by our existing or any future collaborators, our collaborators may face any of the above issues, and may conduct clinical trials in ways they view as advantageous to them but potentially suboptimal for us.</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be delayed in obtaining marketing approval for our product candidates, if at all;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lose the support of collaborators, requiring us to bear more of the burden of research and development;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not obtain marketing approval at all;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obtain marketing approval in some countries and not in others;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obtain approval for indications or patient populations that are not as broad as intended or desired;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   obtain approval with labeling that includes significant use or distribution restrictions or safety warnings;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be subject to additional post-marketing testing requirements; or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have a product removed from the market after obtaining marketing approval.</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8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example, SEL-212, which has been licensed to Sobi (except as to Greater China), is being developed for the treatment of chronic refractory gout, which affects approximately 160,000 patients in the United States. Accordingly, there is a limited number of patients who could enroll in our clinical studies for SEL-212.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severity of the disease under investigation;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patient eligibility criteria for the study in question;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perceived risks and benefits of the product candidate under study;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availability of other treatments for the disease under investigation;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existence of competing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efforts to facilitate timely enrollment in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investigators engagement with, or enthusiasm about, the trial;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payments for participating in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patient referral practices of physicians;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design of the trial;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ability to monitor patients adequately during and after treatment;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proximity and availability of clinical trial sites for prospective patients.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63" w:name="page64"/>
    <w:bookmarkEnd w:id="63"/>
    <w:p>
      <w:pPr>
        <w:ind w:right="40"/>
        <w:spacing w:after="0" w:line="259" w:lineRule="auto"/>
        <w:rPr>
          <w:sz w:val="20"/>
          <w:szCs w:val="20"/>
          <w:color w:val="auto"/>
        </w:rPr>
      </w:pPr>
      <w:r>
        <w:rPr>
          <w:rFonts w:ascii="Arial" w:cs="Arial" w:eastAsia="Arial" w:hAnsi="Arial"/>
          <w:sz w:val="18"/>
          <w:szCs w:val="18"/>
          <w:color w:val="auto"/>
        </w:rPr>
        <w:t>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outbreak of the coronavirus disease, COVID-19, may continue to adversely impact our business, including our preclinical studies and clinical trials.</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December 2019, a strain of coronavirus, which causes COVID-19, was reported to have surfaced in Wuhan, China. Since then, the COVID-19 coronavirus has spread to multiple countries, including the United States, where we have planned or ongoing preclinical studies and clinical trials. On March 11, 2020, the World Health Organization declared the outbreak of COVID-19 as a global pandemic. On March 23, 2020, the governor of Massachusetts ordered the closure of all non-essential businesses effective March 24, 2020. On May 18, 2020, the governor issued an order outlining the phased reopening of workplaces and imposing workplace safety measures to address COVID-19. Because of the nature of our operations, we have been considered to be an essential business so, to date, our operations have only been partially affected by the orders.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executive office with our administrative employees continuing their work outside of our office and limited the number of staff in any given research and development laboratory. If the COVID-19 coronavirus continues to spread in the United States and elsewhere, we may experience disruptions that could severely impact our business, preclinical studies and clinical trials, including:</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delays in receiving approval from local regulatory authorities to initiate our planned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delays or difficulties in enrolling patients in our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delays or difficulties in clinical site initiation, including difficulties in recruiting clinical site investigators and clinical site staff;</w:t>
      </w:r>
    </w:p>
    <w:p>
      <w:pPr>
        <w:spacing w:after="0" w:line="117" w:lineRule="exact"/>
        <w:rPr>
          <w:sz w:val="20"/>
          <w:szCs w:val="20"/>
          <w:color w:val="auto"/>
        </w:rPr>
      </w:pPr>
    </w:p>
    <w:p>
      <w:pPr>
        <w:ind w:left="660" w:right="100" w:hanging="324"/>
        <w:spacing w:after="0" w:line="277" w:lineRule="auto"/>
        <w:rPr>
          <w:sz w:val="20"/>
          <w:szCs w:val="20"/>
          <w:color w:val="auto"/>
        </w:rPr>
      </w:pPr>
      <w:r>
        <w:rPr>
          <w:rFonts w:ascii="Arial" w:cs="Arial" w:eastAsia="Arial" w:hAnsi="Arial"/>
          <w:sz w:val="18"/>
          <w:szCs w:val="18"/>
          <w:color w:val="auto"/>
        </w:rPr>
        <w:t>– delays in clinical sites receiving the supplies and materials needed to conduct our clinical trials, such as ImmTOR including interruption in global shipping that may affect the transport of clinical trial materials;</w:t>
      </w:r>
    </w:p>
    <w:p>
      <w:pPr>
        <w:spacing w:after="0" w:line="62" w:lineRule="exact"/>
        <w:rPr>
          <w:sz w:val="20"/>
          <w:szCs w:val="20"/>
          <w:color w:val="auto"/>
        </w:rPr>
      </w:pPr>
    </w:p>
    <w:p>
      <w:pPr>
        <w:ind w:left="660" w:right="160" w:hanging="324"/>
        <w:spacing w:after="0" w:line="277" w:lineRule="auto"/>
        <w:rPr>
          <w:sz w:val="20"/>
          <w:szCs w:val="20"/>
          <w:color w:val="auto"/>
        </w:rPr>
      </w:pPr>
      <w:r>
        <w:rPr>
          <w:rFonts w:ascii="Arial" w:cs="Arial" w:eastAsia="Arial" w:hAnsi="Arial"/>
          <w:sz w:val="18"/>
          <w:szCs w:val="18"/>
          <w:color w:val="auto"/>
        </w:rPr>
        <w:t>– 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62" w:lineRule="exact"/>
        <w:rPr>
          <w:sz w:val="20"/>
          <w:szCs w:val="20"/>
          <w:color w:val="auto"/>
        </w:rPr>
      </w:pPr>
    </w:p>
    <w:p>
      <w:pPr>
        <w:ind w:left="660" w:right="260" w:hanging="324"/>
        <w:spacing w:after="0" w:line="277" w:lineRule="auto"/>
        <w:rPr>
          <w:sz w:val="20"/>
          <w:szCs w:val="20"/>
          <w:color w:val="auto"/>
        </w:rPr>
      </w:pPr>
      <w:r>
        <w:rPr>
          <w:rFonts w:ascii="Arial" w:cs="Arial" w:eastAsia="Arial" w:hAnsi="Arial"/>
          <w:sz w:val="18"/>
          <w:szCs w:val="18"/>
          <w:color w:val="auto"/>
        </w:rPr>
        <w:t>– diversion of healthcare resources away from the conduct of clinical trials, including the diversion of hospitals and clinics serving as our clinical trial sites and hospital and clinic staff supporting the conduct of our clinical trials;</w:t>
      </w:r>
    </w:p>
    <w:p>
      <w:pPr>
        <w:spacing w:after="0" w:line="62" w:lineRule="exact"/>
        <w:rPr>
          <w:sz w:val="20"/>
          <w:szCs w:val="20"/>
          <w:color w:val="auto"/>
        </w:rPr>
      </w:pPr>
    </w:p>
    <w:p>
      <w:pPr>
        <w:ind w:left="660" w:right="20" w:hanging="324"/>
        <w:spacing w:after="0" w:line="263" w:lineRule="auto"/>
        <w:rPr>
          <w:sz w:val="20"/>
          <w:szCs w:val="20"/>
          <w:color w:val="auto"/>
        </w:rPr>
      </w:pPr>
      <w:r>
        <w:rPr>
          <w:rFonts w:ascii="Arial" w:cs="Arial" w:eastAsia="Arial" w:hAnsi="Arial"/>
          <w:sz w:val="18"/>
          <w:szCs w:val="18"/>
          <w:color w:val="auto"/>
        </w:rPr>
        <w:t>– 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75"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interruptions or delays in preclinical studies due to restricted or limited operations at our research and development laboratory facility;</w:t>
      </w:r>
    </w:p>
    <w:p>
      <w:pPr>
        <w:spacing w:after="0" w:line="117" w:lineRule="exact"/>
        <w:rPr>
          <w:sz w:val="20"/>
          <w:szCs w:val="20"/>
          <w:color w:val="auto"/>
        </w:rPr>
      </w:pPr>
    </w:p>
    <w:p>
      <w:pPr>
        <w:ind w:left="660" w:right="640" w:hanging="324"/>
        <w:spacing w:after="0" w:line="277" w:lineRule="auto"/>
        <w:rPr>
          <w:sz w:val="20"/>
          <w:szCs w:val="20"/>
          <w:color w:val="auto"/>
        </w:rPr>
      </w:pPr>
      <w:r>
        <w:rPr>
          <w:rFonts w:ascii="Arial" w:cs="Arial" w:eastAsia="Arial" w:hAnsi="Arial"/>
          <w:sz w:val="18"/>
          <w:szCs w:val="18"/>
          <w:color w:val="auto"/>
        </w:rPr>
        <w:t>– delays in necessary interactions with local regulators, ethics committees and other important agencies and contractors due to limitations in employee resources or forced furlough of government employees;</w:t>
      </w:r>
    </w:p>
    <w:p>
      <w:pPr>
        <w:spacing w:after="0" w:line="62" w:lineRule="exact"/>
        <w:rPr>
          <w:sz w:val="20"/>
          <w:szCs w:val="20"/>
          <w:color w:val="auto"/>
        </w:rPr>
      </w:pPr>
    </w:p>
    <w:p>
      <w:pPr>
        <w:ind w:left="660" w:right="820" w:hanging="324"/>
        <w:spacing w:after="0" w:line="277" w:lineRule="auto"/>
        <w:rPr>
          <w:sz w:val="20"/>
          <w:szCs w:val="20"/>
          <w:color w:val="auto"/>
        </w:rPr>
      </w:pPr>
      <w:r>
        <w:rPr>
          <w:rFonts w:ascii="Arial" w:cs="Arial" w:eastAsia="Arial" w:hAnsi="Arial"/>
          <w:sz w:val="18"/>
          <w:szCs w:val="18"/>
          <w:color w:val="auto"/>
        </w:rPr>
        <w:t>– 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refusal of the FDA to accept data from clinical trials in affected geographies;</w:t>
      </w:r>
    </w:p>
    <w:p>
      <w:pPr>
        <w:spacing w:after="0" w:line="117" w:lineRule="exact"/>
        <w:rPr>
          <w:sz w:val="20"/>
          <w:szCs w:val="20"/>
          <w:color w:val="auto"/>
        </w:rPr>
      </w:pPr>
    </w:p>
    <w:p>
      <w:pPr>
        <w:ind w:left="660" w:right="40" w:hanging="324"/>
        <w:spacing w:after="0" w:line="277" w:lineRule="auto"/>
        <w:rPr>
          <w:sz w:val="20"/>
          <w:szCs w:val="20"/>
          <w:color w:val="auto"/>
        </w:rPr>
      </w:pPr>
      <w:r>
        <w:rPr>
          <w:rFonts w:ascii="Arial" w:cs="Arial" w:eastAsia="Arial" w:hAnsi="Arial"/>
          <w:sz w:val="18"/>
          <w:szCs w:val="18"/>
          <w:color w:val="auto"/>
        </w:rPr>
        <w:t>– changes to the clinical endpoints, statistical analysis plan, or enrollment plans for ongoing clinical trials due to limitations in patients, resources, or sites due to COVID-19;</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interruption or delays to our sourced discovery and clinical activities;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ind w:left="340"/>
        <w:spacing w:after="0"/>
        <w:rPr>
          <w:sz w:val="20"/>
          <w:szCs w:val="20"/>
          <w:color w:val="auto"/>
        </w:rPr>
      </w:pPr>
      <w:r>
        <w:rPr>
          <w:rFonts w:ascii="Arial" w:cs="Arial" w:eastAsia="Arial" w:hAnsi="Arial"/>
          <w:sz w:val="17"/>
          <w:szCs w:val="17"/>
          <w:color w:val="auto"/>
        </w:rPr>
        <w:t>–   impacts from prolonged remote work arrangements, such as increased cybersecurity risks and strains on our business continuity plans.</w:t>
      </w:r>
    </w:p>
    <w:p>
      <w:pPr>
        <w:spacing w:after="0" w:line="1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foreign regulatory requirements that could burden or limit our ability to conduct our clinical trials;</w:t>
      </w:r>
    </w:p>
    <w:p>
      <w:pPr>
        <w:spacing w:after="0" w:line="117" w:lineRule="exact"/>
        <w:rPr>
          <w:sz w:val="20"/>
          <w:szCs w:val="20"/>
          <w:color w:val="auto"/>
        </w:rPr>
      </w:pPr>
    </w:p>
    <w:p>
      <w:pPr>
        <w:ind w:left="660" w:right="420" w:hanging="324"/>
        <w:spacing w:after="0" w:line="277" w:lineRule="auto"/>
        <w:rPr>
          <w:sz w:val="20"/>
          <w:szCs w:val="20"/>
          <w:color w:val="auto"/>
        </w:rPr>
      </w:pPr>
      <w:r>
        <w:rPr>
          <w:rFonts w:ascii="Arial" w:cs="Arial" w:eastAsia="Arial" w:hAnsi="Arial"/>
          <w:sz w:val="18"/>
          <w:szCs w:val="18"/>
          <w:color w:val="auto"/>
        </w:rPr>
        <w:t>– increased costs and heightened supply constraints associated with the acquisition of standard of care drugs and/or combination or comparator agents for which we may bear responsibility in certain jurisdictions;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administrative burdens of conducting clinical trials under multiple foreign regulatory schema;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foreign exchange fluctuations;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more burdensome manufacturing, customs, shipment and storage requirements;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cultural differences in medical practice and clinical research;</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lack of consistency in standard of care from country to country;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diminished protection of intellectual property in some countries;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changes in country or regional regulatory requirements.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5" w:name="page66"/>
    <w:bookmarkEnd w:id="65"/>
    <w:p>
      <w:pPr>
        <w:ind w:right="2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interim, top-line, or preliminary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5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ind w:left="420"/>
        <w:spacing w:after="0"/>
        <w:rPr>
          <w:sz w:val="20"/>
          <w:szCs w:val="20"/>
          <w:color w:val="auto"/>
        </w:rPr>
      </w:pPr>
      <w:r>
        <w:rPr>
          <w:rFonts w:ascii="Arial" w:cs="Arial" w:eastAsia="Arial" w:hAnsi="Arial"/>
          <w:sz w:val="18"/>
          <w:szCs w:val="18"/>
          <w:color w:val="auto"/>
        </w:rPr>
        <w:t>–   the FDA or comparable foreign regulatory authorities may disagree with the design or implementation of our clinical trials;</w:t>
      </w:r>
    </w:p>
    <w:p>
      <w:pPr>
        <w:spacing w:after="0" w:line="117" w:lineRule="exact"/>
        <w:rPr>
          <w:sz w:val="20"/>
          <w:szCs w:val="20"/>
          <w:color w:val="auto"/>
        </w:rPr>
      </w:pPr>
    </w:p>
    <w:p>
      <w:pPr>
        <w:ind w:left="740" w:right="120" w:hanging="324"/>
        <w:spacing w:after="0" w:line="277" w:lineRule="auto"/>
        <w:rPr>
          <w:sz w:val="20"/>
          <w:szCs w:val="20"/>
          <w:color w:val="auto"/>
        </w:rPr>
      </w:pPr>
      <w:r>
        <w:rPr>
          <w:rFonts w:ascii="Arial" w:cs="Arial" w:eastAsia="Arial" w:hAnsi="Arial"/>
          <w:sz w:val="18"/>
          <w:szCs w:val="18"/>
          <w:color w:val="auto"/>
        </w:rPr>
        <w:t>– we may be unable to demonstrate to the satisfaction of the FDA or comparable foreign regulatory authorities that a product candidate is safe and effective for its proposed indication;</w:t>
      </w:r>
    </w:p>
    <w:p>
      <w:pPr>
        <w:spacing w:after="0" w:line="62" w:lineRule="exact"/>
        <w:rPr>
          <w:sz w:val="20"/>
          <w:szCs w:val="20"/>
          <w:color w:val="auto"/>
        </w:rPr>
      </w:pPr>
    </w:p>
    <w:p>
      <w:pPr>
        <w:ind w:left="740" w:right="60" w:hanging="324"/>
        <w:spacing w:after="0" w:line="277" w:lineRule="auto"/>
        <w:rPr>
          <w:sz w:val="20"/>
          <w:szCs w:val="20"/>
          <w:color w:val="auto"/>
        </w:rPr>
      </w:pPr>
      <w:r>
        <w:rPr>
          <w:rFonts w:ascii="Arial" w:cs="Arial" w:eastAsia="Arial" w:hAnsi="Arial"/>
          <w:sz w:val="18"/>
          <w:szCs w:val="18"/>
          <w:color w:val="auto"/>
        </w:rPr>
        <w:t>– the results of clinical trials may not meet the level of statistical significance required by the FDA or comparable foreign regulatory authorities for approval;</w:t>
      </w:r>
    </w:p>
    <w:p>
      <w:pPr>
        <w:spacing w:after="0" w:line="62" w:lineRule="exact"/>
        <w:rPr>
          <w:sz w:val="20"/>
          <w:szCs w:val="20"/>
          <w:color w:val="auto"/>
        </w:rPr>
      </w:pPr>
    </w:p>
    <w:p>
      <w:pPr>
        <w:ind w:left="740" w:right="420" w:hanging="324"/>
        <w:spacing w:after="0" w:line="277" w:lineRule="auto"/>
        <w:rPr>
          <w:sz w:val="20"/>
          <w:szCs w:val="20"/>
          <w:color w:val="auto"/>
        </w:rPr>
      </w:pPr>
      <w:r>
        <w:rPr>
          <w:rFonts w:ascii="Arial" w:cs="Arial" w:eastAsia="Arial" w:hAnsi="Arial"/>
          <w:sz w:val="18"/>
          <w:szCs w:val="18"/>
          <w:color w:val="auto"/>
        </w:rPr>
        <w:t>– serious and unexpected drug-related side effects experienced by participants in our clinical trials or by individuals using drugs similar to our product candidates;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we may be unable to demonstrate that a product candidate’s clinical and other benefits outweigh its safety risks;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the FDA or comparable foreign regulatory authorities may disagree with our interpretation of data from preclinical studies or clinical trials;</w:t>
      </w:r>
    </w:p>
    <w:p>
      <w:pPr>
        <w:spacing w:after="0" w:line="128" w:lineRule="exact"/>
        <w:rPr>
          <w:sz w:val="20"/>
          <w:szCs w:val="20"/>
          <w:color w:val="auto"/>
        </w:rPr>
      </w:pPr>
    </w:p>
    <w:p>
      <w:pPr>
        <w:ind w:left="740" w:right="200" w:hanging="324"/>
        <w:spacing w:after="0" w:line="342" w:lineRule="auto"/>
        <w:rPr>
          <w:sz w:val="20"/>
          <w:szCs w:val="20"/>
          <w:color w:val="auto"/>
        </w:rPr>
      </w:pPr>
      <w:r>
        <w:rPr>
          <w:rFonts w:ascii="Arial" w:cs="Arial" w:eastAsia="Arial" w:hAnsi="Arial"/>
          <w:sz w:val="16"/>
          <w:szCs w:val="16"/>
          <w:color w:val="auto"/>
        </w:rPr>
        <w:t>– 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5" w:lineRule="exact"/>
        <w:rPr>
          <w:sz w:val="20"/>
          <w:szCs w:val="20"/>
          <w:color w:val="auto"/>
        </w:rPr>
      </w:pPr>
    </w:p>
    <w:p>
      <w:pPr>
        <w:ind w:left="740" w:right="200" w:hanging="324"/>
        <w:spacing w:after="0" w:line="277" w:lineRule="auto"/>
        <w:rPr>
          <w:sz w:val="20"/>
          <w:szCs w:val="20"/>
          <w:color w:val="auto"/>
        </w:rPr>
      </w:pPr>
      <w:r>
        <w:rPr>
          <w:rFonts w:ascii="Arial" w:cs="Arial" w:eastAsia="Arial" w:hAnsi="Arial"/>
          <w:sz w:val="18"/>
          <w:szCs w:val="18"/>
          <w:color w:val="auto"/>
        </w:rPr>
        <w:t>– the FDA’s or the applicable foreign regulatory agency may disagree regarding the formulation, labeling and/or the specifications of our product candidates;</w:t>
      </w:r>
    </w:p>
    <w:p>
      <w:pPr>
        <w:spacing w:after="0" w:line="62" w:lineRule="exact"/>
        <w:rPr>
          <w:sz w:val="20"/>
          <w:szCs w:val="20"/>
          <w:color w:val="auto"/>
        </w:rPr>
      </w:pPr>
    </w:p>
    <w:p>
      <w:pPr>
        <w:ind w:left="740" w:right="160" w:hanging="324"/>
        <w:spacing w:after="0" w:line="277" w:lineRule="auto"/>
        <w:rPr>
          <w:sz w:val="20"/>
          <w:szCs w:val="20"/>
          <w:color w:val="auto"/>
        </w:rPr>
      </w:pPr>
      <w:r>
        <w:rPr>
          <w:rFonts w:ascii="Arial" w:cs="Arial" w:eastAsia="Arial" w:hAnsi="Arial"/>
          <w:sz w:val="18"/>
          <w:szCs w:val="18"/>
          <w:color w:val="auto"/>
        </w:rPr>
        <w:t>– the FDA or comparable foreign regulatory authorities may fail to approve the manufacturing processes or facilities of third-party manufacturers with which we contract for clinical and commercial supplies; and</w:t>
      </w:r>
    </w:p>
    <w:p>
      <w:pPr>
        <w:spacing w:after="0" w:line="62" w:lineRule="exact"/>
        <w:rPr>
          <w:sz w:val="20"/>
          <w:szCs w:val="20"/>
          <w:color w:val="auto"/>
        </w:rPr>
      </w:pPr>
    </w:p>
    <w:p>
      <w:pPr>
        <w:ind w:left="740" w:right="100" w:hanging="324"/>
        <w:spacing w:after="0" w:line="277" w:lineRule="auto"/>
        <w:rPr>
          <w:sz w:val="20"/>
          <w:szCs w:val="20"/>
          <w:color w:val="auto"/>
        </w:rPr>
      </w:pPr>
      <w:r>
        <w:rPr>
          <w:rFonts w:ascii="Arial" w:cs="Arial" w:eastAsia="Arial" w:hAnsi="Arial"/>
          <w:sz w:val="18"/>
          <w:szCs w:val="18"/>
          <w:color w:val="auto"/>
        </w:rPr>
        <w:t>– the approval policies or regulations of the FDA or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assure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69" w:lineRule="exact"/>
        <w:rPr>
          <w:sz w:val="20"/>
          <w:szCs w:val="20"/>
          <w:color w:val="auto"/>
        </w:rPr>
      </w:pPr>
    </w:p>
    <w:p>
      <w:pPr>
        <w:ind w:right="780"/>
        <w:spacing w:after="0" w:line="375" w:lineRule="auto"/>
        <w:rPr>
          <w:sz w:val="20"/>
          <w:szCs w:val="20"/>
          <w:color w:val="auto"/>
        </w:rPr>
      </w:pPr>
      <w:r>
        <w:rPr>
          <w:rFonts w:ascii="Arial" w:cs="Arial" w:eastAsia="Arial" w:hAnsi="Arial"/>
          <w:sz w:val="15"/>
          <w:szCs w:val="15"/>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ind w:right="70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5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7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the SEL-212 multi-year clinical development program requiring multiple clinical trials resulted in the use of different formulations of ImmTOR. While we do not believe that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drug-related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regulatory authorities may withdraw approvals of such product;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regulatory authorities may require the addition of labeling statements, such as a “black box” warning or a contraindication;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regulatory authorities may impose additional restrictions on the marketing of, or the manufacturing processes for, the particular product;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may be required to create a medication guide outlining the risks of such side effects for distribution to patients;</w:t>
      </w:r>
    </w:p>
    <w:p>
      <w:pPr>
        <w:spacing w:after="0" w:line="117" w:lineRule="exact"/>
        <w:rPr>
          <w:sz w:val="20"/>
          <w:szCs w:val="20"/>
          <w:color w:val="auto"/>
        </w:rPr>
      </w:pPr>
    </w:p>
    <w:p>
      <w:pPr>
        <w:ind w:left="660" w:right="680" w:hanging="324"/>
        <w:spacing w:after="0" w:line="277" w:lineRule="auto"/>
        <w:rPr>
          <w:sz w:val="20"/>
          <w:szCs w:val="20"/>
          <w:color w:val="auto"/>
        </w:rPr>
      </w:pPr>
      <w:r>
        <w:rPr>
          <w:rFonts w:ascii="Arial" w:cs="Arial" w:eastAsia="Arial" w:hAnsi="Arial"/>
          <w:sz w:val="18"/>
          <w:szCs w:val="18"/>
          <w:color w:val="auto"/>
        </w:rPr>
        <w:t>– we could be sued and held liable for harm caused to patients, or become subject to fines, injunctions or the imposition of civil or criminal penalties;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reputation may suffer; and</w:t>
      </w:r>
    </w:p>
    <w:p>
      <w:pPr>
        <w:spacing w:after="0" w:line="117" w:lineRule="exact"/>
        <w:rPr>
          <w:sz w:val="20"/>
          <w:szCs w:val="20"/>
          <w:color w:val="auto"/>
        </w:rPr>
      </w:pPr>
    </w:p>
    <w:p>
      <w:pPr>
        <w:ind w:left="660" w:right="180" w:hanging="324"/>
        <w:spacing w:after="0" w:line="277" w:lineRule="auto"/>
        <w:rPr>
          <w:sz w:val="20"/>
          <w:szCs w:val="20"/>
          <w:color w:val="auto"/>
        </w:rPr>
      </w:pPr>
      <w:r>
        <w:rPr>
          <w:rFonts w:ascii="Arial" w:cs="Arial" w:eastAsia="Arial" w:hAnsi="Arial"/>
          <w:sz w:val="18"/>
          <w:szCs w:val="18"/>
          <w:color w:val="auto"/>
        </w:rPr>
        <w:t>– we could be required to develop a risk evaluation and mitigation strategy (REMS) plan to prevent, monitor and/or manage a specific serious risk by informing, educating and/or reinforcing actions to reduce the frequency and/or severity of the event.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8" w:name="page69"/>
    <w:bookmarkEnd w:id="68"/>
    <w:p>
      <w:pPr>
        <w:ind w:right="8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6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obtain the biologic pegadricase, a component of SEL-212,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whether as a result of a natural disaster, public health emergency, such as the COVID-19 pandemic, failure to comply with regulatory requirements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as a result of the COVID-19 pandemic, certain of our suppliers and CMOs in the United States, China and other countries may be affected, which could disrupt their activities. We could face difficulty sourcing key components necessary to produce supply of SEL-212, which may negatively affect our clinical development activities and our agreement with Sobi. If the COVID-19 coronavirus further impacts U.S. business operations, including our CMOs and suppliers, we could face additional disruption to our supply chain that could affect the supply of drug product for both the preclinical studies and clinical trials. Additionally, as our CMOs are producers of drug substances and drug products, including vaccines and therapeutics, they could be compelled by a national government, or choose themselves, to shift their resources to the production of a COVID-19 coronavirus vaccine and/or therapeutics for COVID-19, which could disrupt any scheduled drug substance or drug product batches we may have and may prevent us from obtaining supplies for our programs in a timely manner to meet our development timelines.</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labor costs could continue to rise as wage rates increase due to increased demand for skilled laborers and the availability of skilled labor declines in China.</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ind w:right="340"/>
        <w:spacing w:after="0" w:line="277" w:lineRule="auto"/>
        <w:rPr>
          <w:sz w:val="20"/>
          <w:szCs w:val="20"/>
          <w:color w:val="auto"/>
        </w:rPr>
      </w:pPr>
      <w:r>
        <w:rPr>
          <w:rFonts w:ascii="Arial" w:cs="Arial" w:eastAsia="Arial" w:hAnsi="Arial"/>
          <w:sz w:val="18"/>
          <w:szCs w:val="18"/>
          <w:color w:val="auto"/>
        </w:rPr>
        <w:t>unable to successfully manufacture our gene therapy preclinical materials through a third party or scale up the manufacture of our gene therapy product candidates for clinical testing or commercialization, if at all.</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62" w:lineRule="exact"/>
        <w:rPr>
          <w:sz w:val="20"/>
          <w:szCs w:val="20"/>
          <w:color w:val="auto"/>
        </w:rPr>
      </w:pPr>
    </w:p>
    <w:p>
      <w:pPr>
        <w:ind w:left="660" w:right="480" w:hanging="324"/>
        <w:spacing w:after="0" w:line="277" w:lineRule="auto"/>
        <w:rPr>
          <w:sz w:val="20"/>
          <w:szCs w:val="20"/>
          <w:color w:val="auto"/>
        </w:rPr>
      </w:pPr>
      <w:r>
        <w:rPr>
          <w:rFonts w:ascii="Arial" w:cs="Arial" w:eastAsia="Arial" w:hAnsi="Arial"/>
          <w:sz w:val="18"/>
          <w:szCs w:val="18"/>
          <w:color w:val="auto"/>
        </w:rPr>
        <w:t>– inability, failure or unwillingness of third-party manufacturers to comply with regulatory requirements, maintain quality assurance, meet our needs, specifications or schedules or continue to supply products to us;</w:t>
      </w:r>
    </w:p>
    <w:p>
      <w:pPr>
        <w:spacing w:after="0" w:line="62" w:lineRule="exact"/>
        <w:rPr>
          <w:sz w:val="20"/>
          <w:szCs w:val="20"/>
          <w:color w:val="auto"/>
        </w:rPr>
      </w:pPr>
    </w:p>
    <w:p>
      <w:pPr>
        <w:ind w:left="660" w:right="220" w:hanging="324"/>
        <w:spacing w:after="0" w:line="277" w:lineRule="auto"/>
        <w:rPr>
          <w:sz w:val="20"/>
          <w:szCs w:val="20"/>
          <w:color w:val="auto"/>
        </w:rPr>
      </w:pPr>
      <w:r>
        <w:rPr>
          <w:rFonts w:ascii="Arial" w:cs="Arial" w:eastAsia="Arial" w:hAnsi="Arial"/>
          <w:sz w:val="18"/>
          <w:szCs w:val="18"/>
          <w:color w:val="auto"/>
        </w:rPr>
        <w:t>– reduced control we have over product development, including with respect to our lead product candidate, due to our reliance on such third-party manufacturers,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breach of manufacturing agreements by the third-party manufacturers;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misappropriation or disclosure of our proprietary information, including our trade secrets and know-how;</w:t>
      </w:r>
    </w:p>
    <w:p>
      <w:pPr>
        <w:spacing w:after="0" w:line="117" w:lineRule="exact"/>
        <w:rPr>
          <w:sz w:val="20"/>
          <w:szCs w:val="20"/>
          <w:color w:val="auto"/>
        </w:rPr>
      </w:pPr>
    </w:p>
    <w:p>
      <w:pPr>
        <w:ind w:left="660" w:right="100" w:hanging="324"/>
        <w:spacing w:after="0" w:line="263" w:lineRule="auto"/>
        <w:rPr>
          <w:sz w:val="20"/>
          <w:szCs w:val="20"/>
          <w:color w:val="auto"/>
        </w:rPr>
      </w:pPr>
      <w:r>
        <w:rPr>
          <w:rFonts w:ascii="Arial" w:cs="Arial" w:eastAsia="Arial" w:hAnsi="Arial"/>
          <w:sz w:val="18"/>
          <w:szCs w:val="18"/>
          <w:color w:val="auto"/>
        </w:rPr>
        <w:t>– 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termination or nonrenewal of agreements by third-party manufacturers at times that are costly or inconvenient for us.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5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70"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entered into collaborations with other parties, including pharmaceutical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the Company, and certain collaborations, licenses and agreements may result in increased expenditures by the Company. Our existing collaborations, and any future collaborations we enter into, may pose a number of risks, including the following: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color w:val="auto"/>
        </w:rPr>
        <w:t>–   collaborators have significant discretion in determining the efforts and resources that they will apply to these collaborations;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collaborators may not perform their obligations as expected;</w:t>
      </w:r>
    </w:p>
    <w:p>
      <w:pPr>
        <w:spacing w:after="0" w:line="117" w:lineRule="exact"/>
        <w:rPr>
          <w:sz w:val="20"/>
          <w:szCs w:val="20"/>
          <w:color w:val="auto"/>
        </w:rPr>
      </w:pPr>
    </w:p>
    <w:p>
      <w:pPr>
        <w:ind w:left="660" w:right="60" w:hanging="324"/>
        <w:spacing w:after="0" w:line="286" w:lineRule="auto"/>
        <w:rPr>
          <w:sz w:val="20"/>
          <w:szCs w:val="20"/>
          <w:color w:val="auto"/>
        </w:rPr>
      </w:pPr>
      <w:r>
        <w:rPr>
          <w:rFonts w:ascii="Arial" w:cs="Arial" w:eastAsia="Arial" w:hAnsi="Arial"/>
          <w:sz w:val="17"/>
          <w:szCs w:val="17"/>
          <w:color w:val="auto"/>
        </w:rPr>
        <w:t>– 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57" w:lineRule="exact"/>
        <w:rPr>
          <w:sz w:val="20"/>
          <w:szCs w:val="20"/>
          <w:color w:val="auto"/>
        </w:rPr>
      </w:pPr>
    </w:p>
    <w:p>
      <w:pPr>
        <w:ind w:left="660" w:right="40" w:hanging="324"/>
        <w:spacing w:after="0" w:line="277" w:lineRule="auto"/>
        <w:rPr>
          <w:sz w:val="20"/>
          <w:szCs w:val="20"/>
          <w:color w:val="auto"/>
        </w:rPr>
      </w:pPr>
      <w:r>
        <w:rPr>
          <w:rFonts w:ascii="Arial" w:cs="Arial" w:eastAsia="Arial" w:hAnsi="Arial"/>
          <w:sz w:val="18"/>
          <w:szCs w:val="18"/>
          <w:color w:val="auto"/>
        </w:rPr>
        <w:t>– 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sz w:val="20"/>
          <w:szCs w:val="20"/>
          <w:color w:val="auto"/>
        </w:rPr>
      </w:pPr>
    </w:p>
    <w:p>
      <w:pPr>
        <w:ind w:left="660" w:right="120" w:hanging="324"/>
        <w:spacing w:after="0" w:line="259" w:lineRule="auto"/>
        <w:rPr>
          <w:sz w:val="20"/>
          <w:szCs w:val="20"/>
          <w:color w:val="auto"/>
        </w:rPr>
      </w:pPr>
      <w:r>
        <w:rPr>
          <w:rFonts w:ascii="Arial" w:cs="Arial" w:eastAsia="Arial" w:hAnsi="Arial"/>
          <w:sz w:val="18"/>
          <w:szCs w:val="18"/>
          <w:color w:val="auto"/>
        </w:rPr>
        <w:t>– 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78" w:lineRule="exact"/>
        <w:rPr>
          <w:sz w:val="20"/>
          <w:szCs w:val="20"/>
          <w:color w:val="auto"/>
        </w:rPr>
      </w:pPr>
    </w:p>
    <w:p>
      <w:pPr>
        <w:ind w:left="660" w:right="240" w:hanging="324"/>
        <w:spacing w:after="0" w:line="277" w:lineRule="auto"/>
        <w:rPr>
          <w:sz w:val="20"/>
          <w:szCs w:val="20"/>
          <w:color w:val="auto"/>
        </w:rPr>
      </w:pPr>
      <w:r>
        <w:rPr>
          <w:rFonts w:ascii="Arial" w:cs="Arial" w:eastAsia="Arial" w:hAnsi="Arial"/>
          <w:sz w:val="18"/>
          <w:szCs w:val="18"/>
          <w:color w:val="auto"/>
        </w:rPr>
        <w:t>– 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sz w:val="20"/>
          <w:szCs w:val="20"/>
          <w:color w:val="auto"/>
        </w:rPr>
      </w:pPr>
    </w:p>
    <w:p>
      <w:pPr>
        <w:ind w:left="660" w:right="100" w:hanging="324"/>
        <w:spacing w:after="0" w:line="259" w:lineRule="auto"/>
        <w:rPr>
          <w:sz w:val="20"/>
          <w:szCs w:val="20"/>
          <w:color w:val="auto"/>
        </w:rPr>
      </w:pPr>
      <w:r>
        <w:rPr>
          <w:rFonts w:ascii="Arial" w:cs="Arial" w:eastAsia="Arial" w:hAnsi="Arial"/>
          <w:sz w:val="18"/>
          <w:szCs w:val="18"/>
          <w:color w:val="auto"/>
        </w:rPr>
        <w:t>– 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sz w:val="20"/>
          <w:szCs w:val="20"/>
          <w:color w:val="auto"/>
        </w:rPr>
      </w:pPr>
    </w:p>
    <w:p>
      <w:pPr>
        <w:ind w:left="660" w:right="440" w:hanging="324"/>
        <w:spacing w:after="0" w:line="342" w:lineRule="auto"/>
        <w:rPr>
          <w:sz w:val="20"/>
          <w:szCs w:val="20"/>
          <w:color w:val="auto"/>
        </w:rPr>
      </w:pPr>
      <w:r>
        <w:rPr>
          <w:rFonts w:ascii="Arial" w:cs="Arial" w:eastAsia="Arial" w:hAnsi="Arial"/>
          <w:sz w:val="16"/>
          <w:szCs w:val="16"/>
          <w:color w:val="auto"/>
        </w:rPr>
        <w:t>–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collaborators may infringe the intellectual property rights of third parties, which may expose us to litigation and potential liability;</w:t>
      </w:r>
    </w:p>
    <w:p>
      <w:pPr>
        <w:spacing w:after="0" w:line="117"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collaborators may learn about our technology and use this knowledge to compete with us in the future;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there may be conflicts between different collaborators that could negatively affect those collaborations and potentially others;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number and type of our collaborations could adversely affect our attractiveness to future collaborators or acquirers.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platform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1" w:name="page72"/>
    <w:bookmarkEnd w:id="71"/>
    <w:p>
      <w:pPr>
        <w:spacing w:after="0" w:line="255" w:lineRule="auto"/>
        <w:rPr>
          <w:sz w:val="20"/>
          <w:szCs w:val="20"/>
          <w:color w:val="auto"/>
        </w:rPr>
      </w:pPr>
      <w:r>
        <w:rPr>
          <w:rFonts w:ascii="Arial" w:cs="Arial" w:eastAsia="Arial" w:hAnsi="Arial"/>
          <w:sz w:val="18"/>
          <w:szCs w:val="18"/>
          <w:color w:val="auto"/>
        </w:rPr>
        <w:t>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ongoing Phase 3 DISSOLVE clinical program for SEL-212 (consisting of the DISSOLVE I and DISSOLVE II trials), which we have agreed to continue to run on behalf of Sobi and for our other product candidates. We also expect to rely on other third parties to store and distribute drug supplies for our clinical trials.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6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a pilot manufacturing facility at our Watertown, Massachusetts location where we conduct process development, scale-up activities and the manufacture of ImmTOR product candidates for preclinical use. We rely on our scaled equipment installed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commercial-scale manufacturing of our product candidates and this activity will require substantial additional funds and additional qualified employees. We may not be able to develop commercial-scale manufacturing facilities that are adequate to produce materials for additional later-stage clinical trials or commercial use.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2" w:name="page73"/>
    <w:bookmarkEnd w:id="72"/>
    <w:p>
      <w:pPr>
        <w:ind w:right="260"/>
        <w:spacing w:after="0" w:line="263"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For example, while results from our Phase 2 head-to-head (COMPARE) trial vs. pegloticase showed numerical superiority for SEL-212 when measuring our primary endpoint, and statistical superiority for SEL-212 when measuring other secondary endpoints, even if SEL-212 receives marketing approval, the drug may fail to gain market acceptance from physicians, patients, third-party payors and others in the medical community who may continue to favor pegloticase. The degree of market acceptance of our product candidates, if any, will depend on a number of factors, including:</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their efficacy, safety and other potential advantages compared to alternative treatments;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clinical indications for which our product candidates are approved;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offer them for sale at competitive prices;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their convenience and ease of administration compared to alternative treatments;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willingness of the target patient population to try new therapies and of physicians to prescribe these therapies;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strength of marketing and distribution support;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availability of third-party coverage and adequate reimbursement for our product candidates;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prevalence and severity of their side effects and their overall safety profiles;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any restrictions on the use of our product candidates together with other medications;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interactions of our product candidates with other medicines patients are taking;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create awareness with patients and physicians about the harmful effects of uric acid deposits;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timing of market introduction of any approved product candidates as well as competitive products and other therapies;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inability of certain types of patients, particularly with respect to certain rare diseases or conditions, to take our product candidates;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their ability to remain attractive in the event of changing treatment guidelines;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adverse publicity about the product or favorable publicity about competitive products;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potential product liability claims.</w:t>
      </w:r>
    </w:p>
    <w:p>
      <w:pPr>
        <w:spacing w:after="0" w:line="117"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3" w:name="page74"/>
    <w:bookmarkEnd w:id="73"/>
    <w:p>
      <w:pPr>
        <w:ind w:right="18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69"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4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3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or third-party coverage or reimbursement policies, any of which would have a material adverse effect on our business.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4" w:name="page75"/>
    <w:bookmarkEnd w:id="74"/>
    <w:p>
      <w:pPr>
        <w:ind w:right="20"/>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Government authorities and third-party payors have attempted to control costs by limiting coverage and the amount of reimbursement for particular medications. Increasingly, third-party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if approved for sale in the United States or in other countries, will not be subject to heightened governmental scrutiny, unfavorable regulatory inquiry or action, or congressional inquiry.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regulatory investigations, product recalls or withdrawals, or labeling, marketing or promotional restrictions;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color w:val="auto"/>
        </w:rPr>
        <w:t>–   decreased demand for any product candidates or products that we may develop;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injury to our reputation and significant negative media attention;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loss of clinical trial participants or increased difficulty in enrolling future participants;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significant costs to defend the related litigation or to reach a settlement;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substantial payments to trial participants or patients;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loss of revenue;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reduced resources of our management to pursue our business strategy;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inability to commercialize any products that we may develop.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distraction of management’s attention from our primary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substantial monetary awards to patients or other claimants;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federal Anti-Kickback Statute, which prohibits, among other things, persons and entities from knowingly and willfully soliciting, offering,</w:t>
      </w:r>
    </w:p>
    <w:p>
      <w:pPr>
        <w:spacing w:after="0" w:line="34"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84" w:lineRule="exact"/>
        <w:rPr>
          <w:sz w:val="20"/>
          <w:szCs w:val="20"/>
          <w:color w:val="auto"/>
        </w:rPr>
      </w:pPr>
    </w:p>
    <w:p>
      <w:pPr>
        <w:ind w:left="660" w:right="200" w:hanging="324"/>
        <w:spacing w:after="0" w:line="263" w:lineRule="auto"/>
        <w:rPr>
          <w:sz w:val="20"/>
          <w:szCs w:val="20"/>
          <w:color w:val="auto"/>
        </w:rPr>
      </w:pPr>
      <w:r>
        <w:rPr>
          <w:rFonts w:ascii="Arial" w:cs="Arial" w:eastAsia="Arial" w:hAnsi="Arial"/>
          <w:sz w:val="18"/>
          <w:szCs w:val="18"/>
          <w:color w:val="auto"/>
        </w:rPr>
        <w:t>– 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6" w:name="page77"/>
    <w:bookmarkEnd w:id="76"/>
    <w:p>
      <w:pPr>
        <w:ind w:left="660" w:right="160"/>
        <w:spacing w:after="0" w:line="277" w:lineRule="auto"/>
        <w:rPr>
          <w:sz w:val="20"/>
          <w:szCs w:val="20"/>
          <w:color w:val="auto"/>
        </w:rPr>
      </w:pPr>
      <w:r>
        <w:rPr>
          <w:rFonts w:ascii="Arial" w:cs="Arial" w:eastAsia="Arial" w:hAnsi="Arial"/>
          <w:sz w:val="18"/>
          <w:szCs w:val="18"/>
          <w:color w:val="auto"/>
        </w:rPr>
        <w:t>government may assert that a claim including items or services resulting from a violation of the federal Anti-Kickback Statute constitutes a false or fraudulent claim for purposes of the False Claims Act;</w:t>
      </w:r>
    </w:p>
    <w:p>
      <w:pPr>
        <w:spacing w:after="0" w:line="62" w:lineRule="exact"/>
        <w:rPr>
          <w:sz w:val="20"/>
          <w:szCs w:val="20"/>
          <w:color w:val="auto"/>
        </w:rPr>
      </w:pPr>
    </w:p>
    <w:p>
      <w:pPr>
        <w:ind w:left="660" w:right="240" w:hanging="324"/>
        <w:spacing w:after="0" w:line="311" w:lineRule="auto"/>
        <w:rPr>
          <w:sz w:val="20"/>
          <w:szCs w:val="20"/>
          <w:color w:val="auto"/>
        </w:rPr>
      </w:pPr>
      <w:r>
        <w:rPr>
          <w:rFonts w:ascii="Arial" w:cs="Arial" w:eastAsia="Arial" w:hAnsi="Arial"/>
          <w:sz w:val="16"/>
          <w:szCs w:val="16"/>
          <w:color w:val="auto"/>
        </w:rPr>
        <w:t>– 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40" w:lineRule="exact"/>
        <w:rPr>
          <w:sz w:val="20"/>
          <w:szCs w:val="20"/>
          <w:color w:val="auto"/>
        </w:rPr>
      </w:pPr>
    </w:p>
    <w:p>
      <w:pPr>
        <w:ind w:left="660" w:right="60" w:hanging="324"/>
        <w:spacing w:after="0" w:line="263" w:lineRule="auto"/>
        <w:rPr>
          <w:sz w:val="20"/>
          <w:szCs w:val="20"/>
          <w:color w:val="auto"/>
        </w:rPr>
      </w:pPr>
      <w:r>
        <w:rPr>
          <w:rFonts w:ascii="Arial" w:cs="Arial" w:eastAsia="Arial" w:hAnsi="Arial"/>
          <w:sz w:val="18"/>
          <w:szCs w:val="18"/>
          <w:color w:val="auto"/>
        </w:rPr>
        <w:t>– 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federal Physician Payments Sunshine Act, which requires applicable manufacturers of certain products for which payment is available under a</w:t>
      </w:r>
    </w:p>
    <w:p>
      <w:pPr>
        <w:spacing w:after="0" w:line="46" w:lineRule="exact"/>
        <w:rPr>
          <w:sz w:val="20"/>
          <w:szCs w:val="20"/>
          <w:color w:val="auto"/>
        </w:rPr>
      </w:pPr>
    </w:p>
    <w:p>
      <w:pPr>
        <w:ind w:left="660" w:right="240"/>
        <w:spacing w:after="0" w:line="302" w:lineRule="auto"/>
        <w:rPr>
          <w:sz w:val="20"/>
          <w:szCs w:val="20"/>
          <w:color w:val="auto"/>
        </w:rPr>
      </w:pPr>
      <w:r>
        <w:rPr>
          <w:rFonts w:ascii="Arial" w:cs="Arial" w:eastAsia="Arial" w:hAnsi="Arial"/>
          <w:sz w:val="16"/>
          <w:szCs w:val="16"/>
          <w:color w:val="auto"/>
        </w:rPr>
        <w:t>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47" w:lineRule="exact"/>
        <w:rPr>
          <w:sz w:val="20"/>
          <w:szCs w:val="20"/>
          <w:color w:val="auto"/>
        </w:rPr>
      </w:pPr>
    </w:p>
    <w:p>
      <w:pPr>
        <w:ind w:left="660" w:right="160" w:hanging="324"/>
        <w:spacing w:after="0" w:line="263" w:lineRule="auto"/>
        <w:rPr>
          <w:sz w:val="20"/>
          <w:szCs w:val="20"/>
          <w:color w:val="auto"/>
        </w:rPr>
      </w:pPr>
      <w:r>
        <w:rPr>
          <w:rFonts w:ascii="Arial" w:cs="Arial" w:eastAsia="Arial" w:hAnsi="Arial"/>
          <w:sz w:val="18"/>
          <w:szCs w:val="18"/>
          <w:color w:val="auto"/>
        </w:rPr>
        <w:t>– 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75" w:lineRule="exact"/>
        <w:rPr>
          <w:sz w:val="20"/>
          <w:szCs w:val="20"/>
          <w:color w:val="auto"/>
        </w:rPr>
      </w:pPr>
    </w:p>
    <w:p>
      <w:pPr>
        <w:ind w:left="660" w:right="40" w:hanging="324"/>
        <w:spacing w:after="0" w:line="272" w:lineRule="auto"/>
        <w:rPr>
          <w:sz w:val="20"/>
          <w:szCs w:val="20"/>
          <w:color w:val="auto"/>
        </w:rPr>
      </w:pPr>
      <w:r>
        <w:rPr>
          <w:rFonts w:ascii="Arial" w:cs="Arial" w:eastAsia="Arial" w:hAnsi="Arial"/>
          <w:sz w:val="17"/>
          <w:szCs w:val="17"/>
          <w:color w:val="auto"/>
        </w:rPr>
        <w:t>– 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69" w:lineRule="exact"/>
        <w:rPr>
          <w:sz w:val="20"/>
          <w:szCs w:val="20"/>
          <w:color w:val="auto"/>
        </w:rPr>
      </w:pPr>
    </w:p>
    <w:p>
      <w:pPr>
        <w:ind w:left="660" w:hanging="324"/>
        <w:spacing w:after="0" w:line="271" w:lineRule="auto"/>
        <w:rPr>
          <w:sz w:val="20"/>
          <w:szCs w:val="20"/>
          <w:color w:val="auto"/>
        </w:rPr>
      </w:pPr>
      <w:r>
        <w:rPr>
          <w:rFonts w:ascii="Arial" w:cs="Arial" w:eastAsia="Arial" w:hAnsi="Arial"/>
          <w:sz w:val="17"/>
          <w:szCs w:val="17"/>
          <w:color w:val="auto"/>
        </w:rPr>
        <w:t>– 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restrict or regulate post-approval activities and affect our ability to profitably sell any product candidates for which we obtain marketing approval.</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an annual, nondeductible fee payable by any entity that manufactures or imports specified branded prescription drugs and biologic agents;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 increase in the statutory minimum rebates a manufacturer must pay under the Medicaid Drug Rebate Program;</w:t>
      </w:r>
    </w:p>
    <w:p>
      <w:pPr>
        <w:spacing w:after="0" w:line="117" w:lineRule="exact"/>
        <w:rPr>
          <w:sz w:val="20"/>
          <w:szCs w:val="20"/>
          <w:color w:val="auto"/>
        </w:rPr>
      </w:pPr>
    </w:p>
    <w:p>
      <w:pPr>
        <w:ind w:left="660" w:right="140" w:hanging="324"/>
        <w:spacing w:after="0" w:line="277" w:lineRule="auto"/>
        <w:rPr>
          <w:sz w:val="20"/>
          <w:szCs w:val="20"/>
          <w:color w:val="auto"/>
        </w:rPr>
      </w:pPr>
      <w:r>
        <w:rPr>
          <w:rFonts w:ascii="Arial" w:cs="Arial" w:eastAsia="Arial" w:hAnsi="Arial"/>
          <w:sz w:val="18"/>
          <w:szCs w:val="18"/>
          <w:color w:val="auto"/>
        </w:rPr>
        <w:t>– a new methodology by which rebates owed by manufacturers under the Medicaid Drug Rebate Program are calculated for drugs that are inhaled, infused, instilled, implanted or injected;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extension of manufacturers’ Medicaid rebate liability to individuals enrolled in Medicaid managed care organizations;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expansion of the entities eligible for discounts under the Public Health Service pharmaceutical pricing program;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 new requirement to annually report drug samples that manufacturers and distributors provide to physicians; and</w:t>
      </w:r>
    </w:p>
    <w:p>
      <w:pPr>
        <w:spacing w:after="0" w:line="117" w:lineRule="exact"/>
        <w:rPr>
          <w:sz w:val="20"/>
          <w:szCs w:val="20"/>
          <w:color w:val="auto"/>
        </w:rPr>
      </w:pPr>
    </w:p>
    <w:p>
      <w:pPr>
        <w:ind w:left="660" w:right="320" w:hanging="324"/>
        <w:spacing w:after="0" w:line="277" w:lineRule="auto"/>
        <w:rPr>
          <w:sz w:val="20"/>
          <w:szCs w:val="20"/>
          <w:color w:val="auto"/>
        </w:rPr>
      </w:pPr>
      <w:r>
        <w:rPr>
          <w:rFonts w:ascii="Arial" w:cs="Arial" w:eastAsia="Arial" w:hAnsi="Arial"/>
          <w:sz w:val="18"/>
          <w:szCs w:val="18"/>
          <w:color w:val="auto"/>
        </w:rPr>
        <w:t>– a new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By way of example, the Tax Cuts and Jobs Acts, or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ACA or our business. We cannot predict the ultimate content, timing or effect of any healthcare reform legislation or the impact of potential legislation on us.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post-marketing restrictions or withdrawal from the market, and we may be subject to penalties if we fail to comply with regulatory requirements or if we experience unexpected problems with our products.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assure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8" w:name="page79"/>
    <w:bookmarkEnd w:id="78"/>
    <w:p>
      <w:pPr>
        <w:ind w:right="120"/>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litigation involving patients taking our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restrictions on such products, manufacturers or manufacturing processes;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restrictions on the labeling or marketing of a product;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restrictions on product distribution or use;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requirements to conduct post-marketing studies or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warning letters;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withdrawal of products from the market;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suspension or termination of ongoing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refusal to approve pending applications or supplements to approved applications that we submit;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recall of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fines, restitution or disgorgement of profits or revenues;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suspension or withdrawal of marketing approvals;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damage to relationships with existing and potential collaborators;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unfavorable press coverage and damage to our reputation;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refusal to permit the import or export of our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product seizure or detention;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injunctions; or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imposition of civil or criminal penalties.</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 making,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9" w:name="page80"/>
    <w:bookmarkEnd w:id="79"/>
    <w:p>
      <w:pPr>
        <w:ind w:right="60"/>
        <w:spacing w:after="0" w:line="286" w:lineRule="auto"/>
        <w:rPr>
          <w:sz w:val="20"/>
          <w:szCs w:val="20"/>
          <w:color w:val="auto"/>
        </w:rPr>
      </w:pPr>
      <w:r>
        <w:rPr>
          <w:rFonts w:ascii="Arial" w:cs="Arial" w:eastAsia="Arial" w:hAnsi="Arial"/>
          <w:sz w:val="17"/>
          <w:szCs w:val="17"/>
          <w:color w:val="auto"/>
        </w:rPr>
        <w:t>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Separately, in response to the global pandemic of COVID-19,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5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FCPA, the U.S. domestic bribery statute contained in 18 U.S.C. § 201, the U.S. Travel Act, the USA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0" w:name="page81"/>
    <w:bookmarkEnd w:id="80"/>
    <w:p>
      <w:pPr>
        <w:ind w:right="60"/>
        <w:spacing w:after="0" w:line="311" w:lineRule="auto"/>
        <w:rPr>
          <w:sz w:val="20"/>
          <w:szCs w:val="20"/>
          <w:color w:val="auto"/>
        </w:rPr>
      </w:pPr>
      <w:r>
        <w:rPr>
          <w:rFonts w:ascii="Arial" w:cs="Arial" w:eastAsia="Arial" w:hAnsi="Arial"/>
          <w:sz w:val="16"/>
          <w:szCs w:val="16"/>
          <w:color w:val="auto"/>
        </w:rPr>
        <w:t>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materially adversely affected.</w:t>
      </w:r>
    </w:p>
    <w:p>
      <w:pPr>
        <w:spacing w:after="0" w:line="4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1" w:name="page82"/>
    <w:bookmarkEnd w:id="81"/>
    <w:p>
      <w:pPr>
        <w:ind w:right="280"/>
        <w:spacing w:after="0" w:line="311" w:lineRule="auto"/>
        <w:rPr>
          <w:sz w:val="20"/>
          <w:szCs w:val="20"/>
          <w:color w:val="auto"/>
        </w:rPr>
      </w:pPr>
      <w:r>
        <w:rPr>
          <w:rFonts w:ascii="Arial" w:cs="Arial" w:eastAsia="Arial" w:hAnsi="Arial"/>
          <w:sz w:val="16"/>
          <w:szCs w:val="16"/>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w:t>
      </w:r>
    </w:p>
    <w:p>
      <w:pPr>
        <w:spacing w:after="0" w:line="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7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2" w:name="page83"/>
    <w:bookmarkEnd w:id="82"/>
    <w:p>
      <w:pPr>
        <w:spacing w:after="0" w:line="257" w:lineRule="auto"/>
        <w:rPr>
          <w:sz w:val="20"/>
          <w:szCs w:val="20"/>
          <w:color w:val="auto"/>
        </w:rPr>
      </w:pPr>
      <w:r>
        <w:rPr>
          <w:rFonts w:ascii="Arial" w:cs="Arial" w:eastAsia="Arial" w:hAnsi="Arial"/>
          <w:sz w:val="18"/>
          <w:szCs w:val="18"/>
          <w:color w:val="auto"/>
        </w:rPr>
        <w:t>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would be harmed.</w:t>
      </w:r>
    </w:p>
    <w:p>
      <w:pPr>
        <w:spacing w:after="0" w:line="1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3" w:name="page84"/>
    <w:bookmarkEnd w:id="83"/>
    <w:p>
      <w:pPr>
        <w:jc w:val="both"/>
        <w:ind w:right="120"/>
        <w:spacing w:after="0" w:line="311" w:lineRule="auto"/>
        <w:rPr>
          <w:sz w:val="20"/>
          <w:szCs w:val="20"/>
          <w:color w:val="auto"/>
        </w:rPr>
      </w:pPr>
      <w:r>
        <w:rPr>
          <w:rFonts w:ascii="Arial" w:cs="Arial" w:eastAsia="Arial" w:hAnsi="Arial"/>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4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38"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4" w:name="page85"/>
    <w:bookmarkEnd w:id="84"/>
    <w:p>
      <w:pPr>
        <w:ind w:right="40"/>
        <w:spacing w:after="0" w:line="286" w:lineRule="auto"/>
        <w:rPr>
          <w:sz w:val="20"/>
          <w:szCs w:val="20"/>
          <w:color w:val="auto"/>
        </w:rPr>
      </w:pPr>
      <w:r>
        <w:rPr>
          <w:rFonts w:ascii="Arial" w:cs="Arial" w:eastAsia="Arial" w:hAnsi="Arial"/>
          <w:sz w:val="16"/>
          <w:szCs w:val="16"/>
          <w:color w:val="auto"/>
        </w:rPr>
        <w:t>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8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may also be unable to maintain third-party intellectual property rights. For example, MIT may terminate the MIT License if we fail to meet our diligence obligations under the agreement.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7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6" w:name="page87"/>
    <w:bookmarkEnd w:id="86"/>
    <w:p>
      <w:pPr>
        <w:ind w:right="2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6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may not be successful.</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January 3, 2019, following a strategic business review, we announced our new strategy to focus on the development of SEL-212 for the treatment of chronic refractory gout and advancement of our ImmTOR platform in the area of gene therapy, specifically ImmTOR in combination with AAV gene therapy for the treatment of CN and MMA,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11, 2020, we entered into the license agreement with Sobi. Pursuant to the license agreement, we have agreed to grant Sobi an exclusive, worldwide (except as to Greater China) license to develop, manufacture and commercialize our SEL-212 drug candidate, which is currently in development for the treatment of chronic refractory gout. Pursuant to the license agreement, in consideration of the license, Sobi has agreed to pay us a one-time, up-front payment of $75 million within 45 days of the effective date of the agreement. Sobi has also agreed to make milestone payments totaling up to $630 million to 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7" w:name="page88"/>
    <w:bookmarkEnd w:id="87"/>
    <w:p>
      <w:pPr>
        <w:ind w:right="80"/>
        <w:spacing w:after="0" w:line="254" w:lineRule="auto"/>
        <w:rPr>
          <w:sz w:val="20"/>
          <w:szCs w:val="20"/>
          <w:color w:val="auto"/>
        </w:rPr>
      </w:pPr>
      <w:r>
        <w:rPr>
          <w:rFonts w:ascii="Arial" w:cs="Arial" w:eastAsia="Arial" w:hAnsi="Arial"/>
          <w:sz w:val="18"/>
          <w:szCs w:val="18"/>
          <w:color w:val="auto"/>
        </w:rPr>
        <w:t>upon the achievement of various development and regulatory milestones and sales thresholds for annual net sales of SEL-212, and tiered royalty payments ranging from the low double digits on the lowest sales tier to the high teens on the highest sales tier. Pursuant to the license agreement, we will supply (at cost) quantities of SEL-212 as necessary for completion of the ongoing Phase 3 program for SEL-212, which includes two Phase 3 clinical trials and a crossover study. Sobi has agreed to reimburse us for all budgeted costs incurred to complete development of SEL-212, including but not limited to costs incurred while conducting and completing the Phase 3 program for SEL-212, except for any costs of additional development activities required that are related to ImmTOR and that are unrelated to SEL-212. Sobi will have control and responsibility over all regulatory filings, including any INDs, BLAs and MAAs relating to the licensed product.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4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time-consuming and costly.</w:t>
      </w:r>
    </w:p>
    <w:p>
      <w:pPr>
        <w:spacing w:after="0" w:line="19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8" w:name="page89"/>
    <w:bookmarkEnd w:id="88"/>
    <w:p>
      <w:pPr>
        <w:ind w:right="500"/>
        <w:spacing w:after="0" w:line="255" w:lineRule="auto"/>
        <w:rPr>
          <w:sz w:val="20"/>
          <w:szCs w:val="20"/>
          <w:color w:val="auto"/>
        </w:rPr>
      </w:pPr>
      <w:r>
        <w:rPr>
          <w:rFonts w:ascii="Arial" w:cs="Arial" w:eastAsia="Arial" w:hAnsi="Arial"/>
          <w:sz w:val="18"/>
          <w:szCs w:val="18"/>
          <w:color w:val="auto"/>
        </w:rPr>
        <w:t>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to our U.S. operations, we maintain a wholly owned subsidiary in Russia, Selecta (RUS).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3" w:lineRule="exact"/>
        <w:rPr>
          <w:sz w:val="20"/>
          <w:szCs w:val="20"/>
          <w:color w:val="auto"/>
        </w:rPr>
      </w:pPr>
    </w:p>
    <w:p>
      <w:pPr>
        <w:ind w:left="660" w:right="220" w:hanging="324"/>
        <w:spacing w:after="0" w:line="277" w:lineRule="auto"/>
        <w:rPr>
          <w:sz w:val="20"/>
          <w:szCs w:val="20"/>
          <w:color w:val="auto"/>
        </w:rPr>
      </w:pPr>
      <w:r>
        <w:rPr>
          <w:rFonts w:ascii="Arial" w:cs="Arial" w:eastAsia="Arial" w:hAnsi="Arial"/>
          <w:sz w:val="18"/>
          <w:szCs w:val="18"/>
          <w:color w:val="auto"/>
        </w:rPr>
        <w:t>– multiple, conflicting and changing laws and regulations, such as privacy regulations, tax laws, export and import restrictions, employment laws, regulatory requirements and other governmental approvals, permits and licenses;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failure by us to obtain and maintain regulatory approvals for the use of our product candidates in various countries;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additional potentially relevant third-party patent rights;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complexities and difficulties in obtaining protection of and enforcing our intellectual property rights;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difficulties in staffing and managing foreign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complexities associated with managing multiple-payor reimbursement regimes, government payors or patient self-pay systems;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limits on our ability to penetrate international markets;</w:t>
      </w:r>
    </w:p>
    <w:p>
      <w:pPr>
        <w:spacing w:after="0" w:line="117" w:lineRule="exact"/>
        <w:rPr>
          <w:sz w:val="20"/>
          <w:szCs w:val="20"/>
          <w:color w:val="auto"/>
        </w:rPr>
      </w:pPr>
    </w:p>
    <w:p>
      <w:pPr>
        <w:ind w:left="660" w:right="420" w:hanging="324"/>
        <w:spacing w:after="0" w:line="263" w:lineRule="auto"/>
        <w:rPr>
          <w:sz w:val="20"/>
          <w:szCs w:val="20"/>
          <w:color w:val="auto"/>
        </w:rPr>
      </w:pPr>
      <w:r>
        <w:rPr>
          <w:rFonts w:ascii="Arial" w:cs="Arial" w:eastAsia="Arial" w:hAnsi="Arial"/>
          <w:sz w:val="18"/>
          <w:szCs w:val="18"/>
          <w:color w:val="auto"/>
        </w:rPr>
        <w:t>– 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75" w:lineRule="exact"/>
        <w:rPr>
          <w:sz w:val="20"/>
          <w:szCs w:val="20"/>
          <w:color w:val="auto"/>
        </w:rPr>
      </w:pPr>
    </w:p>
    <w:p>
      <w:pPr>
        <w:ind w:left="660" w:right="400" w:hanging="324"/>
        <w:spacing w:after="0" w:line="308" w:lineRule="auto"/>
        <w:rPr>
          <w:sz w:val="20"/>
          <w:szCs w:val="20"/>
          <w:color w:val="auto"/>
        </w:rPr>
      </w:pPr>
      <w:r>
        <w:rPr>
          <w:rFonts w:ascii="Arial" w:cs="Arial" w:eastAsia="Arial" w:hAnsi="Arial"/>
          <w:sz w:val="17"/>
          <w:szCs w:val="17"/>
          <w:color w:val="auto"/>
        </w:rPr>
        <w:t>– natural disasters, political and economic instability, including wars, events of terrorism and political unrest, outbreak of disease, including the COVID-19 coronavirus, boycotts, curtailment of trade and other business restrictions and economic weakness, including inflation;</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changes in diplomatic and trade relationships;</w:t>
      </w:r>
    </w:p>
    <w:p>
      <w:pPr>
        <w:spacing w:after="0" w:line="117" w:lineRule="exact"/>
        <w:rPr>
          <w:sz w:val="20"/>
          <w:szCs w:val="20"/>
          <w:color w:val="auto"/>
        </w:rPr>
      </w:pPr>
    </w:p>
    <w:p>
      <w:pPr>
        <w:ind w:left="660" w:right="620" w:hanging="324"/>
        <w:spacing w:after="0" w:line="277" w:lineRule="auto"/>
        <w:rPr>
          <w:sz w:val="20"/>
          <w:szCs w:val="20"/>
          <w:color w:val="auto"/>
        </w:rPr>
      </w:pPr>
      <w:r>
        <w:rPr>
          <w:rFonts w:ascii="Arial" w:cs="Arial" w:eastAsia="Arial" w:hAnsi="Arial"/>
          <w:sz w:val="18"/>
          <w:szCs w:val="18"/>
          <w:color w:val="auto"/>
        </w:rPr>
        <w:t>– challenges in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660" w:right="200" w:hanging="324"/>
        <w:spacing w:after="0" w:line="277" w:lineRule="auto"/>
        <w:rPr>
          <w:sz w:val="20"/>
          <w:szCs w:val="20"/>
          <w:color w:val="auto"/>
        </w:rPr>
      </w:pPr>
      <w:r>
        <w:rPr>
          <w:rFonts w:ascii="Arial" w:cs="Arial" w:eastAsia="Arial" w:hAnsi="Arial"/>
          <w:sz w:val="18"/>
          <w:szCs w:val="18"/>
          <w:color w:val="auto"/>
        </w:rPr>
        <w:t>– restriction on cross-border investment, including enhanced oversight by the Committee on Foreign Investment in the United States (CFIUS) and substantial restrictions on investment from China;</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certain expenses including, among others, expenses for travel, translation and insurance;</w:t>
      </w:r>
    </w:p>
    <w:p>
      <w:pPr>
        <w:spacing w:after="0" w:line="117" w:lineRule="exact"/>
        <w:rPr>
          <w:sz w:val="20"/>
          <w:szCs w:val="20"/>
          <w:color w:val="auto"/>
        </w:rPr>
      </w:pPr>
    </w:p>
    <w:p>
      <w:pPr>
        <w:ind w:left="660" w:right="360" w:hanging="324"/>
        <w:spacing w:after="0" w:line="277" w:lineRule="auto"/>
        <w:rPr>
          <w:sz w:val="20"/>
          <w:szCs w:val="20"/>
          <w:color w:val="auto"/>
        </w:rPr>
      </w:pPr>
      <w:r>
        <w:rPr>
          <w:rFonts w:ascii="Arial" w:cs="Arial" w:eastAsia="Arial" w:hAnsi="Arial"/>
          <w:sz w:val="18"/>
          <w:szCs w:val="18"/>
          <w:color w:val="auto"/>
        </w:rPr>
        <w:t>– legal risks, including use of the legal system by the government to benefit itself or affiliated entities at our expense, including expropriation of property; and</w:t>
      </w:r>
    </w:p>
    <w:p>
      <w:pPr>
        <w:spacing w:after="0" w:line="62" w:lineRule="exact"/>
        <w:rPr>
          <w:sz w:val="20"/>
          <w:szCs w:val="20"/>
          <w:color w:val="auto"/>
        </w:rPr>
      </w:pPr>
    </w:p>
    <w:p>
      <w:pPr>
        <w:ind w:left="660" w:right="560" w:hanging="324"/>
        <w:spacing w:after="0" w:line="277" w:lineRule="auto"/>
        <w:rPr>
          <w:sz w:val="20"/>
          <w:szCs w:val="20"/>
          <w:color w:val="auto"/>
        </w:rPr>
      </w:pPr>
      <w:r>
        <w:rPr>
          <w:rFonts w:ascii="Arial" w:cs="Arial" w:eastAsia="Arial" w:hAnsi="Arial"/>
          <w:sz w:val="18"/>
          <w:szCs w:val="18"/>
          <w:color w:val="auto"/>
        </w:rPr>
        <w:t>– regulatory and compliance risks that relate to maintaining accurate information and control over sales and activities that may fall within the purview of the FCPA its books and records provisions, or its anti-bribery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unauthorized or inappropriate use of or access to our systems.</w:t>
      </w:r>
    </w:p>
    <w:p>
      <w:pPr>
        <w:spacing w:after="0" w:line="14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ind w:right="80"/>
        <w:spacing w:after="0" w:line="259" w:lineRule="auto"/>
        <w:rPr>
          <w:sz w:val="20"/>
          <w:szCs w:val="20"/>
          <w:color w:val="auto"/>
        </w:rPr>
      </w:pPr>
      <w:r>
        <w:rPr>
          <w:rFonts w:ascii="Arial" w:cs="Arial" w:eastAsia="Arial" w:hAnsi="Arial"/>
          <w:sz w:val="18"/>
          <w:szCs w:val="18"/>
          <w:color w:val="auto"/>
        </w:rPr>
        <w:t>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disruption in our relationships with future customers or with current or future distributors or suppliers as a result of such a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unexpected liabilities related to acquired companies;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difficulties integrating acquired personnel, technologies and operations into our existing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diversion of management time and focus from operating our business to acquisition integration challenges;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increases in our expenses and reductions in our cash available for operations and other uses;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possible write-offs or impairment charges relating to acquired businesses;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inability to develop a sales force for any additional product candidates.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success of competitive products or technologies;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results or progress, or changes in approach or timelines, of clinical trials of our product candidates or those of our competitors;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failure or discontinuation of any of our development programs;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commencement of, termination of, or any development related to any collaboration or licensing arrangement;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regulatory or legal developments in the United States and other countries;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development of new product candidates that may address our markets and make our product candidates less attractive;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changes in physician, hospital or healthcare provider practices that may make our product candidates less useful;</w:t>
      </w:r>
    </w:p>
    <w:p>
      <w:pPr>
        <w:spacing w:after="0" w:line="117" w:lineRule="exact"/>
        <w:rPr>
          <w:sz w:val="20"/>
          <w:szCs w:val="20"/>
          <w:color w:val="auto"/>
        </w:rPr>
      </w:pPr>
    </w:p>
    <w:p>
      <w:pPr>
        <w:ind w:left="660" w:right="380" w:hanging="324"/>
        <w:spacing w:after="0" w:line="277" w:lineRule="auto"/>
        <w:rPr>
          <w:sz w:val="20"/>
          <w:szCs w:val="20"/>
          <w:color w:val="auto"/>
        </w:rPr>
      </w:pPr>
      <w:r>
        <w:rPr>
          <w:rFonts w:ascii="Arial" w:cs="Arial" w:eastAsia="Arial" w:hAnsi="Arial"/>
          <w:sz w:val="18"/>
          <w:szCs w:val="18"/>
          <w:color w:val="auto"/>
        </w:rPr>
        <w:t>– announcements by us, our collaborators or our competitors of significant acquisitions, strategic partnerships, joint ventures, collaborations or capital commitments;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announcement or market expectation of additional financing efforts;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developments or disputes concerning patent applications, issued patents or other proprietary rights;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color w:val="auto"/>
        </w:rPr>
        <w:t>–   the recruitment or departure of key personnel;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level of expenses related to any of our product candidates or clinical development programs;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failure to meet or exceed financial estimates, projections or development timelines of the investment community or that we provide to the public;</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results of our efforts to discover, develop, acquire or in-license additional product candidates or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actual or expected changes in estimates as to financial results, development timelines or recommendations by securities analysts;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variations in our financial results or those of companies that are perceived to be similar to 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changes in the structure of healthcare payment systems;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sale of common stock by us or our stockholders in the future as well as the overall trading volume of our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market conditions in the pharmaceutical and biotechnology sectors;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general economic, industry and market conditions;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other factors described in this “Risk factors” section.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17.5% of our outstanding voting stock as of September 30, 2020.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Pursuant to our fifth amended and restated investors’ rights agreement, holders of an aggregate of approximately 0.5 million shares of our common stock as of September 30, 2020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on June 27, 2017, we issued and sold in a private placement 3,088,791 shares of our common stock (of which approximately 0.3 million shares have continuing registration rights as of September 30, 2020) and a warrant to purchase 79,130 shares of our common stock, including to certain of our affiliates. Pursuant to a registration rights agreement entered into with the investors in the 2017 private placement, on July 13, 2017, we filed a Registration Statement on Form S-3 to register the shares of common stock sold in the 2017 private placement and the shares of common stock issuable upon exercise of the warrant. As a result, these shares can be freely sold in the public market.</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Similarly, on December 23, 2019, we issued and sold in a private placement 37,634,883 shares of our common stock (of which approximately 17.8 million shares have continuing registration rights as of September 30, 2020) and warrants to purchase 31,330,629 shares of our common stock (of which approximately 15.1 million shares have continuing registration rights as of September 30, 2020), including to certain of our affiliates. Pursuant to a registration rights agreement entered into with the investors in the 2019 private placement, on January 29, 2020, we filed a Registration Statement on Form S-3 to register the shares of common stock sold in the private placement and the shares of common stock issuable upon exercise of the warrants. As a result, these shares can be freely sold in the public market.</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on June 11, 2020, we entered into a stock purchase agreement with Sobi, pursuant to which we sold to Sobi an aggregate of 5,416,390 shares of common stock. The closing of the Sobi Private Placement occurred on July 31, 2020. The shares of common stock sold in the Sobi Private Placement are subject to a one-year lock-up from closing, during which time Sobi is prohibited from selling or otherwise disposing of such shares. Pursuant to a registration rights agreement entered into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ind w:right="100"/>
        <w:spacing w:after="0" w:line="308" w:lineRule="auto"/>
        <w:rPr>
          <w:sz w:val="20"/>
          <w:szCs w:val="20"/>
          <w:color w:val="auto"/>
        </w:rPr>
      </w:pPr>
      <w:r>
        <w:rPr>
          <w:rFonts w:ascii="Arial" w:cs="Arial" w:eastAsia="Arial" w:hAnsi="Arial"/>
          <w:sz w:val="17"/>
          <w:szCs w:val="17"/>
          <w:color w:val="auto"/>
        </w:rPr>
        <w:t>with Sobi, as amended on November 4, 2020, we will be required to file a Registration Statement on Form S-3 to register the shares of common stock sold in the Sobi Private Placement. Once the registration statement is declared effective, these shares can be freely sold on the public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necessary to fulfill our obligation to repurchase certain warrants.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certain circumstances, holders of certain warrants issued in December 2019 may require us to repurchase the remaining unexercised portion of such warrants for an amount of cash equal to the value of the warrant as determined in accordance with the Black-Scholes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5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$1.07 billion or we issue more than $1.07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not being required to comply with the auditor attestation requirements in the assessment of our internal control over financial reporting;</w:t>
      </w:r>
    </w:p>
    <w:p>
      <w:pPr>
        <w:spacing w:after="0" w:line="128" w:lineRule="exact"/>
        <w:rPr>
          <w:sz w:val="20"/>
          <w:szCs w:val="20"/>
          <w:color w:val="auto"/>
        </w:rPr>
      </w:pPr>
    </w:p>
    <w:p>
      <w:pPr>
        <w:ind w:left="660" w:hanging="324"/>
        <w:spacing w:after="0" w:line="342" w:lineRule="auto"/>
        <w:rPr>
          <w:sz w:val="20"/>
          <w:szCs w:val="20"/>
          <w:color w:val="auto"/>
        </w:rPr>
      </w:pPr>
      <w:r>
        <w:rPr>
          <w:rFonts w:ascii="Arial" w:cs="Arial" w:eastAsia="Arial" w:hAnsi="Arial"/>
          <w:sz w:val="16"/>
          <w:szCs w:val="16"/>
          <w:color w:val="auto"/>
        </w:rPr>
        <w:t>– 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reduced disclosure obligations regarding executive compensation; and</w:t>
      </w:r>
    </w:p>
    <w:p>
      <w:pPr>
        <w:spacing w:after="0" w:line="117" w:lineRule="exact"/>
        <w:rPr>
          <w:sz w:val="20"/>
          <w:szCs w:val="20"/>
          <w:color w:val="auto"/>
        </w:rPr>
      </w:pPr>
    </w:p>
    <w:p>
      <w:pPr>
        <w:ind w:left="660" w:right="420" w:hanging="324"/>
        <w:spacing w:after="0" w:line="277" w:lineRule="auto"/>
        <w:rPr>
          <w:sz w:val="20"/>
          <w:szCs w:val="20"/>
          <w:color w:val="auto"/>
        </w:rPr>
      </w:pPr>
      <w:r>
        <w:rPr>
          <w:rFonts w:ascii="Arial" w:cs="Arial" w:eastAsia="Arial" w:hAnsi="Arial"/>
          <w:sz w:val="18"/>
          <w:szCs w:val="18"/>
          <w:color w:val="auto"/>
        </w:rPr>
        <w:t>– 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We have, historically, relied on these exemptions, and we may continue to do so until they are no longer available to us.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80"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2" w:name="page93"/>
    <w:bookmarkEnd w:id="92"/>
    <w:p>
      <w:pPr>
        <w:ind w:right="120"/>
        <w:spacing w:after="0" w:line="308" w:lineRule="auto"/>
        <w:rPr>
          <w:sz w:val="20"/>
          <w:szCs w:val="20"/>
          <w:color w:val="auto"/>
        </w:rPr>
      </w:pPr>
      <w:r>
        <w:rPr>
          <w:rFonts w:ascii="Arial" w:cs="Arial" w:eastAsia="Arial" w:hAnsi="Arial"/>
          <w:sz w:val="17"/>
          <w:szCs w:val="17"/>
          <w:color w:val="auto"/>
        </w:rPr>
        <w:t>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 For example, in August 2020, a putative stockholder of the Company filed a shareholder derivative action purportedly on behalf of the Company and against certain current and former members of our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approved the private placement transaction, announced on December 18, 2019, at a price allegedly below fair value. On September 25, 2020, the defendants filed a motion to dismiss. See Part II, Item 1 “Legal Proceedings.”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18"/>
          </w:tcPr>
          <w:p>
            <w:pPr>
              <w:ind w:left="20"/>
              <w:spacing w:after="0"/>
              <w:rPr>
                <w:sz w:val="20"/>
                <w:szCs w:val="20"/>
                <w:color w:val="auto"/>
              </w:rPr>
            </w:pPr>
            <w:r>
              <w:rPr>
                <w:rFonts w:ascii="Arial" w:cs="Arial" w:eastAsia="Arial" w:hAnsi="Arial"/>
                <w:sz w:val="18"/>
                <w:szCs w:val="18"/>
                <w:b w:val="1"/>
                <w:bCs w:val="1"/>
                <w:color w:val="auto"/>
              </w:rPr>
              <w:t>EXHIBIT INDEX</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w w:val="90"/>
              </w:rPr>
              <w:t>Incorporated by Reference</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8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412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Form</w:t>
            </w: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File No.</w:t>
            </w: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spacing w:after="0" w:line="169" w:lineRule="exact"/>
              <w:rPr>
                <w:sz w:val="20"/>
                <w:szCs w:val="20"/>
                <w:color w:val="auto"/>
              </w:rPr>
            </w:pPr>
            <w:r>
              <w:rPr>
                <w:rFonts w:ascii="Arial" w:cs="Arial" w:eastAsia="Arial" w:hAnsi="Arial"/>
                <w:sz w:val="18"/>
                <w:szCs w:val="18"/>
                <w:b w:val="1"/>
                <w:bCs w:val="1"/>
                <w:color w:val="auto"/>
              </w:rPr>
              <w:t>Filing</w:t>
            </w:r>
          </w:p>
        </w:tc>
        <w:tc>
          <w:tcPr>
            <w:tcW w:w="100" w:type="dxa"/>
            <w:vAlign w:val="bottom"/>
          </w:tcPr>
          <w:p>
            <w:pPr>
              <w:spacing w:after="0"/>
              <w:rPr>
                <w:sz w:val="14"/>
                <w:szCs w:val="14"/>
                <w:color w:val="auto"/>
              </w:rPr>
            </w:pPr>
          </w:p>
        </w:tc>
        <w:tc>
          <w:tcPr>
            <w:tcW w:w="1020" w:type="dxa"/>
            <w:vAlign w:val="bottom"/>
          </w:tcPr>
          <w:p>
            <w:pPr>
              <w:jc w:val="right"/>
              <w:ind w:right="530"/>
              <w:spacing w:after="0" w:line="169"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4120" w:type="dxa"/>
            <w:vAlign w:val="bottom"/>
            <w:gridSpan w:val="24"/>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83"/>
        </w:trPr>
        <w:tc>
          <w:tcPr>
            <w:tcW w:w="1460" w:type="dxa"/>
            <w:vAlign w:val="bottom"/>
            <w:tcBorders>
              <w:top w:val="single" w:sz="8" w:color="auto"/>
            </w:tcBorders>
          </w:tcPr>
          <w:p>
            <w:pPr>
              <w:jc w:val="center"/>
              <w:spacing w:after="0" w:line="182" w:lineRule="exact"/>
              <w:rPr>
                <w:rFonts w:ascii="Arial" w:cs="Arial" w:eastAsia="Arial" w:hAnsi="Arial"/>
                <w:sz w:val="18"/>
                <w:szCs w:val="18"/>
                <w:u w:val="single" w:color="auto"/>
                <w:color w:val="0000FF"/>
                <w:w w:val="87"/>
              </w:rPr>
            </w:pPr>
            <w:hyperlink r:id="rId119">
              <w:r>
                <w:rPr>
                  <w:rFonts w:ascii="Arial" w:cs="Arial" w:eastAsia="Arial" w:hAnsi="Arial"/>
                  <w:sz w:val="18"/>
                  <w:szCs w:val="18"/>
                  <w:u w:val="single" w:color="auto"/>
                  <w:color w:val="0000FF"/>
                  <w:w w:val="87"/>
                </w:rPr>
                <w:t>3.1</w:t>
              </w:r>
            </w:hyperlink>
          </w:p>
        </w:tc>
        <w:tc>
          <w:tcPr>
            <w:tcW w:w="120" w:type="dxa"/>
            <w:vAlign w:val="bottom"/>
          </w:tcPr>
          <w:p>
            <w:pPr>
              <w:spacing w:after="0"/>
              <w:rPr>
                <w:sz w:val="15"/>
                <w:szCs w:val="15"/>
                <w:color w:val="auto"/>
              </w:rPr>
            </w:pPr>
          </w:p>
        </w:tc>
        <w:tc>
          <w:tcPr>
            <w:tcW w:w="4020" w:type="dxa"/>
            <w:vAlign w:val="bottom"/>
            <w:tcBorders>
              <w:top w:val="single" w:sz="8" w:color="auto"/>
            </w:tcBorders>
            <w:gridSpan w:val="23"/>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Restated Certificate of Incorporation of Selecta</w:t>
              </w:r>
            </w:hyperlink>
          </w:p>
        </w:tc>
        <w:tc>
          <w:tcPr>
            <w:tcW w:w="100" w:type="dxa"/>
            <w:vAlign w:val="bottom"/>
          </w:tcPr>
          <w:p>
            <w:pPr>
              <w:spacing w:after="0"/>
              <w:rPr>
                <w:sz w:val="15"/>
                <w:szCs w:val="15"/>
                <w:color w:val="auto"/>
              </w:rPr>
            </w:pPr>
          </w:p>
        </w:tc>
        <w:tc>
          <w:tcPr>
            <w:tcW w:w="6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20" w:type="dxa"/>
            <w:vAlign w:val="bottom"/>
          </w:tcPr>
          <w:p>
            <w:pPr>
              <w:spacing w:after="0"/>
              <w:rPr>
                <w:sz w:val="15"/>
                <w:szCs w:val="15"/>
                <w:color w:val="auto"/>
              </w:rPr>
            </w:pPr>
          </w:p>
        </w:tc>
        <w:tc>
          <w:tcPr>
            <w:tcW w:w="1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5"/>
                <w:szCs w:val="15"/>
                <w:color w:val="auto"/>
              </w:rPr>
            </w:pPr>
          </w:p>
        </w:tc>
        <w:tc>
          <w:tcPr>
            <w:tcW w:w="9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Biosciences, Inc.</w:t>
              </w:r>
            </w:hyperlink>
          </w:p>
        </w:tc>
        <w:tc>
          <w:tcPr>
            <w:tcW w:w="212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7"/>
              </w:rPr>
            </w:pPr>
            <w:hyperlink r:id="rId120">
              <w:r>
                <w:rPr>
                  <w:rFonts w:ascii="Arial" w:cs="Arial" w:eastAsia="Arial" w:hAnsi="Arial"/>
                  <w:sz w:val="18"/>
                  <w:szCs w:val="18"/>
                  <w:u w:val="single" w:color="auto"/>
                  <w:color w:val="0000FF"/>
                  <w:w w:val="87"/>
                </w:rPr>
                <w:t>3.2</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rPr>
            </w:pPr>
            <w:hyperlink r:id="rId120">
              <w:r>
                <w:rPr>
                  <w:rFonts w:ascii="Arial" w:cs="Arial" w:eastAsia="Arial" w:hAnsi="Arial"/>
                  <w:sz w:val="18"/>
                  <w:szCs w:val="18"/>
                  <w:color w:val="0000FF"/>
                </w:rPr>
                <w:t>Amended and Restated By-laws of Selecta</w:t>
              </w:r>
            </w:hyperlink>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Biosciences, Inc.</w:t>
              </w:r>
            </w:hyperlink>
          </w:p>
        </w:tc>
        <w:tc>
          <w:tcPr>
            <w:tcW w:w="2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7"/>
              </w:rPr>
            </w:pPr>
            <w:hyperlink r:id="rId121">
              <w:r>
                <w:rPr>
                  <w:rFonts w:ascii="Arial" w:cs="Arial" w:eastAsia="Arial" w:hAnsi="Arial"/>
                  <w:sz w:val="18"/>
                  <w:szCs w:val="18"/>
                  <w:u w:val="single" w:color="auto"/>
                  <w:color w:val="0000FF"/>
                  <w:w w:val="87"/>
                </w:rPr>
                <w:t>4.1</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Form of Warrant to Purchase Stock, dated August 31,</w:t>
              </w:r>
            </w:hyperlink>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2020, issued by Selecta Biosciences, Inc. to Oxford</w:t>
              </w:r>
            </w:hyperlink>
          </w:p>
        </w:tc>
        <w:tc>
          <w:tcPr>
            <w:tcW w:w="1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gridSpan w:val="24"/>
          </w:tcPr>
          <w:p>
            <w:pPr>
              <w:spacing w:after="0" w:line="156" w:lineRule="exact"/>
              <w:rPr>
                <w:rFonts w:ascii="Arial" w:cs="Arial" w:eastAsia="Arial" w:hAnsi="Arial"/>
                <w:sz w:val="18"/>
                <w:szCs w:val="18"/>
                <w:color w:val="0000FF"/>
                <w:w w:val="96"/>
              </w:rPr>
            </w:pPr>
            <w:hyperlink r:id="rId121">
              <w:r>
                <w:rPr>
                  <w:rFonts w:ascii="Arial" w:cs="Arial" w:eastAsia="Arial" w:hAnsi="Arial"/>
                  <w:sz w:val="18"/>
                  <w:szCs w:val="18"/>
                  <w:color w:val="0000FF"/>
                  <w:w w:val="96"/>
                </w:rPr>
                <w:t>Finance LLC and Silicon Valley Bank, together with a</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121">
              <w:r>
                <w:rPr>
                  <w:rFonts w:ascii="Arial" w:cs="Arial" w:eastAsia="Arial" w:hAnsi="Arial"/>
                  <w:sz w:val="18"/>
                  <w:szCs w:val="18"/>
                  <w:color w:val="0000FF"/>
                  <w:w w:val="88"/>
                </w:rPr>
                <w:t>schedule of warrants.</w:t>
              </w:r>
            </w:hyperlink>
          </w:p>
        </w:tc>
        <w:tc>
          <w:tcPr>
            <w:tcW w:w="23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7"/>
              </w:rPr>
            </w:pPr>
            <w:hyperlink w:anchor="page97">
              <w:r>
                <w:rPr>
                  <w:rFonts w:ascii="Arial" w:cs="Arial" w:eastAsia="Arial" w:hAnsi="Arial"/>
                  <w:sz w:val="18"/>
                  <w:szCs w:val="18"/>
                  <w:u w:val="single" w:color="auto"/>
                  <w:color w:val="0000FF"/>
                  <w:w w:val="87"/>
                </w:rPr>
                <w:t>4.2</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w w:val="98"/>
              </w:rPr>
            </w:pPr>
            <w:hyperlink w:anchor="page97">
              <w:r>
                <w:rPr>
                  <w:rFonts w:ascii="Arial" w:cs="Arial" w:eastAsia="Arial" w:hAnsi="Arial"/>
                  <w:sz w:val="18"/>
                  <w:szCs w:val="18"/>
                  <w:color w:val="0000FF"/>
                  <w:w w:val="98"/>
                </w:rPr>
                <w:t>Registration Rights Agreement, dated as of June 11,</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w:anchor="page97">
              <w:r>
                <w:rPr>
                  <w:rFonts w:ascii="Arial" w:cs="Arial" w:eastAsia="Arial" w:hAnsi="Arial"/>
                  <w:sz w:val="18"/>
                  <w:szCs w:val="18"/>
                  <w:color w:val="0000FF"/>
                  <w:w w:val="92"/>
                </w:rPr>
                <w:t>2020, by and between the Registrant and Swedish</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Orphan Biovitrum AB (Publ), as amended on</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November 4, 2020</w:t>
              </w:r>
            </w:hyperlink>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5"/>
              </w:rPr>
            </w:pPr>
            <w:hyperlink w:anchor="page112">
              <w:r>
                <w:rPr>
                  <w:rFonts w:ascii="Arial" w:cs="Arial" w:eastAsia="Arial" w:hAnsi="Arial"/>
                  <w:sz w:val="18"/>
                  <w:szCs w:val="18"/>
                  <w:u w:val="single" w:color="auto"/>
                  <w:color w:val="0000FF"/>
                  <w:w w:val="85"/>
                </w:rPr>
                <w:t>10.1</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w w:val="96"/>
              </w:rPr>
            </w:pPr>
            <w:hyperlink w:anchor="page112">
              <w:r>
                <w:rPr>
                  <w:rFonts w:ascii="Arial" w:cs="Arial" w:eastAsia="Arial" w:hAnsi="Arial"/>
                  <w:sz w:val="18"/>
                  <w:szCs w:val="18"/>
                  <w:color w:val="0000FF"/>
                  <w:w w:val="96"/>
                </w:rPr>
                <w:t>Employment Agreement, dated July 31, 2020, by and</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6"/>
              </w:rPr>
            </w:pPr>
            <w:hyperlink w:anchor="page112">
              <w:r>
                <w:rPr>
                  <w:rFonts w:ascii="Arial" w:cs="Arial" w:eastAsia="Arial" w:hAnsi="Arial"/>
                  <w:sz w:val="18"/>
                  <w:szCs w:val="18"/>
                  <w:color w:val="0000FF"/>
                  <w:w w:val="86"/>
                </w:rPr>
                <w:t>between Selecta Biosciences, Inc. and Peter G. Traber,</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gridSpan w:val="22"/>
          </w:tcPr>
          <w:p>
            <w:pPr>
              <w:spacing w:after="0" w:line="156" w:lineRule="exact"/>
              <w:rPr>
                <w:rFonts w:ascii="Arial" w:cs="Arial" w:eastAsia="Arial" w:hAnsi="Arial"/>
                <w:sz w:val="18"/>
                <w:szCs w:val="18"/>
                <w:color w:val="0000FF"/>
              </w:rPr>
            </w:pPr>
            <w:hyperlink w:anchor="page112">
              <w:r>
                <w:rPr>
                  <w:rFonts w:ascii="Arial" w:cs="Arial" w:eastAsia="Arial" w:hAnsi="Arial"/>
                  <w:sz w:val="18"/>
                  <w:szCs w:val="18"/>
                  <w:color w:val="0000FF"/>
                </w:rPr>
                <w:t>M.D.</w:t>
              </w:r>
            </w:hyperlink>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5"/>
              </w:rPr>
            </w:pPr>
            <w:hyperlink r:id="rId122">
              <w:r>
                <w:rPr>
                  <w:rFonts w:ascii="Arial" w:cs="Arial" w:eastAsia="Arial" w:hAnsi="Arial"/>
                  <w:sz w:val="18"/>
                  <w:szCs w:val="18"/>
                  <w:u w:val="single" w:color="auto"/>
                  <w:color w:val="0000FF"/>
                  <w:w w:val="85"/>
                </w:rPr>
                <w:t>10.2</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Loan and Security Agreement, dated August 31, 2020,</w:t>
              </w:r>
            </w:hyperlink>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between Selecta Biosciences, Inc., Oxford Finance</w:t>
              </w:r>
            </w:hyperlink>
          </w:p>
        </w:tc>
        <w:tc>
          <w:tcPr>
            <w:tcW w:w="18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gridSpan w:val="24"/>
          </w:tcPr>
          <w:p>
            <w:pPr>
              <w:spacing w:after="0" w:line="156" w:lineRule="exact"/>
              <w:rPr>
                <w:rFonts w:ascii="Arial" w:cs="Arial" w:eastAsia="Arial" w:hAnsi="Arial"/>
                <w:sz w:val="18"/>
                <w:szCs w:val="18"/>
                <w:color w:val="0000FF"/>
                <w:w w:val="97"/>
              </w:rPr>
            </w:pPr>
            <w:hyperlink r:id="rId122">
              <w:r>
                <w:rPr>
                  <w:rFonts w:ascii="Arial" w:cs="Arial" w:eastAsia="Arial" w:hAnsi="Arial"/>
                  <w:sz w:val="18"/>
                  <w:szCs w:val="18"/>
                  <w:color w:val="0000FF"/>
                  <w:w w:val="97"/>
                </w:rPr>
                <w:t>LLC, as Collateral Agent and as a lender, and Silicon</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Valley Bank, as a lender.</w:t>
              </w:r>
            </w:hyperlink>
          </w:p>
        </w:tc>
        <w:tc>
          <w:tcPr>
            <w:tcW w:w="28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5"/>
              </w:rPr>
            </w:pPr>
            <w:hyperlink r:id="rId123">
              <w:r>
                <w:rPr>
                  <w:rFonts w:ascii="Arial" w:cs="Arial" w:eastAsia="Arial" w:hAnsi="Arial"/>
                  <w:sz w:val="18"/>
                  <w:szCs w:val="18"/>
                  <w:u w:val="single" w:color="auto"/>
                  <w:color w:val="0000FF"/>
                  <w:w w:val="85"/>
                </w:rPr>
                <w:t>10.3</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rPr>
            </w:pPr>
            <w:hyperlink r:id="rId123">
              <w:r>
                <w:rPr>
                  <w:rFonts w:ascii="Arial" w:cs="Arial" w:eastAsia="Arial" w:hAnsi="Arial"/>
                  <w:sz w:val="18"/>
                  <w:szCs w:val="18"/>
                  <w:color w:val="0000FF"/>
                </w:rPr>
                <w:t>Letter agreement, dated August 31, 2020, among</w:t>
              </w:r>
            </w:hyperlink>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gridSpan w:val="24"/>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Selecta Biosciences, Inc., Oxford Finance LLC and</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Silicon Valley Bank.</w:t>
              </w:r>
            </w:hyperlink>
          </w:p>
        </w:tc>
        <w:tc>
          <w:tcPr>
            <w:tcW w:w="2200" w:type="dxa"/>
            <w:vAlign w:val="bottom"/>
            <w:tcBorders>
              <w:top w:val="single" w:sz="8" w:color="0000FF"/>
            </w:tcBorders>
            <w:gridSpan w:val="10"/>
          </w:tcPr>
          <w:p>
            <w:pPr>
              <w:spacing w:after="0"/>
              <w:rPr>
                <w:sz w:val="13"/>
                <w:szCs w:val="13"/>
                <w:color w:val="auto"/>
              </w:rPr>
            </w:pPr>
          </w:p>
        </w:tc>
        <w:tc>
          <w:tcPr>
            <w:tcW w:w="420" w:type="dxa"/>
            <w:vAlign w:val="bottom"/>
            <w:gridSpan w:val="10"/>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5"/>
              </w:rPr>
            </w:pPr>
            <w:hyperlink w:anchor="page133">
              <w:r>
                <w:rPr>
                  <w:rFonts w:ascii="Arial" w:cs="Arial" w:eastAsia="Arial" w:hAnsi="Arial"/>
                  <w:sz w:val="18"/>
                  <w:szCs w:val="18"/>
                  <w:u w:val="single" w:color="auto"/>
                  <w:color w:val="0000FF"/>
                  <w:w w:val="85"/>
                </w:rPr>
                <w:t>31.1</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Rule 13a-14(a) / 15d-14(a) Certification of Chief</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Executive Officer</w:t>
              </w:r>
            </w:hyperlink>
          </w:p>
        </w:tc>
        <w:tc>
          <w:tcPr>
            <w:tcW w:w="58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gridSpan w:val="2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5"/>
              </w:rPr>
            </w:pPr>
            <w:hyperlink w:anchor="page135">
              <w:r>
                <w:rPr>
                  <w:rFonts w:ascii="Arial" w:cs="Arial" w:eastAsia="Arial" w:hAnsi="Arial"/>
                  <w:sz w:val="18"/>
                  <w:szCs w:val="18"/>
                  <w:u w:val="single" w:color="auto"/>
                  <w:color w:val="0000FF"/>
                  <w:w w:val="85"/>
                </w:rPr>
                <w:t>31.2</w:t>
              </w:r>
            </w:hyperlink>
          </w:p>
        </w:tc>
        <w:tc>
          <w:tcPr>
            <w:tcW w:w="120" w:type="dxa"/>
            <w:vAlign w:val="bottom"/>
          </w:tcPr>
          <w:p>
            <w:pPr>
              <w:spacing w:after="0"/>
              <w:rPr>
                <w:sz w:val="18"/>
                <w:szCs w:val="18"/>
                <w:color w:val="auto"/>
              </w:rPr>
            </w:pPr>
          </w:p>
        </w:tc>
        <w:tc>
          <w:tcPr>
            <w:tcW w:w="4120" w:type="dxa"/>
            <w:vAlign w:val="bottom"/>
            <w:gridSpan w:val="24"/>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Rule 13a-14(a) / 15d-14(a) Certification of Chief</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w:anchor="page135">
              <w:r>
                <w:rPr>
                  <w:rFonts w:ascii="Arial" w:cs="Arial" w:eastAsia="Arial" w:hAnsi="Arial"/>
                  <w:sz w:val="18"/>
                  <w:szCs w:val="18"/>
                  <w:color w:val="0000FF"/>
                  <w:w w:val="95"/>
                </w:rPr>
                <w:t>Financial Officer</w:t>
              </w:r>
            </w:hyperlink>
          </w:p>
        </w:tc>
        <w:tc>
          <w:tcPr>
            <w:tcW w:w="2260" w:type="dxa"/>
            <w:vAlign w:val="bottom"/>
            <w:tcBorders>
              <w:top w:val="single" w:sz="8" w:color="0000FF"/>
            </w:tcBorders>
            <w:gridSpan w:val="8"/>
          </w:tcPr>
          <w:p>
            <w:pPr>
              <w:spacing w:after="0"/>
              <w:rPr>
                <w:sz w:val="13"/>
                <w:szCs w:val="13"/>
                <w:color w:val="auto"/>
              </w:rPr>
            </w:pPr>
          </w:p>
        </w:tc>
        <w:tc>
          <w:tcPr>
            <w:tcW w:w="58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60" w:type="dxa"/>
            <w:vAlign w:val="bottom"/>
          </w:tcPr>
          <w:p>
            <w:pPr>
              <w:jc w:val="center"/>
              <w:spacing w:after="0"/>
              <w:rPr>
                <w:rFonts w:ascii="Arial" w:cs="Arial" w:eastAsia="Arial" w:hAnsi="Arial"/>
                <w:sz w:val="18"/>
                <w:szCs w:val="18"/>
                <w:u w:val="single" w:color="auto"/>
                <w:color w:val="0000FF"/>
                <w:w w:val="85"/>
              </w:rPr>
            </w:pPr>
            <w:hyperlink w:anchor="page136">
              <w:r>
                <w:rPr>
                  <w:rFonts w:ascii="Arial" w:cs="Arial" w:eastAsia="Arial" w:hAnsi="Arial"/>
                  <w:sz w:val="18"/>
                  <w:szCs w:val="18"/>
                  <w:u w:val="single" w:color="auto"/>
                  <w:color w:val="0000FF"/>
                  <w:w w:val="85"/>
                </w:rPr>
                <w:t>32.1</w:t>
              </w:r>
            </w:hyperlink>
          </w:p>
        </w:tc>
        <w:tc>
          <w:tcPr>
            <w:tcW w:w="120" w:type="dxa"/>
            <w:vAlign w:val="bottom"/>
          </w:tcPr>
          <w:p>
            <w:pPr>
              <w:spacing w:after="0"/>
              <w:rPr>
                <w:sz w:val="21"/>
                <w:szCs w:val="21"/>
                <w:color w:val="auto"/>
              </w:rPr>
            </w:pPr>
          </w:p>
        </w:tc>
        <w:tc>
          <w:tcPr>
            <w:tcW w:w="4120" w:type="dxa"/>
            <w:vAlign w:val="bottom"/>
            <w:gridSpan w:val="24"/>
          </w:tcPr>
          <w:p>
            <w:pPr>
              <w:spacing w:after="0"/>
              <w:rPr>
                <w:rFonts w:ascii="Arial" w:cs="Arial" w:eastAsia="Arial" w:hAnsi="Arial"/>
                <w:sz w:val="18"/>
                <w:szCs w:val="18"/>
                <w:u w:val="single" w:color="auto"/>
                <w:color w:val="0000FF"/>
                <w:w w:val="99"/>
              </w:rPr>
            </w:pPr>
            <w:hyperlink w:anchor="page136">
              <w:r>
                <w:rPr>
                  <w:rFonts w:ascii="Arial" w:cs="Arial" w:eastAsia="Arial" w:hAnsi="Arial"/>
                  <w:sz w:val="18"/>
                  <w:szCs w:val="18"/>
                  <w:u w:val="single" w:color="auto"/>
                  <w:color w:val="0000FF"/>
                  <w:w w:val="99"/>
                </w:rPr>
                <w:t>Section 1350 Certification of Chief Executive Officer</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tcPr>
          <w:p>
            <w:pPr>
              <w:jc w:val="center"/>
              <w:spacing w:after="0"/>
              <w:rPr>
                <w:rFonts w:ascii="Arial" w:cs="Arial" w:eastAsia="Arial" w:hAnsi="Arial"/>
                <w:sz w:val="18"/>
                <w:szCs w:val="18"/>
                <w:u w:val="single" w:color="auto"/>
                <w:color w:val="0000FF"/>
                <w:w w:val="85"/>
              </w:rPr>
            </w:pPr>
            <w:hyperlink w:anchor="page137">
              <w:r>
                <w:rPr>
                  <w:rFonts w:ascii="Arial" w:cs="Arial" w:eastAsia="Arial" w:hAnsi="Arial"/>
                  <w:sz w:val="18"/>
                  <w:szCs w:val="18"/>
                  <w:u w:val="single" w:color="auto"/>
                  <w:color w:val="0000FF"/>
                  <w:w w:val="85"/>
                </w:rPr>
                <w:t>32.2</w:t>
              </w:r>
            </w:hyperlink>
          </w:p>
        </w:tc>
        <w:tc>
          <w:tcPr>
            <w:tcW w:w="120" w:type="dxa"/>
            <w:vAlign w:val="bottom"/>
          </w:tcPr>
          <w:p>
            <w:pPr>
              <w:spacing w:after="0"/>
              <w:rPr>
                <w:sz w:val="19"/>
                <w:szCs w:val="19"/>
                <w:color w:val="auto"/>
              </w:rPr>
            </w:pPr>
          </w:p>
        </w:tc>
        <w:tc>
          <w:tcPr>
            <w:tcW w:w="4120" w:type="dxa"/>
            <w:vAlign w:val="bottom"/>
            <w:gridSpan w:val="24"/>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Section 1350 Certification of Chief Financial Officer</w:t>
              </w:r>
            </w:hyperlink>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101.INS</w:t>
            </w: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rPr>
              <w:t>Inline XBRL Instance Document - the Instance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w w:val="97"/>
              </w:rPr>
              <w:t>Document does not appear in the interactive data file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w w:val="94"/>
              </w:rPr>
              <w:t>because its XBRL tags are embedded within the Inline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4"/>
          </w:tcPr>
          <w:p>
            <w:pPr>
              <w:spacing w:after="0"/>
              <w:rPr>
                <w:sz w:val="20"/>
                <w:szCs w:val="20"/>
                <w:color w:val="auto"/>
              </w:rPr>
            </w:pPr>
            <w:r>
              <w:rPr>
                <w:rFonts w:ascii="Arial" w:cs="Arial" w:eastAsia="Arial" w:hAnsi="Arial"/>
                <w:sz w:val="18"/>
                <w:szCs w:val="18"/>
                <w:color w:val="auto"/>
              </w:rPr>
              <w:t>XBRL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4120" w:type="dxa"/>
            <w:vAlign w:val="bottom"/>
            <w:gridSpan w:val="24"/>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4"/>
              </w:rPr>
              <w:t>101.CAL</w:t>
            </w: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101.DEF</w:t>
            </w: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101.LAB</w:t>
            </w: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101.PRE</w:t>
            </w: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4"/>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86"/>
              </w:rPr>
              <w:t>104</w:t>
            </w:r>
          </w:p>
        </w:tc>
        <w:tc>
          <w:tcPr>
            <w:tcW w:w="120" w:type="dxa"/>
            <w:vAlign w:val="bottom"/>
          </w:tcPr>
          <w:p>
            <w:pPr>
              <w:spacing w:after="0"/>
              <w:rPr>
                <w:sz w:val="15"/>
                <w:szCs w:val="15"/>
                <w:color w:val="auto"/>
              </w:rPr>
            </w:pPr>
          </w:p>
        </w:tc>
        <w:tc>
          <w:tcPr>
            <w:tcW w:w="4120" w:type="dxa"/>
            <w:vAlign w:val="bottom"/>
            <w:gridSpan w:val="24"/>
          </w:tcPr>
          <w:p>
            <w:pPr>
              <w:spacing w:after="0" w:line="176" w:lineRule="exact"/>
              <w:rPr>
                <w:sz w:val="20"/>
                <w:szCs w:val="20"/>
                <w:color w:val="auto"/>
              </w:rPr>
            </w:pPr>
            <w:r>
              <w:rPr>
                <w:rFonts w:ascii="Arial" w:cs="Arial" w:eastAsia="Arial" w:hAnsi="Arial"/>
                <w:sz w:val="18"/>
                <w:szCs w:val="18"/>
                <w:color w:val="auto"/>
                <w:w w:val="97"/>
              </w:rPr>
              <w:t>Cover Page Interactive Data File (formatted as Inline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4"/>
          </w:tcPr>
          <w:p>
            <w:pPr>
              <w:spacing w:after="0"/>
              <w:rPr>
                <w:sz w:val="20"/>
                <w:szCs w:val="20"/>
                <w:color w:val="auto"/>
              </w:rPr>
            </w:pPr>
            <w:r>
              <w:rPr>
                <w:rFonts w:ascii="Arial" w:cs="Arial" w:eastAsia="Arial" w:hAnsi="Arial"/>
                <w:sz w:val="18"/>
                <w:szCs w:val="18"/>
                <w:color w:val="auto"/>
              </w:rPr>
              <w:t>XBRL and contained in Exhibit 101)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900" w:hanging="45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00" w:hanging="45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 w:lineRule="exact"/>
        <w:rPr>
          <w:rFonts w:ascii="Arial" w:cs="Arial" w:eastAsia="Arial" w:hAnsi="Arial"/>
          <w:sz w:val="18"/>
          <w:szCs w:val="18"/>
          <w:color w:val="auto"/>
        </w:rPr>
      </w:pPr>
    </w:p>
    <w:p>
      <w:pPr>
        <w:ind w:left="900" w:hanging="45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563245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380" w:type="dxa"/>
            <w:vAlign w:val="bottom"/>
            <w:gridSpan w:val="2"/>
          </w:tcPr>
          <w:p>
            <w:pPr>
              <w:ind w:left="200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20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2"/>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30"/>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15"/>
        </w:trPr>
        <w:tc>
          <w:tcPr>
            <w:tcW w:w="380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20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Bradford D. Dahms</w:t>
            </w:r>
          </w:p>
        </w:tc>
      </w:tr>
      <w:tr>
        <w:trPr>
          <w:trHeight w:val="222"/>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Bradford D. Dahms</w:t>
            </w:r>
          </w:p>
        </w:tc>
      </w:tr>
      <w:tr>
        <w:trPr>
          <w:trHeight w:val="230"/>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999"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b w:val="1"/>
          <w:bCs w:val="1"/>
          <w:color w:val="auto"/>
        </w:rPr>
        <w:t>Exhibit 4.2</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REGISTRATION RIGHTS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June 11, 2020, is entered into by and between Selecta Biosciences,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“Purchaser” named in that certain Share Purchase Agreement, dated as of June 11, 2020, by and between the Company and Purchaser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Capitalized terms used herein have the respective meanings ascribed thereto in the Purchase Agreement unless otherwise defined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and the Purchaser have entered into the Purchase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mutual covenants contained in this Agreement and the Purchase Agreement, and for other good and valuable consideration, the receipt and adequacy of which are hereby acknowledged, the Company and the Purchaser agree as follows: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tab/>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defined elsewhere in this Agreement, the following terms have the meanings set forth in this Section 1:</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Offering</w:t>
      </w:r>
      <w:r>
        <w:rPr>
          <w:rFonts w:ascii="Arial" w:cs="Arial" w:eastAsia="Arial" w:hAnsi="Arial"/>
          <w:sz w:val="20"/>
          <w:szCs w:val="20"/>
          <w:color w:val="auto"/>
        </w:rPr>
        <w:t>” means the offer and sale of Registrable Securities for cash pursuant to an effective Registration Statement under the Securities Act (other than a Registration Statement on Form S-4 or Form S-8 or any successor form).</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means the Purchaser identified in the Purchase Agreement and any affiliate or permitted transferee of any Purchaser who is a subsequent holder of Registrable Securities.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made by preparing and filing a Registration Statement or similar document in compliance with the Securities Act, and the declaration or ordering of effectiveness of such Registration Statement or document.</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Shares and (ii) all securities directly or indirectly issued with respect to the Shares by way of a stock dividend or stock split, or in connection with a combination of shares, recapitalization, merger, consolidation or other reorganization.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pursuant to Rule 144, (y) such holder is able to immediately sell such securities under Rule 144 without any restrictions on transfer (including without application of paragraphs (c), (d), (e),</w:t>
      </w:r>
    </w:p>
    <w:p>
      <w:pPr>
        <w:spacing w:after="0" w:line="1" w:lineRule="exact"/>
        <w:rPr>
          <w:sz w:val="20"/>
          <w:szCs w:val="20"/>
          <w:color w:val="auto"/>
        </w:rPr>
      </w:pPr>
    </w:p>
    <w:p>
      <w:pPr>
        <w:ind w:firstLine="8"/>
        <w:spacing w:after="0" w:line="244" w:lineRule="auto"/>
        <w:tabs>
          <w:tab w:leader="none" w:pos="257"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and (h) of Rule 144), as reasonably determined by the Company, upon the advice of counsel to the Company, or (z) such securities shall have ceased to be outstanding.</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97" w:name="page98"/>
    <w:bookmarkEnd w:id="97"/>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Public Offering</w:t>
      </w:r>
      <w:r>
        <w:rPr>
          <w:rFonts w:ascii="Arial" w:cs="Arial" w:eastAsia="Arial" w:hAnsi="Arial"/>
          <w:sz w:val="20"/>
          <w:szCs w:val="20"/>
          <w:color w:val="auto"/>
        </w:rPr>
        <w:t>” means an underwritten Public Offering, including any bought deal or block sale to a financial institution conducted as an underwritten Public Offering.</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color w:val="auto"/>
        </w:rPr>
        <w:t>REGISTRATION.</w:t>
      </w:r>
    </w:p>
    <w:p>
      <w:pPr>
        <w:spacing w:after="0" w:line="222"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4"/>
        <w:spacing w:after="0" w:line="269" w:lineRule="auto"/>
        <w:tabs>
          <w:tab w:leader="none" w:pos="1707" w:val="left"/>
        </w:tabs>
        <w:numPr>
          <w:ilvl w:val="1"/>
          <w:numId w:val="48"/>
        </w:numPr>
        <w:rPr>
          <w:rFonts w:ascii="Arial" w:cs="Arial" w:eastAsia="Arial" w:hAnsi="Arial"/>
          <w:sz w:val="19"/>
          <w:szCs w:val="19"/>
          <w:color w:val="auto"/>
        </w:rPr>
      </w:pPr>
      <w:r>
        <w:rPr>
          <w:rFonts w:ascii="Arial" w:cs="Arial" w:eastAsia="Arial" w:hAnsi="Arial"/>
          <w:sz w:val="18"/>
          <w:szCs w:val="18"/>
          <w:color w:val="auto"/>
        </w:rPr>
        <w:t>Promptly following the Closing Date but no later than ninety (90) days after the Closing Date (the “</w:t>
      </w:r>
      <w:r>
        <w:rPr>
          <w:rFonts w:ascii="Arial" w:cs="Arial" w:eastAsia="Arial" w:hAnsi="Arial"/>
          <w:sz w:val="18"/>
          <w:szCs w:val="18"/>
          <w:u w:val="single" w:color="auto"/>
          <w:color w:val="auto"/>
        </w:rPr>
        <w:t>Filing Deadline</w:t>
      </w:r>
      <w:r>
        <w:rPr>
          <w:rFonts w:ascii="Arial" w:cs="Arial" w:eastAsia="Arial" w:hAnsi="Arial"/>
          <w:sz w:val="18"/>
          <w:szCs w:val="18"/>
          <w:color w:val="auto"/>
        </w:rPr>
        <w:t xml:space="preserve">”), the Company shall prepare and file with the SEC one Registration Statement covering the resale of all of the Registrable Securities. Each Registration Statement filed hereunder shall be on Form S-3 and for an offering to be made on a continuous basis pursuant to Rule 415 (except if the Company is not then eligible to register for resale the Registrable Securities on Form S-3, in which case such registration shall be on another appropriate form in accordance herewith, subject to the provisions of Section 2(d)) and, subject to any SEC comments, such Registration Statement shall include the plan of distribution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provided, however, that Purchaser shall not be named as an “underwriter” in such Registration Statement without Purchaser’s prior written consent.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(and each amendment or supplement thereto) shall be provided in accordance with Section 3(c) to Purchaser prior to its filing or other submission.</w:t>
      </w:r>
    </w:p>
    <w:p>
      <w:pPr>
        <w:spacing w:after="0" w:line="202" w:lineRule="exact"/>
        <w:rPr>
          <w:rFonts w:ascii="Arial" w:cs="Arial" w:eastAsia="Arial" w:hAnsi="Arial"/>
          <w:sz w:val="19"/>
          <w:szCs w:val="19"/>
          <w:color w:val="auto"/>
        </w:rPr>
      </w:pPr>
    </w:p>
    <w:p>
      <w:pPr>
        <w:jc w:val="both"/>
        <w:ind w:firstLine="1304"/>
        <w:spacing w:after="0" w:line="267" w:lineRule="auto"/>
        <w:tabs>
          <w:tab w:leader="none" w:pos="1780" w:val="left"/>
        </w:tabs>
        <w:numPr>
          <w:ilvl w:val="1"/>
          <w:numId w:val="48"/>
        </w:numPr>
        <w:rPr>
          <w:rFonts w:ascii="Arial" w:cs="Arial" w:eastAsia="Arial" w:hAnsi="Arial"/>
          <w:sz w:val="19"/>
          <w:szCs w:val="19"/>
          <w:color w:val="auto"/>
        </w:rPr>
      </w:pPr>
      <w:r>
        <w:rPr>
          <w:rFonts w:ascii="Arial" w:cs="Arial" w:eastAsia="Arial" w:hAnsi="Arial"/>
          <w:sz w:val="18"/>
          <w:szCs w:val="18"/>
          <w:u w:val="single" w:color="auto"/>
          <w:color w:val="auto"/>
        </w:rPr>
        <w:t>Piggy-Back Registrations</w:t>
      </w:r>
      <w:r>
        <w:rPr>
          <w:rFonts w:ascii="Arial" w:cs="Arial" w:eastAsia="Arial" w:hAnsi="Arial"/>
          <w:sz w:val="18"/>
          <w:szCs w:val="18"/>
          <w:color w:val="auto"/>
        </w:rPr>
        <w:t>. If, at any time during the Effectiveness Period (as defined below), there is not an effective Registration Statement covering all of the Registrable Securities and the Company shall determine to prepare and file with the SEC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Purchaser a written notice of such determination and, if within fifteen (15) business days after the date of the delivery of such notice, Purchaser shall so request in writing, the Company shall include in such registration statement all or any part of such Registrable Securities that the Purchaser requests to be registered (a “</w:t>
      </w:r>
      <w:r>
        <w:rPr>
          <w:rFonts w:ascii="Arial" w:cs="Arial" w:eastAsia="Arial" w:hAnsi="Arial"/>
          <w:sz w:val="18"/>
          <w:szCs w:val="18"/>
          <w:u w:val="single" w:color="auto"/>
          <w:color w:val="auto"/>
        </w:rPr>
        <w:t>Piggyback</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register any Registrable Securities pursuant to this Section that are eligible for resale pursuant to Rule 144 (without volume restrictions or current public information requirements) promulgated by the SEC pursuant to the Securities Act or that are the subject of a then effective Registration Statement that is available for resales or other dispositions by the Purchaser. If the managing underwriter or underwriters of any proposed offering of Registrable Securities included in a Piggyback Registration informs the Company and the Purchaser in writing that, in its or their opinion, the number of securities that the Purchaser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Statement shall be (i) first, one hundred percent (100%) of the securities that the Company proposes to sell, and (ii) second, and only if all the securities referred to in clause (i) have been included, the number of Registrable Securities requested to be sold by Purchaser that, in the opinion of such managing underwriter or underwriters, can be sold without having such adverse effect, and (iii) third, and only if all of the Registrable Securities referred to in clause (ii) have been included in such Registration Statement, any other securities eligible for inclusion in such Registration Statement. The Company shall have the right to terminate or withdraw any registration initiated by it under this Section 2(a)(ii) prior to the effectiveness of such registration whether or not the Purchaser has elected to include securities in such registration.</w:t>
      </w:r>
    </w:p>
    <w:p>
      <w:pPr>
        <w:spacing w:after="0" w:line="186" w:lineRule="exact"/>
        <w:rPr>
          <w:rFonts w:ascii="Arial" w:cs="Arial" w:eastAsia="Arial" w:hAnsi="Arial"/>
          <w:sz w:val="19"/>
          <w:szCs w:val="19"/>
          <w:color w:val="auto"/>
        </w:rPr>
      </w:pPr>
    </w:p>
    <w:p>
      <w:pPr>
        <w:ind w:right="20" w:firstLine="656"/>
        <w:spacing w:after="0" w:line="260" w:lineRule="auto"/>
        <w:tabs>
          <w:tab w:leader="none" w:pos="128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All expenses incident to the Company’s performance of or compliance with this Agreement (excluding any underwriting discounts and selling commissions, which shall be borne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71" w:right="339" w:bottom="1440" w:gutter="0" w:footer="0" w:header="0"/>
        </w:sectPr>
      </w:pPr>
    </w:p>
    <w:bookmarkStart w:id="98" w:name="page99"/>
    <w:bookmarkEnd w:id="98"/>
    <w:p>
      <w:pPr>
        <w:jc w:val="both"/>
        <w:spacing w:after="0" w:line="254" w:lineRule="auto"/>
        <w:rPr>
          <w:sz w:val="20"/>
          <w:szCs w:val="20"/>
          <w:color w:val="auto"/>
        </w:rPr>
      </w:pPr>
      <w:r>
        <w:rPr>
          <w:rFonts w:ascii="Arial" w:cs="Arial" w:eastAsia="Arial" w:hAnsi="Arial"/>
          <w:sz w:val="19"/>
          <w:szCs w:val="19"/>
          <w:color w:val="auto"/>
        </w:rPr>
        <w:t>solely by the Purchaser) shall be paid by the Company, including (i) all registration and filing fees, and any other fees and expenses associated with filings required to be made with the SEC or FINRA,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or independent auditors of the Company and any subsidiaries of the Company (including the expenses of any special audit and comfort letters required by or incident to such performance), (v) Securities Act liability insurance or similar insurance if the Company so desires, (vi) all fees and expenses incurred in connection with the listing of the Registrable Securities on any securities exchange or quotation of the Registrable Securities on any inter-dealer quotation system, (vii) all reasonable fees and expenses of any other Persons retained by the Company in connection with any Registration Statement or sale, and (viii) all of the Company’s internal expenses (including all salaries and expenses of its officers and employees performing legal or accounting duties). To the extent that underwriting discounts and selling commissions are incurred in connection with the sale of Registrable Securities in an Underwritten Public Offering hereunder, such underwriting discounts and selling commissions shall be borne solely by the Purchaser. The Company shall not be responsible for legal fees, broker or similar commissions or any other costs incurred by the Purchaser in connection with the performance of its rights and obligations under this Agreement.</w:t>
      </w:r>
    </w:p>
    <w:p>
      <w:pPr>
        <w:spacing w:after="0" w:line="190" w:lineRule="exact"/>
        <w:rPr>
          <w:sz w:val="20"/>
          <w:szCs w:val="20"/>
          <w:color w:val="auto"/>
        </w:rPr>
      </w:pPr>
    </w:p>
    <w:p>
      <w:pPr>
        <w:ind w:left="1300" w:hanging="644"/>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4"/>
        <w:spacing w:after="0" w:line="282" w:lineRule="auto"/>
        <w:tabs>
          <w:tab w:leader="none" w:pos="1707" w:val="left"/>
        </w:tabs>
        <w:numPr>
          <w:ilvl w:val="2"/>
          <w:numId w:val="49"/>
        </w:numPr>
        <w:rPr>
          <w:rFonts w:ascii="Arial" w:cs="Arial" w:eastAsia="Arial" w:hAnsi="Arial"/>
          <w:sz w:val="18"/>
          <w:szCs w:val="18"/>
          <w:color w:val="auto"/>
        </w:rPr>
      </w:pPr>
      <w:r>
        <w:rPr>
          <w:rFonts w:ascii="Arial" w:cs="Arial" w:eastAsia="Arial" w:hAnsi="Arial"/>
          <w:sz w:val="17"/>
          <w:szCs w:val="17"/>
          <w:color w:val="auto"/>
        </w:rPr>
        <w:t>The Company shall use reasonable efforts to have any Registration Statement declared effective as soon as practicable after the filing. The Company shall respond promptly to any and all comments made by the staff of the SEC on any Registration Statement, and shall submit to the SEC, within two (2) business days after the Company learns that no review of the Registration Statement will be made by the staff of the SEC or that the staff of the SEC has no further comments on such Registration Statement, as the case may be, a request for acceleration of the effectiveness of such Registration Statement to a time and date not later than two (2) business days after the submission of such request. The Company shall notify the Purchaser by facsimile or e-mail as promptly as practicable, and in any event, within twenty-four</w:t>
      </w:r>
    </w:p>
    <w:p>
      <w:pPr>
        <w:spacing w:after="0" w:line="1" w:lineRule="exact"/>
        <w:rPr>
          <w:rFonts w:ascii="Arial" w:cs="Arial" w:eastAsia="Arial" w:hAnsi="Arial"/>
          <w:sz w:val="18"/>
          <w:szCs w:val="18"/>
          <w:color w:val="auto"/>
        </w:rPr>
      </w:pPr>
    </w:p>
    <w:p>
      <w:pPr>
        <w:ind w:firstLine="8"/>
        <w:spacing w:after="0" w:line="244" w:lineRule="auto"/>
        <w:tabs>
          <w:tab w:leader="none" w:pos="404" w:val="left"/>
        </w:tabs>
        <w:numPr>
          <w:ilvl w:val="0"/>
          <w:numId w:val="50"/>
        </w:numPr>
        <w:rPr>
          <w:rFonts w:ascii="Arial" w:cs="Arial" w:eastAsia="Arial" w:hAnsi="Arial"/>
          <w:sz w:val="20"/>
          <w:szCs w:val="20"/>
          <w:color w:val="auto"/>
        </w:rPr>
      </w:pPr>
      <w:r>
        <w:rPr>
          <w:rFonts w:ascii="Arial" w:cs="Arial" w:eastAsia="Arial" w:hAnsi="Arial"/>
          <w:sz w:val="20"/>
          <w:szCs w:val="20"/>
          <w:color w:val="auto"/>
        </w:rPr>
        <w:t>hours, after any such Registration Statement is declared effective and shall, upon request, provide the Purchaser with copies of any related Prospectus to be used in connection with the sale or other disposition of the securities covered thereby.</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2"/>
          <w:numId w:val="50"/>
        </w:numPr>
        <w:rPr>
          <w:rFonts w:ascii="Arial" w:cs="Arial" w:eastAsia="Arial" w:hAnsi="Arial"/>
          <w:sz w:val="22"/>
          <w:szCs w:val="22"/>
          <w:color w:val="auto"/>
        </w:rPr>
      </w:pPr>
      <w:r>
        <w:rPr>
          <w:rFonts w:ascii="Arial" w:cs="Arial" w:eastAsia="Arial" w:hAnsi="Arial"/>
          <w:sz w:val="20"/>
          <w:szCs w:val="20"/>
          <w:color w:val="auto"/>
        </w:rPr>
        <w:t>If, with respect to any Registration Statement covering the Registrable Securities:</w:t>
      </w:r>
    </w:p>
    <w:p>
      <w:pPr>
        <w:spacing w:after="0" w:line="195" w:lineRule="exact"/>
        <w:rPr>
          <w:rFonts w:ascii="Arial" w:cs="Arial" w:eastAsia="Arial" w:hAnsi="Arial"/>
          <w:sz w:val="22"/>
          <w:szCs w:val="22"/>
          <w:color w:val="auto"/>
        </w:rPr>
      </w:pPr>
    </w:p>
    <w:p>
      <w:pPr>
        <w:ind w:left="2280" w:hanging="328"/>
        <w:spacing w:after="0"/>
        <w:tabs>
          <w:tab w:leader="none" w:pos="2280" w:val="left"/>
        </w:tabs>
        <w:numPr>
          <w:ilvl w:val="3"/>
          <w:numId w:val="50"/>
        </w:numPr>
        <w:rPr>
          <w:rFonts w:ascii="Arial" w:cs="Arial" w:eastAsia="Arial" w:hAnsi="Arial"/>
          <w:sz w:val="18"/>
          <w:szCs w:val="18"/>
          <w:color w:val="auto"/>
        </w:rPr>
      </w:pPr>
      <w:r>
        <w:rPr>
          <w:rFonts w:ascii="Arial" w:cs="Arial" w:eastAsia="Arial" w:hAnsi="Arial"/>
          <w:sz w:val="18"/>
          <w:szCs w:val="18"/>
          <w:color w:val="auto"/>
        </w:rPr>
        <w:t>such Registration Statement covering the Registrable Securities is not filed with the SEC on or prior to the Filing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Deadline,</w:t>
      </w:r>
    </w:p>
    <w:p>
      <w:pPr>
        <w:spacing w:after="0" w:line="199" w:lineRule="exact"/>
        <w:rPr>
          <w:rFonts w:ascii="Arial" w:cs="Arial" w:eastAsia="Arial" w:hAnsi="Arial"/>
          <w:sz w:val="18"/>
          <w:szCs w:val="18"/>
          <w:color w:val="auto"/>
        </w:rPr>
      </w:pPr>
    </w:p>
    <w:p>
      <w:pPr>
        <w:jc w:val="both"/>
        <w:ind w:firstLine="1952"/>
        <w:spacing w:after="0" w:line="282" w:lineRule="auto"/>
        <w:tabs>
          <w:tab w:leader="none" w:pos="2283" w:val="left"/>
        </w:tabs>
        <w:numPr>
          <w:ilvl w:val="3"/>
          <w:numId w:val="50"/>
        </w:numPr>
        <w:rPr>
          <w:rFonts w:ascii="Arial" w:cs="Arial" w:eastAsia="Arial" w:hAnsi="Arial"/>
          <w:sz w:val="18"/>
          <w:szCs w:val="18"/>
          <w:color w:val="auto"/>
        </w:rPr>
      </w:pPr>
      <w:r>
        <w:rPr>
          <w:rFonts w:ascii="Arial" w:cs="Arial" w:eastAsia="Arial" w:hAnsi="Arial"/>
          <w:sz w:val="18"/>
          <w:szCs w:val="18"/>
          <w:color w:val="auto"/>
        </w:rPr>
        <w:t>such Registration Statement covering the Registrable Securities is not declared effective by the SEC prior to earlier of: (x) ten (10) Business Days after the SEC informs the Company that no review of such Registration Statement will be made or that the SEC has no further comments on such Registration Statement, (y) the 120th calendar day following the Closing Date, or (z) in the event of a “review” by the SEC, the 160th calendar day following the Closing Date (as applicable, the “</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or</w:t>
      </w:r>
    </w:p>
    <w:p>
      <w:pPr>
        <w:spacing w:after="0" w:line="161" w:lineRule="exact"/>
        <w:rPr>
          <w:rFonts w:ascii="Arial" w:cs="Arial" w:eastAsia="Arial" w:hAnsi="Arial"/>
          <w:sz w:val="18"/>
          <w:szCs w:val="18"/>
          <w:color w:val="auto"/>
        </w:rPr>
      </w:pPr>
    </w:p>
    <w:p>
      <w:pPr>
        <w:jc w:val="both"/>
        <w:ind w:firstLine="1952"/>
        <w:spacing w:after="0" w:line="244" w:lineRule="auto"/>
        <w:tabs>
          <w:tab w:leader="none" w:pos="2277" w:val="left"/>
        </w:tabs>
        <w:numPr>
          <w:ilvl w:val="3"/>
          <w:numId w:val="50"/>
        </w:numPr>
        <w:rPr>
          <w:rFonts w:ascii="Arial" w:cs="Arial" w:eastAsia="Arial" w:hAnsi="Arial"/>
          <w:sz w:val="20"/>
          <w:szCs w:val="20"/>
          <w:color w:val="auto"/>
        </w:rPr>
      </w:pPr>
      <w:r>
        <w:rPr>
          <w:rFonts w:ascii="Arial" w:cs="Arial" w:eastAsia="Arial" w:hAnsi="Arial"/>
          <w:sz w:val="20"/>
          <w:szCs w:val="20"/>
          <w:color w:val="auto"/>
        </w:rPr>
        <w:t>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Arial" w:cs="Arial" w:eastAsia="Arial" w:hAnsi="Arial"/>
          <w:sz w:val="20"/>
          <w:szCs w:val="20"/>
          <w:u w:val="single" w:color="auto"/>
          <w:color w:val="auto"/>
        </w:rPr>
        <w:t>Maintenance Failure</w:t>
      </w:r>
      <w:r>
        <w:rPr>
          <w:rFonts w:ascii="Arial" w:cs="Arial" w:eastAsia="Arial" w:hAnsi="Arial"/>
          <w:sz w:val="20"/>
          <w:szCs w:val="20"/>
          <w:color w:val="auto"/>
        </w:rPr>
        <w:t>”),</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then the Company will make pro rata payments to each Purchaser then holding Registrable Securities, as liquidated damages and not as a penalty, in an amount equal to 1% of the aggregate amount paid pursuant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71" w:right="339" w:bottom="1440" w:gutter="0" w:footer="0" w:header="0"/>
        </w:sectPr>
      </w:pPr>
    </w:p>
    <w:bookmarkStart w:id="99" w:name="page100"/>
    <w:bookmarkEnd w:id="99"/>
    <w:p>
      <w:pPr>
        <w:jc w:val="both"/>
        <w:spacing w:after="0" w:line="274" w:lineRule="auto"/>
        <w:rPr>
          <w:sz w:val="20"/>
          <w:szCs w:val="20"/>
          <w:color w:val="auto"/>
        </w:rPr>
      </w:pPr>
      <w:r>
        <w:rPr>
          <w:rFonts w:ascii="Arial" w:cs="Arial" w:eastAsia="Arial" w:hAnsi="Arial"/>
          <w:sz w:val="18"/>
          <w:szCs w:val="18"/>
          <w:color w:val="auto"/>
        </w:rPr>
        <w:t>to the Purchase Agreement by such Purchaser for such Registrable Securities then held by such Purchaser for each 30-day period or pro rata for any portion thereof following the date by which such Registration Statement should have been effective (the “</w:t>
      </w:r>
      <w:r>
        <w:rPr>
          <w:rFonts w:ascii="Arial" w:cs="Arial" w:eastAsia="Arial" w:hAnsi="Arial"/>
          <w:sz w:val="18"/>
          <w:szCs w:val="18"/>
          <w:u w:val="single" w:color="auto"/>
          <w:color w:val="auto"/>
        </w:rPr>
        <w:t>Blackout Period</w:t>
      </w:r>
      <w:r>
        <w:rPr>
          <w:rFonts w:ascii="Arial" w:cs="Arial" w:eastAsia="Arial" w:hAnsi="Arial"/>
          <w:sz w:val="18"/>
          <w:szCs w:val="18"/>
          <w:color w:val="auto"/>
        </w:rPr>
        <w:t>”). Such payments shall constitute the Purchaser’s exclusive monetary remedy for such events, but shall not affect the right of the Purchaser to seek injunctive relief. The amounts payable as liquidated damages pursuant to this paragraph shall be paid no later than five (5) Business Days after each such 30-day period following the commencement of the Blackout Period until the termination of the Blackout Period (the “</w:t>
      </w:r>
      <w:r>
        <w:rPr>
          <w:rFonts w:ascii="Arial" w:cs="Arial" w:eastAsia="Arial" w:hAnsi="Arial"/>
          <w:sz w:val="18"/>
          <w:szCs w:val="18"/>
          <w:u w:val="single" w:color="auto"/>
          <w:color w:val="auto"/>
        </w:rPr>
        <w:t>Blackout Payment Date</w:t>
      </w:r>
      <w:r>
        <w:rPr>
          <w:rFonts w:ascii="Arial" w:cs="Arial" w:eastAsia="Arial" w:hAnsi="Arial"/>
          <w:sz w:val="18"/>
          <w:szCs w:val="18"/>
          <w:color w:val="auto"/>
        </w:rPr>
        <w:t>”). Such payments shall be made to each Purchaser in cash. Interest shall accrue at the rate of 1% per month on any such liquidated damages payments that shall not be paid by the Blackout Payment Date until such amount is paid in full.</w:t>
      </w:r>
    </w:p>
    <w:p>
      <w:pPr>
        <w:spacing w:after="0" w:line="195" w:lineRule="exact"/>
        <w:rPr>
          <w:sz w:val="20"/>
          <w:szCs w:val="20"/>
          <w:color w:val="auto"/>
        </w:rPr>
      </w:pPr>
    </w:p>
    <w:p>
      <w:pPr>
        <w:jc w:val="both"/>
        <w:ind w:firstLine="1304"/>
        <w:spacing w:after="0" w:line="268" w:lineRule="auto"/>
        <w:tabs>
          <w:tab w:leader="none" w:pos="1854" w:val="left"/>
        </w:tabs>
        <w:numPr>
          <w:ilvl w:val="1"/>
          <w:numId w:val="51"/>
        </w:numPr>
        <w:rPr>
          <w:rFonts w:ascii="Arial" w:cs="Arial" w:eastAsia="Arial" w:hAnsi="Arial"/>
          <w:sz w:val="19"/>
          <w:szCs w:val="19"/>
          <w:color w:val="auto"/>
        </w:rPr>
      </w:pPr>
      <w:r>
        <w:rPr>
          <w:rFonts w:ascii="Arial" w:cs="Arial" w:eastAsia="Arial" w:hAnsi="Arial"/>
          <w:sz w:val="18"/>
          <w:szCs w:val="18"/>
          <w:color w:val="auto"/>
        </w:rPr>
        <w:t>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provided, however, in no event shall holders of Registrable Securities be suspended from selling Registrable Securities pursuant to the Registration Statement for a period that exceeds 30 consecutive Trading Days or 60 total Trading Days in any 360-day period (any such suspension contemplated by this Section 2(c) (ii), an “</w:t>
      </w:r>
      <w:r>
        <w:rPr>
          <w:rFonts w:ascii="Arial" w:cs="Arial" w:eastAsia="Arial" w:hAnsi="Arial"/>
          <w:sz w:val="18"/>
          <w:szCs w:val="18"/>
          <w:u w:val="single" w:color="auto"/>
          <w:color w:val="auto"/>
        </w:rPr>
        <w:t>Allowed Delay</w:t>
      </w:r>
      <w:r>
        <w:rPr>
          <w:rFonts w:ascii="Arial" w:cs="Arial" w:eastAsia="Arial" w:hAnsi="Arial"/>
          <w:sz w:val="18"/>
          <w:szCs w:val="18"/>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78" w:lineRule="exact"/>
        <w:rPr>
          <w:rFonts w:ascii="Arial" w:cs="Arial" w:eastAsia="Arial" w:hAnsi="Arial"/>
          <w:sz w:val="19"/>
          <w:szCs w:val="19"/>
          <w:color w:val="auto"/>
        </w:rPr>
      </w:pPr>
    </w:p>
    <w:p>
      <w:pPr>
        <w:jc w:val="both"/>
        <w:ind w:firstLine="656"/>
        <w:spacing w:after="0" w:line="282" w:lineRule="auto"/>
        <w:tabs>
          <w:tab w:leader="none" w:pos="12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61" w:lineRule="exact"/>
        <w:rPr>
          <w:rFonts w:ascii="Arial" w:cs="Arial" w:eastAsia="Arial" w:hAnsi="Arial"/>
          <w:sz w:val="18"/>
          <w:szCs w:val="18"/>
          <w:color w:val="auto"/>
        </w:rPr>
      </w:pPr>
    </w:p>
    <w:p>
      <w:pPr>
        <w:jc w:val="both"/>
        <w:ind w:firstLine="656"/>
        <w:spacing w:after="0" w:line="271" w:lineRule="auto"/>
        <w:tabs>
          <w:tab w:leader="none" w:pos="128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Rule 415; Cutback</w:t>
      </w:r>
      <w:r>
        <w:rPr>
          <w:rFonts w:ascii="Arial" w:cs="Arial" w:eastAsia="Arial" w:hAnsi="Arial"/>
          <w:sz w:val="18"/>
          <w:szCs w:val="18"/>
          <w:color w:val="auto"/>
        </w:rPr>
        <w:t>. If at any time the SEC takes the position that the offering of some or all of the Registrable Securities in a Registration Statement is not eligible to be made on a delayed or continuous basis under the provisions of Rule 415 under the Securities Act, the Company shall (i) remove from the Registration Statement such portion of the Registrable Securities (the “</w:t>
      </w:r>
      <w:r>
        <w:rPr>
          <w:rFonts w:ascii="Arial" w:cs="Arial" w:eastAsia="Arial" w:hAnsi="Arial"/>
          <w:sz w:val="18"/>
          <w:szCs w:val="18"/>
          <w:u w:val="single" w:color="auto"/>
          <w:color w:val="auto"/>
        </w:rPr>
        <w:t>Cut Back Shares</w:t>
      </w:r>
      <w:r>
        <w:rPr>
          <w:rFonts w:ascii="Arial" w:cs="Arial" w:eastAsia="Arial" w:hAnsi="Arial"/>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8"/>
          <w:szCs w:val="18"/>
          <w:u w:val="single" w:color="auto"/>
          <w:color w:val="auto"/>
        </w:rPr>
        <w:t>SEC Restrictions</w:t>
      </w:r>
      <w:r>
        <w:rPr>
          <w:rFonts w:ascii="Arial" w:cs="Arial" w:eastAsia="Arial" w:hAnsi="Arial"/>
          <w:sz w:val="18"/>
          <w:szCs w:val="18"/>
          <w:color w:val="auto"/>
        </w:rPr>
        <w:t>”); provided, however, that the Company shall not agree to name Purchaser as an “underwriter” in such Registration Statement without the prior written consent of Purchaser. No liquidated damages shall accrue as to any Cut Back Shares until such date as the Company is able to effect the registration of such Cut Back Shares in accordance with any SEC Restrictions applicable to such Cut Back Shares (such date, the “</w:t>
      </w:r>
      <w:r>
        <w:rPr>
          <w:rFonts w:ascii="Arial" w:cs="Arial" w:eastAsia="Arial" w:hAnsi="Arial"/>
          <w:sz w:val="18"/>
          <w:szCs w:val="18"/>
          <w:u w:val="single" w:color="auto"/>
          <w:color w:val="auto"/>
        </w:rPr>
        <w:t>Restriction Termination Date</w:t>
      </w:r>
      <w:r>
        <w:rPr>
          <w:rFonts w:ascii="Arial" w:cs="Arial" w:eastAsia="Arial" w:hAnsi="Arial"/>
          <w:sz w:val="18"/>
          <w:szCs w:val="18"/>
          <w:color w:val="auto"/>
        </w:rPr>
        <w:t>”).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71" w:right="339" w:bottom="1440" w:gutter="0" w:footer="0" w:header="0"/>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applicable to such Cut Back Shares; provided, however, that the Filing Deadline for the Registration Statement including such Cut Back Shares shall be (20) business days after such Restriction Termination Date.</w:t>
      </w:r>
    </w:p>
    <w:p>
      <w:pPr>
        <w:spacing w:after="0" w:line="177" w:lineRule="exact"/>
        <w:rPr>
          <w:sz w:val="20"/>
          <w:szCs w:val="20"/>
          <w:color w:val="auto"/>
        </w:rPr>
      </w:pPr>
    </w:p>
    <w:p>
      <w:pPr>
        <w:jc w:val="both"/>
        <w:ind w:firstLine="656"/>
        <w:spacing w:after="0" w:line="256" w:lineRule="auto"/>
        <w:tabs>
          <w:tab w:leader="none" w:pos="129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Other Limitations</w:t>
      </w:r>
      <w:r>
        <w:rPr>
          <w:rFonts w:ascii="Arial" w:cs="Arial" w:eastAsia="Arial" w:hAnsi="Arial"/>
          <w:sz w:val="19"/>
          <w:szCs w:val="19"/>
          <w:color w:val="auto"/>
        </w:rPr>
        <w:t>. Notwithstanding any other provision herein or in the Purchase Agreement, (i) the Filing Deadline and each Effectiveness Deadline for a Registration Statement shall be extended and any Maintenance Failure shall be automatically waived by no action of the Purchaser, in each case, without default by or liquidated damages payable by the Company hereunder in the event that the Company’s failure to make such filing or obtain such effectiveness or a Maintenance Failure results from the failure of an Purchaser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Purchaser provides such requested information) and (ii) in no event shall the aggregate amount of liquidated damages (or interest thereon) paid hereunder exceed, in the aggregate, 8% of the aggregate purchase price of the Shares purchased by the Purchaser under the Purchase Agreement.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COMPANY OBLIGATIONS.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will use reasonable best efforts to effect the registration of the Registrable Securities in accordance with the terms hereof, and pursuant thereto the Company will, as expeditiously as possible:</w:t>
      </w:r>
    </w:p>
    <w:p>
      <w:pPr>
        <w:spacing w:after="0" w:line="177" w:lineRule="exact"/>
        <w:rPr>
          <w:sz w:val="20"/>
          <w:szCs w:val="20"/>
          <w:color w:val="auto"/>
        </w:rPr>
      </w:pPr>
    </w:p>
    <w:p>
      <w:pPr>
        <w:jc w:val="both"/>
        <w:ind w:firstLine="656"/>
        <w:spacing w:after="0" w:line="263" w:lineRule="auto"/>
        <w:tabs>
          <w:tab w:leader="none" w:pos="1286" w:val="left"/>
        </w:tabs>
        <w:numPr>
          <w:ilvl w:val="0"/>
          <w:numId w:val="54"/>
        </w:numPr>
        <w:rPr>
          <w:rFonts w:ascii="Arial" w:cs="Arial" w:eastAsia="Arial" w:hAnsi="Arial"/>
          <w:sz w:val="19"/>
          <w:szCs w:val="19"/>
          <w:color w:val="auto"/>
        </w:rPr>
      </w:pPr>
      <w:r>
        <w:rPr>
          <w:rFonts w:ascii="Arial" w:cs="Arial" w:eastAsia="Arial" w:hAnsi="Arial"/>
          <w:sz w:val="19"/>
          <w:szCs w:val="19"/>
          <w:color w:val="auto"/>
        </w:rPr>
        <w:t>use reasonable best efforts to cause each such Registration Statement to become effective and to remain continuously effective until such time as the earlier of: (i) there are no longer Registrable Securities held by the Purchaser, or (ii) the Registrable Securities can be sold pursuant to Rule 144 without regard to the volume-of-sale limitations imposed under Rule 144(e) (the “</w:t>
      </w:r>
      <w:r>
        <w:rPr>
          <w:rFonts w:ascii="Arial" w:cs="Arial" w:eastAsia="Arial" w:hAnsi="Arial"/>
          <w:sz w:val="19"/>
          <w:szCs w:val="19"/>
          <w:u w:val="single" w:color="auto"/>
          <w:color w:val="auto"/>
        </w:rPr>
        <w:t>Effectiveness Period</w:t>
      </w:r>
      <w:r>
        <w:rPr>
          <w:rFonts w:ascii="Arial" w:cs="Arial" w:eastAsia="Arial" w:hAnsi="Arial"/>
          <w:sz w:val="19"/>
          <w:szCs w:val="19"/>
          <w:color w:val="auto"/>
        </w:rPr>
        <w:t>”) and advise the Purchaser promptly in writing when the Effectiveness Period has expired;</w:t>
      </w:r>
    </w:p>
    <w:p>
      <w:pPr>
        <w:spacing w:after="0" w:line="176" w:lineRule="exact"/>
        <w:rPr>
          <w:rFonts w:ascii="Arial" w:cs="Arial" w:eastAsia="Arial" w:hAnsi="Arial"/>
          <w:sz w:val="19"/>
          <w:szCs w:val="19"/>
          <w:color w:val="auto"/>
        </w:rPr>
      </w:pPr>
    </w:p>
    <w:p>
      <w:pPr>
        <w:jc w:val="both"/>
        <w:ind w:firstLine="656"/>
        <w:spacing w:after="0" w:line="291" w:lineRule="auto"/>
        <w:tabs>
          <w:tab w:leader="none" w:pos="12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Securities Act and the Exchange Act with respect to the distribution of all of the Registrable Securities covered thereby;</w:t>
      </w:r>
    </w:p>
    <w:p>
      <w:pPr>
        <w:spacing w:after="0" w:line="151" w:lineRule="exact"/>
        <w:rPr>
          <w:rFonts w:ascii="Arial" w:cs="Arial" w:eastAsia="Arial" w:hAnsi="Arial"/>
          <w:sz w:val="18"/>
          <w:szCs w:val="18"/>
          <w:color w:val="auto"/>
        </w:rPr>
      </w:pPr>
    </w:p>
    <w:p>
      <w:pPr>
        <w:jc w:val="both"/>
        <w:ind w:firstLine="656"/>
        <w:spacing w:after="0" w:line="246" w:lineRule="auto"/>
        <w:tabs>
          <w:tab w:leader="none" w:pos="1286"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provide copies to the Purchaser and permit the Purchaser’s legal counsel to review each Registration Statement and all amendments and supplements at least three (3) business days in advance of their filing with the SEC; provided that the Company shall duly consider any comments received no later than two (2) business days prior to the filing of such Registration Statement, amendment or supplement, but shall not be required to accept any such comments to which it reasonably objects;</w:t>
      </w:r>
    </w:p>
    <w:p>
      <w:pPr>
        <w:spacing w:after="0" w:line="191" w:lineRule="exact"/>
        <w:rPr>
          <w:rFonts w:ascii="Arial" w:cs="Arial" w:eastAsia="Arial" w:hAnsi="Arial"/>
          <w:sz w:val="20"/>
          <w:szCs w:val="20"/>
          <w:color w:val="auto"/>
        </w:rPr>
      </w:pPr>
    </w:p>
    <w:p>
      <w:pPr>
        <w:jc w:val="both"/>
        <w:ind w:firstLine="656"/>
        <w:spacing w:after="0" w:line="272" w:lineRule="auto"/>
        <w:tabs>
          <w:tab w:leader="none" w:pos="12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 to the Purchaser and its legal counsel (i) immediately after the same is prepared and publicly distributed, filed with the SEC, or received by the Company (but not later than twenty-four (24) hours after the filing date, receipt date or sending date, as the case may be)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or it reasonably believes would constitute material and non-public information) and (ii) such number of copies of a Prospectus, including a preliminary prospectus, and all amendments and supplements thereto and such other documents as the Purchaser may reasonably request in order to facilitate the disposition of the Registrable Securities owned by the Purchaser that are covered by the related Registration Statement;</w:t>
      </w:r>
    </w:p>
    <w:p>
      <w:pPr>
        <w:spacing w:after="0" w:line="170" w:lineRule="exact"/>
        <w:rPr>
          <w:rFonts w:ascii="Arial" w:cs="Arial" w:eastAsia="Arial" w:hAnsi="Arial"/>
          <w:sz w:val="18"/>
          <w:szCs w:val="18"/>
          <w:color w:val="auto"/>
        </w:rPr>
      </w:pPr>
    </w:p>
    <w:p>
      <w:pPr>
        <w:ind w:right="20" w:firstLine="656"/>
        <w:spacing w:after="0" w:line="260" w:lineRule="auto"/>
        <w:tabs>
          <w:tab w:leader="none" w:pos="1286" w:val="left"/>
        </w:tabs>
        <w:numPr>
          <w:ilvl w:val="0"/>
          <w:numId w:val="54"/>
        </w:numPr>
        <w:rPr>
          <w:rFonts w:ascii="Arial" w:cs="Arial" w:eastAsia="Arial" w:hAnsi="Arial"/>
          <w:sz w:val="20"/>
          <w:szCs w:val="20"/>
          <w:color w:val="auto"/>
        </w:rPr>
      </w:pPr>
      <w:r>
        <w:rPr>
          <w:rFonts w:ascii="Arial" w:cs="Arial" w:eastAsia="Arial" w:hAnsi="Arial"/>
          <w:sz w:val="20"/>
          <w:szCs w:val="20"/>
          <w:color w:val="auto"/>
        </w:rPr>
        <w:t>use reasonable best efforts to (i) prevent the issuance of any stop order or other suspension of effectiveness and, (ii) if such order is issued, obtain the withdrawal of any such order at the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71"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earliest possible moment and to notify the Purchaser of the issuance of such order and the resolution thereof;</w:t>
      </w:r>
    </w:p>
    <w:p>
      <w:pPr>
        <w:spacing w:after="0" w:line="216" w:lineRule="exact"/>
        <w:rPr>
          <w:sz w:val="20"/>
          <w:szCs w:val="20"/>
          <w:color w:val="auto"/>
        </w:rPr>
      </w:pPr>
    </w:p>
    <w:p>
      <w:pPr>
        <w:jc w:val="both"/>
        <w:ind w:firstLine="656"/>
        <w:spacing w:after="0" w:line="257" w:lineRule="auto"/>
        <w:tabs>
          <w:tab w:leader="none" w:pos="1291" w:val="left"/>
        </w:tabs>
        <w:numPr>
          <w:ilvl w:val="0"/>
          <w:numId w:val="55"/>
        </w:numPr>
        <w:rPr>
          <w:rFonts w:ascii="Arial" w:cs="Arial" w:eastAsia="Arial" w:hAnsi="Arial"/>
          <w:sz w:val="19"/>
          <w:szCs w:val="19"/>
          <w:color w:val="auto"/>
        </w:rPr>
      </w:pPr>
      <w:r>
        <w:rPr>
          <w:rFonts w:ascii="Arial" w:cs="Arial" w:eastAsia="Arial" w:hAnsi="Arial"/>
          <w:sz w:val="19"/>
          <w:szCs w:val="19"/>
          <w:color w:val="auto"/>
        </w:rPr>
        <w:t>use reasonable best efforts to register or qualify (unless an exemption from the registration or qualification exists) or cooperate with the Purchaser and its counsel in connection with the registration or qualification of such Registrable Securities for offer and sale under the securities or “Blue Sky” laws of such domestic jurisdictions as are reasonably requested by the Purchaser and do any and all other reasonable acts or filings necessary or advisable to enable a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jurisdictions;</w:t>
      </w:r>
    </w:p>
    <w:p>
      <w:pPr>
        <w:spacing w:after="0" w:line="180" w:lineRule="exact"/>
        <w:rPr>
          <w:rFonts w:ascii="Arial" w:cs="Arial" w:eastAsia="Arial" w:hAnsi="Arial"/>
          <w:sz w:val="19"/>
          <w:szCs w:val="19"/>
          <w:color w:val="auto"/>
        </w:rPr>
      </w:pPr>
    </w:p>
    <w:p>
      <w:pPr>
        <w:ind w:right="20" w:firstLine="656"/>
        <w:spacing w:after="0" w:line="316" w:lineRule="auto"/>
        <w:tabs>
          <w:tab w:leader="none" w:pos="12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reasonable best efforts to cause all Registrable Securities covered by a Registration Statement to be listed on each securities exchange, interdealer quotation system or other market on which similar securities issued by the Company are then listed;</w:t>
      </w:r>
    </w:p>
    <w:p>
      <w:pPr>
        <w:spacing w:after="0" w:line="129" w:lineRule="exact"/>
        <w:rPr>
          <w:rFonts w:ascii="Arial" w:cs="Arial" w:eastAsia="Arial" w:hAnsi="Arial"/>
          <w:sz w:val="18"/>
          <w:szCs w:val="18"/>
          <w:color w:val="auto"/>
        </w:rPr>
      </w:pPr>
    </w:p>
    <w:p>
      <w:pPr>
        <w:jc w:val="both"/>
        <w:ind w:firstLine="656"/>
        <w:spacing w:after="0" w:line="276" w:lineRule="auto"/>
        <w:tabs>
          <w:tab w:leader="none" w:pos="12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promptly notify the Purchaser,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as promptly as reasonably possible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64" w:lineRule="exact"/>
        <w:rPr>
          <w:rFonts w:ascii="Arial" w:cs="Arial" w:eastAsia="Arial" w:hAnsi="Arial"/>
          <w:sz w:val="18"/>
          <w:szCs w:val="18"/>
          <w:color w:val="auto"/>
        </w:rPr>
      </w:pPr>
    </w:p>
    <w:p>
      <w:pPr>
        <w:jc w:val="both"/>
        <w:ind w:firstLine="656"/>
        <w:spacing w:after="0" w:line="259" w:lineRule="auto"/>
        <w:tabs>
          <w:tab w:leader="none" w:pos="1294" w:val="left"/>
        </w:tabs>
        <w:numPr>
          <w:ilvl w:val="0"/>
          <w:numId w:val="55"/>
        </w:numPr>
        <w:rPr>
          <w:rFonts w:ascii="Arial" w:cs="Arial" w:eastAsia="Arial" w:hAnsi="Arial"/>
          <w:sz w:val="19"/>
          <w:szCs w:val="19"/>
          <w:color w:val="auto"/>
        </w:rPr>
      </w:pPr>
      <w:r>
        <w:rPr>
          <w:rFonts w:ascii="Arial" w:cs="Arial" w:eastAsia="Arial" w:hAnsi="Arial"/>
          <w:sz w:val="19"/>
          <w:szCs w:val="19"/>
          <w:color w:val="auto"/>
        </w:rPr>
        <w:t>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Purchaser in writing if, at any time during the Effectiveness Period, the Company does not satisfy the conditions specified in Rule 172 and, as a result thereof, Purchaser is required to deliver a Prospectus in connection with any disposition of Registrable Securities and take such other actions as may be reasonably necessary to facilitate the registration of the Registrable Securities hereunder;</w:t>
      </w:r>
    </w:p>
    <w:p>
      <w:pPr>
        <w:spacing w:after="0" w:line="178" w:lineRule="exact"/>
        <w:rPr>
          <w:rFonts w:ascii="Arial" w:cs="Arial" w:eastAsia="Arial" w:hAnsi="Arial"/>
          <w:sz w:val="19"/>
          <w:szCs w:val="19"/>
          <w:color w:val="auto"/>
        </w:rPr>
      </w:pPr>
    </w:p>
    <w:p>
      <w:pPr>
        <w:jc w:val="both"/>
        <w:ind w:firstLine="656"/>
        <w:spacing w:after="0" w:line="271" w:lineRule="auto"/>
        <w:tabs>
          <w:tab w:leader="none" w:pos="12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a view to making available to the Purchaser the benefits of Rule 144 (or its successor rule) and any other rule or regulation of the SEC that may at any time permit Purchaser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Exchange Act; and (iii) furnish to Purchaser upon request, as long as Purchaser owns any Registrable Securities, (A) a written statement by the Company that it has complied with the reporting requirements of the Exchange Act, (B) a copy of the Company’s most recent Annual Report on Form 10-K or Quarterly Report on Form 10-Q, and (C) such other information as may be reasonably requested in order to avail Purchaser of any rule or regulation of the SEC that permits the selling of any such Registrable Securities without registration;</w:t>
      </w:r>
    </w:p>
    <w:p>
      <w:pPr>
        <w:spacing w:after="0" w:line="173" w:lineRule="exact"/>
        <w:rPr>
          <w:rFonts w:ascii="Arial" w:cs="Arial" w:eastAsia="Arial" w:hAnsi="Arial"/>
          <w:sz w:val="18"/>
          <w:szCs w:val="18"/>
          <w:color w:val="auto"/>
        </w:rPr>
      </w:pPr>
    </w:p>
    <w:p>
      <w:pPr>
        <w:jc w:val="both"/>
        <w:ind w:firstLine="656"/>
        <w:spacing w:after="0" w:line="263" w:lineRule="auto"/>
        <w:tabs>
          <w:tab w:leader="none" w:pos="1284"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requested by an Purchaser, cooperate with such Purchaser to facilitate the timely preparation and delivery of certificates representing Registrable Securities to be delivered to a transferee pursuant to an effective Registration Statement, which certificates shall be free, to the extent permitted by the Purchase Agreement and applicable law, of all restrictive legends, and to enable such certificates to be in such denominations and registered in such names as any such Purchaser may request.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71" w:right="339" w:bottom="1440" w:gutter="0" w:footer="0" w:header="0"/>
        </w:sectPr>
      </w:pPr>
    </w:p>
    <w:bookmarkStart w:id="102" w:name="page103"/>
    <w:bookmarkEnd w:id="102"/>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OBLIGATIONS OF THE PURCHASER.</w:t>
      </w:r>
    </w:p>
    <w:p>
      <w:pPr>
        <w:spacing w:after="0" w:line="222" w:lineRule="exact"/>
        <w:rPr>
          <w:sz w:val="20"/>
          <w:szCs w:val="20"/>
          <w:color w:val="auto"/>
        </w:rPr>
      </w:pPr>
    </w:p>
    <w:p>
      <w:pPr>
        <w:jc w:val="both"/>
        <w:ind w:firstLine="656"/>
        <w:spacing w:after="0" w:line="271" w:lineRule="auto"/>
        <w:tabs>
          <w:tab w:leader="none" w:pos="12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the Purchaser of the information the Company requires from the Purchaser if the Purchaser is to have any of the Registrable Securities included in such Registration Statement. The Purchaser shall provide such information to the Company at least two (2) business days prior to the first anticipated filing date of such Registration Statement if the Purchaser is to have any of the Registrable Securities included in such Registration Statement. If the Purchaser fails to provide to the Company the information required by this Section 4(a) by such date, the Company shall not be obligated to include the Purchaser’s Registrable Securities in such Registration Statement and shall not be obligated to pay the Purchaser liquidated damages with respect to the lack of registration of such Registrable Securities under this Agreement.</w:t>
      </w:r>
    </w:p>
    <w:p>
      <w:pPr>
        <w:spacing w:after="0" w:line="173" w:lineRule="exact"/>
        <w:rPr>
          <w:rFonts w:ascii="Arial" w:cs="Arial" w:eastAsia="Arial" w:hAnsi="Arial"/>
          <w:sz w:val="18"/>
          <w:szCs w:val="18"/>
          <w:color w:val="auto"/>
        </w:rPr>
      </w:pPr>
    </w:p>
    <w:p>
      <w:pPr>
        <w:jc w:val="both"/>
        <w:ind w:firstLine="656"/>
        <w:spacing w:after="0" w:line="269" w:lineRule="auto"/>
        <w:tabs>
          <w:tab w:leader="none" w:pos="1284"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Purchaser, by its acceptance of the Registrable Securities, agrees to cooperate with the Company as reasonably requested by the Company in connection with the preparation and filing of a Registration Statement hereunder, unless the Purchaser has notified the Company in writing of its election to exclude all of its Registrable Securities from such Registration Statement.</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tab/>
        <w:t>INDEMNIFICATION.</w:t>
      </w:r>
    </w:p>
    <w:p>
      <w:pPr>
        <w:spacing w:after="0" w:line="222" w:lineRule="exact"/>
        <w:rPr>
          <w:sz w:val="20"/>
          <w:szCs w:val="20"/>
          <w:color w:val="auto"/>
        </w:rPr>
      </w:pPr>
    </w:p>
    <w:p>
      <w:pPr>
        <w:jc w:val="both"/>
        <w:ind w:firstLine="656"/>
        <w:spacing w:after="0" w:line="269" w:lineRule="auto"/>
        <w:tabs>
          <w:tab w:leader="none" w:pos="12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will indemnify and hold harmless the Purchaser and its officers, directors, members, employees and agents, successors and assigns, and each other person, if any, who controls, or is alleged to control, the Purchaser within the meaning of the Securities Act, against any losses, claims, damages or liabilities, joint or several, to which they may become subject under the Securities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(it being understood that the Purchaser has approved Exhibit A hereto for this purpose); and the Company will reimburse the Purchaser, and each officer, director or member and each such controlling person for any legal or other expenses reasonably incurred by them in connection with investigating or defending any such loss, claim, damage, liability or action; provided, however,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the Purchaser or any such controlling person in writing specifically for use in such Registration Statement or Prospectus or to the extent that such information relates to the Purchaser’s proposed method of distribution of Registrable Securities and was reviewed and expressly approved in writing by the Purchaser expressly for use in such Registration Statement or Prospectus (it being understood that the Purchaser has approved Exhibit A hereto for this purpose), and provided further that the foregoing indemnity shall not apply to amounts paid in settlement of any loss, claim, damage, liability or expense if such settlement is effected without the consent of the Company.</w:t>
      </w:r>
    </w:p>
    <w:p>
      <w:pPr>
        <w:spacing w:after="0" w:line="176" w:lineRule="exact"/>
        <w:rPr>
          <w:rFonts w:ascii="Arial" w:cs="Arial" w:eastAsia="Arial" w:hAnsi="Arial"/>
          <w:sz w:val="18"/>
          <w:szCs w:val="18"/>
          <w:color w:val="auto"/>
        </w:rPr>
      </w:pPr>
    </w:p>
    <w:p>
      <w:pPr>
        <w:jc w:val="both"/>
        <w:ind w:firstLine="656"/>
        <w:spacing w:after="0" w:line="274" w:lineRule="auto"/>
        <w:tabs>
          <w:tab w:leader="none" w:pos="128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Indemnification by the Purchaser</w:t>
      </w:r>
      <w:r>
        <w:rPr>
          <w:rFonts w:ascii="Arial" w:cs="Arial" w:eastAsia="Arial" w:hAnsi="Arial"/>
          <w:sz w:val="18"/>
          <w:szCs w:val="18"/>
          <w:color w:val="auto"/>
        </w:rPr>
        <w:t>. The Purchaser, for any Registration Statement in which it is named as a selling stockholder, agrees to indemnify and hold harmless, to the fullest extent permitted by law, the Company, its directors, officers, employees, stockholders and each person who controls the Company (within the meaning of the Securities Act) against any losses, claims, damages or liabilities resulting from any untrue statement of a material fact or any omission of a material fact required to be stated in the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the Purchaser to the Company specifically for inclusion in such Registration Statement or Prospectus 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765" w:right="339" w:bottom="1440" w:gutter="0" w:footer="0" w:header="0"/>
        </w:sectPr>
      </w:pPr>
    </w:p>
    <w:bookmarkStart w:id="103" w:name="page104"/>
    <w:bookmarkEnd w:id="103"/>
    <w:p>
      <w:pPr>
        <w:jc w:val="both"/>
        <w:spacing w:after="0" w:line="272" w:lineRule="auto"/>
        <w:rPr>
          <w:sz w:val="20"/>
          <w:szCs w:val="20"/>
          <w:color w:val="auto"/>
        </w:rPr>
      </w:pPr>
      <w:r>
        <w:rPr>
          <w:rFonts w:ascii="Arial" w:cs="Arial" w:eastAsia="Arial" w:hAnsi="Arial"/>
          <w:sz w:val="18"/>
          <w:szCs w:val="18"/>
          <w:color w:val="auto"/>
        </w:rPr>
        <w:t>amendment or supplement thereto and has not been corrected in a subsequent writing prior to the sale of the Registrable Securities thereunder, or to the extent that such information relates to the Purchaser’s or the Purchaser’s proposed method of distribution of Registrable Securities and was reviewed and expressly approved in writing by the Purchaser expressly for use in the Registration Statement or Prospectus or amendment or supplement thereto (it being understood that the Purchaser has approved Exhibit A hereto for this purpose); provided, however, that the foregoing indemnity shall not apply to amounts paid in settlement of any loss, claim, damage, liability or expense if such settlement is effected without the consent of the Purchaser. In no event shall the liability of the Purchaser be greater in amount than the dollar amount of the proceeds (net of all expense paid by the Purchaser in connection with any claim relating to this Section 5 and the amount of any damages the Purchaser has otherwise been required to pay by reason of such untrue statement or omission) received by the Purchaser upon the sale of the Registrable Securities included in the Registration Statement giving rise to such indemnification obligation.</w:t>
      </w:r>
    </w:p>
    <w:p>
      <w:pPr>
        <w:spacing w:after="0" w:line="170" w:lineRule="exact"/>
        <w:rPr>
          <w:sz w:val="20"/>
          <w:szCs w:val="20"/>
          <w:color w:val="auto"/>
        </w:rPr>
      </w:pPr>
    </w:p>
    <w:p>
      <w:pPr>
        <w:jc w:val="both"/>
        <w:ind w:firstLine="656"/>
        <w:spacing w:after="0" w:line="269" w:lineRule="auto"/>
        <w:tabs>
          <w:tab w:leader="none" w:pos="128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76" w:lineRule="exact"/>
        <w:rPr>
          <w:rFonts w:ascii="Arial" w:cs="Arial" w:eastAsia="Arial" w:hAnsi="Arial"/>
          <w:sz w:val="18"/>
          <w:szCs w:val="18"/>
          <w:color w:val="auto"/>
        </w:rPr>
      </w:pPr>
    </w:p>
    <w:p>
      <w:pPr>
        <w:jc w:val="both"/>
        <w:ind w:firstLine="656"/>
        <w:spacing w:after="0" w:line="255" w:lineRule="auto"/>
        <w:tabs>
          <w:tab w:leader="none" w:pos="128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Relative fault shall be determined by reference to whether any alleged untrue statement or omission relates to information provided by the Company or by a holder of Registrable Securities. No person guilty of fraudulent misrepresentation within the meaning of Section 11(f) of the Securities Act shall be entitled to contribution from any person not guilty of such fraudulent misrepresentation.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771" w:right="339" w:bottom="1440" w:gutter="0" w:footer="0" w:header="0"/>
        </w:sectPr>
      </w:pPr>
    </w:p>
    <w:bookmarkStart w:id="104" w:name="page105"/>
    <w:bookmarkEnd w:id="104"/>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MISCELLANEOUS.</w:t>
      </w:r>
    </w:p>
    <w:p>
      <w:pPr>
        <w:spacing w:after="0" w:line="222" w:lineRule="exact"/>
        <w:rPr>
          <w:sz w:val="20"/>
          <w:szCs w:val="20"/>
          <w:color w:val="auto"/>
        </w:rPr>
      </w:pPr>
    </w:p>
    <w:p>
      <w:pPr>
        <w:jc w:val="both"/>
        <w:ind w:firstLine="656"/>
        <w:spacing w:after="0" w:line="250" w:lineRule="auto"/>
        <w:tabs>
          <w:tab w:leader="none" w:pos="128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Amendments and Waivers</w:t>
      </w:r>
      <w:r>
        <w:rPr>
          <w:rFonts w:ascii="Arial" w:cs="Arial" w:eastAsia="Arial" w:hAnsi="Arial"/>
          <w:sz w:val="20"/>
          <w:szCs w:val="20"/>
          <w:color w:val="auto"/>
        </w:rPr>
        <w:t>. This Agreement may be amended only by a writing signed by the Company and the Purchaser. The Company may take any action herein prohibited, or omit to perform any act herein required to be performed by it, only if the Company shall have obtained the written consent to such amendment, action or omission to act, of the Purchaser.</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as set forth in the Purchase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Agreement.</w:t>
      </w:r>
    </w:p>
    <w:p>
      <w:pPr>
        <w:spacing w:after="0" w:line="199" w:lineRule="exact"/>
        <w:rPr>
          <w:rFonts w:ascii="Arial" w:cs="Arial" w:eastAsia="Arial" w:hAnsi="Arial"/>
          <w:sz w:val="16"/>
          <w:szCs w:val="16"/>
          <w:color w:val="auto"/>
        </w:rPr>
      </w:pPr>
    </w:p>
    <w:p>
      <w:pPr>
        <w:jc w:val="both"/>
        <w:ind w:firstLine="656"/>
        <w:spacing w:after="0" w:line="244" w:lineRule="auto"/>
        <w:tabs>
          <w:tab w:leader="none" w:pos="128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Assignments and Transfers by the Purchaser</w:t>
      </w:r>
      <w:r>
        <w:rPr>
          <w:rFonts w:ascii="Arial" w:cs="Arial" w:eastAsia="Arial" w:hAnsi="Arial"/>
          <w:sz w:val="20"/>
          <w:szCs w:val="20"/>
          <w:color w:val="auto"/>
        </w:rPr>
        <w:t>. The provisions of this Agreement shall be binding upon and inure to the benefit of the Purchaser and its respective successors and assigns. The Purchaser may transfer or assign, in whole or from time to time in part, to one or more persons its rights hereunder in connection with the transfer of Registrable Securities by the Purchaser to such person, provided that the Purchaser complies with all laws applicable thereto and provides written notice of assignment to the Company promptly after such assignment is effected.</w:t>
      </w:r>
    </w:p>
    <w:p>
      <w:pPr>
        <w:spacing w:after="0" w:line="194" w:lineRule="exact"/>
        <w:rPr>
          <w:rFonts w:ascii="Arial" w:cs="Arial" w:eastAsia="Arial" w:hAnsi="Arial"/>
          <w:sz w:val="20"/>
          <w:szCs w:val="20"/>
          <w:color w:val="auto"/>
        </w:rPr>
      </w:pPr>
    </w:p>
    <w:p>
      <w:pPr>
        <w:jc w:val="both"/>
        <w:ind w:firstLine="656"/>
        <w:spacing w:after="0" w:line="274" w:lineRule="auto"/>
        <w:tabs>
          <w:tab w:leader="none" w:pos="128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Purchaser;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Purchaser in connection with such transaction unless such securities are otherwise freely tradable by the Purchaser after giving effect to such transaction.</w:t>
      </w:r>
    </w:p>
    <w:p>
      <w:pPr>
        <w:spacing w:after="0" w:line="168" w:lineRule="exact"/>
        <w:rPr>
          <w:rFonts w:ascii="Arial" w:cs="Arial" w:eastAsia="Arial" w:hAnsi="Arial"/>
          <w:sz w:val="18"/>
          <w:szCs w:val="18"/>
          <w:color w:val="auto"/>
        </w:rPr>
      </w:pPr>
    </w:p>
    <w:p>
      <w:pPr>
        <w:jc w:val="both"/>
        <w:ind w:firstLine="656"/>
        <w:spacing w:after="0" w:line="246" w:lineRule="auto"/>
        <w:tabs>
          <w:tab w:leader="none" w:pos="128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Benefits of the Agreement</w:t>
      </w:r>
      <w:r>
        <w:rPr>
          <w:rFonts w:ascii="Arial" w:cs="Arial" w:eastAsia="Arial" w:hAnsi="Arial"/>
          <w:sz w:val="20"/>
          <w:szCs w:val="20"/>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Counterparts; Faxes</w:t>
      </w:r>
      <w:r>
        <w:rPr>
          <w:rFonts w:ascii="Arial" w:cs="Arial" w:eastAsia="Arial" w:hAnsi="Arial"/>
          <w:sz w:val="20"/>
          <w:szCs w:val="20"/>
          <w:color w:val="auto"/>
        </w:rPr>
        <w:t>. This Agreement may be executed in two or more counterparts, each of which shall be deemed an original, but all of which together shall constitute one and the same instrument. This Agreement may also be executed via facsimile, which shall be deemed an original.</w:t>
      </w:r>
    </w:p>
    <w:p>
      <w:pPr>
        <w:spacing w:after="0" w:line="185" w:lineRule="exact"/>
        <w:rPr>
          <w:rFonts w:ascii="Arial" w:cs="Arial" w:eastAsia="Arial" w:hAnsi="Arial"/>
          <w:sz w:val="20"/>
          <w:szCs w:val="20"/>
          <w:color w:val="auto"/>
        </w:rPr>
      </w:pPr>
    </w:p>
    <w:p>
      <w:pPr>
        <w:ind w:firstLine="656"/>
        <w:spacing w:after="0" w:line="260" w:lineRule="auto"/>
        <w:tabs>
          <w:tab w:leader="none" w:pos="128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Titles and Subtitles</w:t>
      </w:r>
      <w:r>
        <w:rPr>
          <w:rFonts w:ascii="Arial" w:cs="Arial" w:eastAsia="Arial" w:hAnsi="Arial"/>
          <w:sz w:val="20"/>
          <w:szCs w:val="20"/>
          <w:color w:val="auto"/>
        </w:rPr>
        <w:t>. The titles and subtitles used in this Agreement are used for convenience only and are not to be considered in construing or interpreting this Agreement.</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28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95" w:lineRule="exact"/>
        <w:rPr>
          <w:rFonts w:ascii="Arial" w:cs="Arial" w:eastAsia="Arial" w:hAnsi="Arial"/>
          <w:sz w:val="20"/>
          <w:szCs w:val="20"/>
          <w:color w:val="auto"/>
        </w:rPr>
      </w:pPr>
    </w:p>
    <w:p>
      <w:pPr>
        <w:jc w:val="both"/>
        <w:ind w:firstLine="656"/>
        <w:spacing w:after="0" w:line="250" w:lineRule="auto"/>
        <w:tabs>
          <w:tab w:leader="none" w:pos="129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85" w:lineRule="exact"/>
        <w:rPr>
          <w:rFonts w:ascii="Arial" w:cs="Arial" w:eastAsia="Arial" w:hAnsi="Arial"/>
          <w:sz w:val="20"/>
          <w:szCs w:val="20"/>
          <w:color w:val="auto"/>
        </w:rPr>
      </w:pPr>
    </w:p>
    <w:p>
      <w:pPr>
        <w:ind w:firstLine="656"/>
        <w:spacing w:after="0" w:line="260" w:lineRule="auto"/>
        <w:tabs>
          <w:tab w:leader="none" w:pos="129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is intended by the parties as a final expression of their agreement and intended to be a complete and exclusive statement of the agreement and understanding 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765" w:right="339" w:bottom="1440" w:gutter="0" w:footer="0" w:header="0"/>
        </w:sectPr>
      </w:pPr>
    </w:p>
    <w:bookmarkStart w:id="105" w:name="page106"/>
    <w:bookmarkEnd w:id="105"/>
    <w:p>
      <w:pPr>
        <w:ind w:right="20"/>
        <w:spacing w:after="0" w:line="260" w:lineRule="auto"/>
        <w:rPr>
          <w:sz w:val="20"/>
          <w:szCs w:val="20"/>
          <w:color w:val="auto"/>
        </w:rPr>
      </w:pPr>
      <w:r>
        <w:rPr>
          <w:rFonts w:ascii="Arial" w:cs="Arial" w:eastAsia="Arial" w:hAnsi="Arial"/>
          <w:sz w:val="20"/>
          <w:szCs w:val="20"/>
          <w:color w:val="auto"/>
        </w:rPr>
        <w:t>the parties hereto in respect of the subject matter contained herein. This Agreement supersedes all prior agreements and understandings between the parties with respect to such subject matter.</w:t>
      </w:r>
    </w:p>
    <w:p>
      <w:pPr>
        <w:spacing w:after="0" w:line="177" w:lineRule="exact"/>
        <w:rPr>
          <w:sz w:val="20"/>
          <w:szCs w:val="20"/>
          <w:color w:val="auto"/>
        </w:rPr>
      </w:pPr>
    </w:p>
    <w:p>
      <w:pPr>
        <w:jc w:val="both"/>
        <w:ind w:firstLine="656"/>
        <w:spacing w:after="0" w:line="255" w:lineRule="auto"/>
        <w:tabs>
          <w:tab w:leader="none" w:pos="128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Governing Law; Consent to Jurisdiction; Waiver of Jury Trial</w:t>
      </w:r>
      <w:r>
        <w:rPr>
          <w:rFonts w:ascii="Arial" w:cs="Arial" w:eastAsia="Arial" w:hAnsi="Arial"/>
          <w:sz w:val="19"/>
          <w:szCs w:val="19"/>
          <w:color w:val="auto"/>
        </w:rPr>
        <w:t>. This Agreement will be governed by and construed in accordance with the laws of the State of Delaware without regard to any choice of laws or conflict of laws provisions that would require the application of the laws of any other jurisdiction. The parties hereby irrevocably and unconditionally consent to submit to the exclusive jurisdiction of Delaware Court of Chancery and any state appellate court therefrom within the State of Delaware (or, if the Delaware Court of Chancery declines to accept jurisdiction over a particular matter, any state or federal court within the State of Delaware) for any actions, suits or proceedings arising out of or relating to this Agreement and the transactions contemplated hereby. Each party to this Agreement hereby irrevocably waives any defense in any such action, suit or proceeding that it is not personally subject to the jurisdiction of the above named courts and to the fullest extent permitted by applicable law, that the action, suit or proceeding in any such court is brought in an inconvenient forum or that the venue of such suit, action or proceeding is improper. EACH OF THE PARTIES HERETO HEREBY IRREVOCABLY WAIVES ANY AND ALL RIGHT TO TRIAL BY JURY IN ANY LEGAL PROCEEDING ARISING OUT OF OR RELATED TO THIS AGREEMENT AND THE OTHER TRANSACTION DOCUMENTS OR THE TRANSACTIONS CONTEMPLATED HEREBY AND THEREBY.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771" w:right="339" w:bottom="1440" w:gutter="0" w:footer="0" w:header="0"/>
        </w:sectPr>
      </w:pPr>
    </w:p>
    <w:bookmarkStart w:id="106" w:name="page107"/>
    <w:bookmarkEnd w:id="106"/>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or caused their duly authorized officers to execute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40" w:type="dxa"/>
            <w:vAlign w:val="bottom"/>
            <w:gridSpan w:val="2"/>
          </w:tcPr>
          <w:p>
            <w:pPr>
              <w:ind w:left="2160"/>
              <w:spacing w:after="0"/>
              <w:rPr>
                <w:sz w:val="20"/>
                <w:szCs w:val="20"/>
                <w:color w:val="auto"/>
              </w:rPr>
            </w:pPr>
            <w:r>
              <w:rPr>
                <w:rFonts w:ascii="Arial" w:cs="Arial" w:eastAsia="Arial" w:hAnsi="Arial"/>
                <w:sz w:val="18"/>
                <w:szCs w:val="18"/>
                <w:b w:val="1"/>
                <w:bCs w:val="1"/>
                <w:color w:val="auto"/>
              </w:rPr>
              <w:t>SELECTA BIOSCIENCES, INC.</w:t>
            </w:r>
          </w:p>
        </w:tc>
      </w:tr>
      <w:tr>
        <w:trPr>
          <w:trHeight w:val="486"/>
        </w:trPr>
        <w:tc>
          <w:tcPr>
            <w:tcW w:w="3080" w:type="dxa"/>
            <w:vAlign w:val="bottom"/>
          </w:tcPr>
          <w:p>
            <w:pPr>
              <w:spacing w:after="0"/>
              <w:rPr>
                <w:sz w:val="20"/>
                <w:szCs w:val="20"/>
                <w:color w:val="auto"/>
              </w:rPr>
            </w:pPr>
            <w:r>
              <w:rPr>
                <w:rFonts w:ascii="Arial" w:cs="Arial" w:eastAsia="Arial" w:hAnsi="Arial"/>
                <w:sz w:val="18"/>
                <w:szCs w:val="18"/>
                <w:color w:val="auto"/>
              </w:rPr>
              <w:t>COMPANY:</w:t>
            </w:r>
          </w:p>
        </w:tc>
        <w:tc>
          <w:tcPr>
            <w:tcW w:w="3220" w:type="dxa"/>
            <w:vAlign w:val="bottom"/>
          </w:tcPr>
          <w:p>
            <w:pPr>
              <w:ind w:left="21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2"/>
        </w:trPr>
        <w:tc>
          <w:tcPr>
            <w:tcW w:w="3080" w:type="dxa"/>
            <w:vAlign w:val="bottom"/>
          </w:tcPr>
          <w:p>
            <w:pPr>
              <w:spacing w:after="0"/>
              <w:rPr>
                <w:sz w:val="19"/>
                <w:szCs w:val="19"/>
                <w:color w:val="auto"/>
              </w:rPr>
            </w:pPr>
          </w:p>
        </w:tc>
        <w:tc>
          <w:tcPr>
            <w:tcW w:w="3220" w:type="dxa"/>
            <w:vAlign w:val="bottom"/>
          </w:tcPr>
          <w:p>
            <w:pPr>
              <w:ind w:left="2160"/>
              <w:spacing w:after="0"/>
              <w:rPr>
                <w:sz w:val="20"/>
                <w:szCs w:val="20"/>
                <w:color w:val="auto"/>
              </w:rPr>
            </w:pPr>
            <w:r>
              <w:rPr>
                <w:rFonts w:ascii="Arial" w:cs="Arial" w:eastAsia="Arial" w:hAnsi="Arial"/>
                <w:sz w:val="18"/>
                <w:szCs w:val="18"/>
                <w:color w:val="auto"/>
              </w:rPr>
              <w:t>Name:</w:t>
            </w: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30"/>
        </w:trPr>
        <w:tc>
          <w:tcPr>
            <w:tcW w:w="3080" w:type="dxa"/>
            <w:vAlign w:val="bottom"/>
          </w:tcPr>
          <w:p>
            <w:pPr>
              <w:spacing w:after="0"/>
              <w:rPr>
                <w:sz w:val="20"/>
                <w:szCs w:val="20"/>
                <w:color w:val="auto"/>
              </w:rPr>
            </w:pPr>
          </w:p>
        </w:tc>
        <w:tc>
          <w:tcPr>
            <w:tcW w:w="3220" w:type="dxa"/>
            <w:vAlign w:val="bottom"/>
          </w:tcPr>
          <w:p>
            <w:pPr>
              <w:ind w:left="21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p>
        </w:tc>
        <w:tc>
          <w:tcPr>
            <w:tcW w:w="8040" w:type="dxa"/>
            <w:vAlign w:val="bottom"/>
            <w:gridSpan w:val="2"/>
          </w:tcPr>
          <w:p>
            <w:pPr>
              <w:ind w:left="2060"/>
              <w:spacing w:after="0"/>
              <w:rPr>
                <w:sz w:val="20"/>
                <w:szCs w:val="20"/>
                <w:color w:val="auto"/>
              </w:rPr>
            </w:pPr>
            <w:r>
              <w:rPr>
                <w:rFonts w:ascii="Arial" w:cs="Arial" w:eastAsia="Arial" w:hAnsi="Arial"/>
                <w:sz w:val="18"/>
                <w:szCs w:val="18"/>
                <w:b w:val="1"/>
                <w:bCs w:val="1"/>
                <w:color w:val="auto"/>
              </w:rPr>
              <w:t>SWEDISH ORPHAN BIOVITRUM AB (PUBL)</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PURCHASER:</w:t>
            </w:r>
          </w:p>
        </w:tc>
        <w:tc>
          <w:tcPr>
            <w:tcW w:w="3120" w:type="dxa"/>
            <w:vAlign w:val="bottom"/>
          </w:tcPr>
          <w:p>
            <w:pPr>
              <w:ind w:left="20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Guido Oelkers</w:t>
            </w:r>
          </w:p>
        </w:tc>
      </w:tr>
      <w:tr>
        <w:trPr>
          <w:trHeight w:val="222"/>
        </w:trPr>
        <w:tc>
          <w:tcPr>
            <w:tcW w:w="3180" w:type="dxa"/>
            <w:vAlign w:val="bottom"/>
          </w:tcPr>
          <w:p>
            <w:pPr>
              <w:spacing w:after="0"/>
              <w:rPr>
                <w:sz w:val="19"/>
                <w:szCs w:val="19"/>
                <w:color w:val="auto"/>
              </w:rPr>
            </w:pPr>
          </w:p>
        </w:tc>
        <w:tc>
          <w:tcPr>
            <w:tcW w:w="3120" w:type="dxa"/>
            <w:vAlign w:val="bottom"/>
          </w:tcPr>
          <w:p>
            <w:pPr>
              <w:ind w:left="2060"/>
              <w:spacing w:after="0"/>
              <w:rPr>
                <w:sz w:val="20"/>
                <w:szCs w:val="20"/>
                <w:color w:val="auto"/>
              </w:rPr>
            </w:pPr>
            <w:r>
              <w:rPr>
                <w:rFonts w:ascii="Arial" w:cs="Arial" w:eastAsia="Arial" w:hAnsi="Arial"/>
                <w:sz w:val="18"/>
                <w:szCs w:val="18"/>
                <w:color w:val="auto"/>
              </w:rPr>
              <w:t>Name:</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Guido Oelkers</w:t>
            </w:r>
          </w:p>
        </w:tc>
      </w:tr>
      <w:tr>
        <w:trPr>
          <w:trHeight w:val="230"/>
        </w:trPr>
        <w:tc>
          <w:tcPr>
            <w:tcW w:w="3180" w:type="dxa"/>
            <w:vAlign w:val="bottom"/>
          </w:tcPr>
          <w:p>
            <w:pPr>
              <w:spacing w:after="0"/>
              <w:rPr>
                <w:sz w:val="20"/>
                <w:szCs w:val="20"/>
                <w:color w:val="auto"/>
              </w:rPr>
            </w:pPr>
          </w:p>
        </w:tc>
        <w:tc>
          <w:tcPr>
            <w:tcW w:w="3120" w:type="dxa"/>
            <w:vAlign w:val="bottom"/>
          </w:tcPr>
          <w:p>
            <w:pPr>
              <w:ind w:left="20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2"/>
              </w:rPr>
              <w:t>CEO</w:t>
            </w:r>
          </w:p>
        </w:tc>
      </w:tr>
      <w:tr>
        <w:trPr>
          <w:trHeight w:val="769"/>
        </w:trPr>
        <w:tc>
          <w:tcPr>
            <w:tcW w:w="3180" w:type="dxa"/>
            <w:vAlign w:val="bottom"/>
          </w:tcPr>
          <w:p>
            <w:pPr>
              <w:spacing w:after="0"/>
              <w:rPr>
                <w:sz w:val="24"/>
                <w:szCs w:val="24"/>
                <w:color w:val="auto"/>
              </w:rPr>
            </w:pPr>
          </w:p>
        </w:tc>
        <w:tc>
          <w:tcPr>
            <w:tcW w:w="3120" w:type="dxa"/>
            <w:vAlign w:val="bottom"/>
          </w:tcPr>
          <w:p>
            <w:pPr>
              <w:ind w:left="20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Torbjörn Hallberg</w:t>
            </w:r>
          </w:p>
        </w:tc>
      </w:tr>
      <w:tr>
        <w:trPr>
          <w:trHeight w:val="222"/>
        </w:trPr>
        <w:tc>
          <w:tcPr>
            <w:tcW w:w="3180" w:type="dxa"/>
            <w:vAlign w:val="bottom"/>
          </w:tcPr>
          <w:p>
            <w:pPr>
              <w:spacing w:after="0"/>
              <w:rPr>
                <w:sz w:val="19"/>
                <w:szCs w:val="19"/>
                <w:color w:val="auto"/>
              </w:rPr>
            </w:pPr>
          </w:p>
        </w:tc>
        <w:tc>
          <w:tcPr>
            <w:tcW w:w="3120" w:type="dxa"/>
            <w:vAlign w:val="bottom"/>
          </w:tcPr>
          <w:p>
            <w:pPr>
              <w:ind w:left="2060"/>
              <w:spacing w:after="0"/>
              <w:rPr>
                <w:sz w:val="20"/>
                <w:szCs w:val="20"/>
                <w:color w:val="auto"/>
              </w:rPr>
            </w:pPr>
            <w:r>
              <w:rPr>
                <w:rFonts w:ascii="Arial" w:cs="Arial" w:eastAsia="Arial" w:hAnsi="Arial"/>
                <w:sz w:val="18"/>
                <w:szCs w:val="18"/>
                <w:color w:val="auto"/>
              </w:rPr>
              <w:t>Name:</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Torbjörn Hallberg</w:t>
            </w:r>
          </w:p>
        </w:tc>
      </w:tr>
      <w:tr>
        <w:trPr>
          <w:trHeight w:val="230"/>
        </w:trPr>
        <w:tc>
          <w:tcPr>
            <w:tcW w:w="3180" w:type="dxa"/>
            <w:vAlign w:val="bottom"/>
          </w:tcPr>
          <w:p>
            <w:pPr>
              <w:spacing w:after="0"/>
              <w:rPr>
                <w:sz w:val="20"/>
                <w:szCs w:val="20"/>
                <w:color w:val="auto"/>
              </w:rPr>
            </w:pPr>
          </w:p>
        </w:tc>
        <w:tc>
          <w:tcPr>
            <w:tcW w:w="3120" w:type="dxa"/>
            <w:vAlign w:val="bottom"/>
          </w:tcPr>
          <w:p>
            <w:pPr>
              <w:ind w:left="2060"/>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0"/>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Registration Rights Agreement]</w:t>
      </w:r>
    </w:p>
    <w:p>
      <w:pPr>
        <w:sectPr>
          <w:pgSz w:w="11900" w:h="16838" w:orient="portrait"/>
          <w:cols w:equalWidth="0" w:num="1">
            <w:col w:w="11240"/>
          </w:cols>
          <w:pgMar w:left="320" w:top="76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of Distribution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selling stockholder, which as used herein includes donees, pledgees, transferees or other successors-in-interest selling shares of common stock or interests in shares of common stock received after the date of this prospectus from the selling stockholder as a gift, pledge, partnership distribution or other transfer, may, from time to time, sell, transfer or otherwise dispose of any or all of its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 selling stockholder may use any one or more of the following methods when disposing of shares or interests therein:</w:t>
      </w:r>
    </w:p>
    <w:p>
      <w:pPr>
        <w:spacing w:after="0" w:line="216"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ordinary brokerage transactions and transactions in which the broker-dealer solicits purchasers;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61"/>
        </w:numPr>
        <w:rPr>
          <w:rFonts w:ascii="Arial" w:cs="Arial" w:eastAsia="Arial" w:hAnsi="Arial"/>
          <w:sz w:val="20"/>
          <w:szCs w:val="20"/>
          <w:color w:val="auto"/>
        </w:rPr>
      </w:pPr>
      <w:r>
        <w:rPr>
          <w:rFonts w:ascii="Arial" w:cs="Arial" w:eastAsia="Arial" w:hAnsi="Arial"/>
          <w:sz w:val="20"/>
          <w:szCs w:val="20"/>
          <w:color w:val="auto"/>
        </w:rPr>
        <w:t>block trades in which the broker-dealer will attempt to sell the shares as agent, but may position and resell a portion of the block as principal to facilitate the transaction;</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purchases by a broker-dealer as principal and resale by the broker-dealer for its account;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 exchange distribution in accordance with the rules of the applicable exchange;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privately negotiated transactions;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combination of any such methods of sale;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other method permitted by applicable law.</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owned by it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 to include the pledgee, transferee or other successors in interest as selling stockholder under this prospectus. The selling stockholder also may transfer the shares of common stock in other circumstances, in which case the transferees, pledgees or other successors in interest will be the selling beneficial owners for purposes of this prospectus.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w:t>
      </w:r>
    </w:p>
    <w:p>
      <w:pPr>
        <w:sectPr>
          <w:pgSz w:w="11900" w:h="16838" w:orient="portrait"/>
          <w:cols w:equalWidth="0" w:num="1">
            <w:col w:w="11240"/>
          </w:cols>
          <w:pgMar w:left="320" w:top="76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broker-dealer or other financial institution may resell pursuant to this prospectus (as supplemented or amended to reflect such transaction).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aggregate proceeds to the selling stockholder from the sale of the common stock offered by them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selling stockholder also may resell all or a portion of the shares in open market transactions in reliance upon Rule 144 under the Securities Act of 1933, provided that it meets the criteria and conform to the requirements of that rule.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If the selling stockholder is an “underwriter” within the meaning of Section 2(a)(11) of the Securities Act, it will be subject to the prospectus delivery requirements of the Securities Act.</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 the extent required, the shares of our common stock to be sold, the names of the selling stockholder,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agreed to indemnify the selling stockholder against liabilities, including liabilities under the Securities Act and state securities laws, relating to the registration of the shares offered by this prospectus.</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have agreed with the selling stockholder to keep the registration statement of which this prospectus constitutes a part effective until such time as all of the shares covered by this prospectus have been disposed of pursuant to and in accordance with such registration statement.</w:t>
      </w:r>
    </w:p>
    <w:p>
      <w:pPr>
        <w:sectPr>
          <w:pgSz w:w="11900" w:h="16838" w:orient="portrait"/>
          <w:cols w:equalWidth="0" w:num="1">
            <w:col w:w="11240"/>
          </w:cols>
          <w:pgMar w:left="320" w:top="771" w:right="3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663065" cy="643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November 4, 2020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Swedish Orphan Biovitrum AB (Publ)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Tomtebodavägen 23A</w:t>
      </w:r>
    </w:p>
    <w:p>
      <w:pPr>
        <w:spacing w:after="0"/>
        <w:rPr>
          <w:sz w:val="20"/>
          <w:szCs w:val="20"/>
          <w:color w:val="auto"/>
        </w:rPr>
      </w:pPr>
      <w:r>
        <w:rPr>
          <w:rFonts w:ascii="Arial" w:cs="Arial" w:eastAsia="Arial" w:hAnsi="Arial"/>
          <w:sz w:val="20"/>
          <w:szCs w:val="20"/>
          <w:color w:val="auto"/>
        </w:rPr>
        <w:t>SE-112 76 Stockholm, Sweden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Mr. Oelkers,</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that certain Registration Rights Agreement, dated as of June 11, 2020 (as amended and/or restated from time to time, the “</w:t>
      </w:r>
      <w:r>
        <w:rPr>
          <w:rFonts w:ascii="Arial" w:cs="Arial" w:eastAsia="Arial" w:hAnsi="Arial"/>
          <w:sz w:val="20"/>
          <w:szCs w:val="20"/>
          <w:b w:val="1"/>
          <w:bCs w:val="1"/>
          <w:i w:val="1"/>
          <w:iCs w:val="1"/>
          <w:color w:val="auto"/>
        </w:rPr>
        <w:t>Registration Rights Agreement</w:t>
      </w:r>
      <w:r>
        <w:rPr>
          <w:rFonts w:ascii="Arial" w:cs="Arial" w:eastAsia="Arial" w:hAnsi="Arial"/>
          <w:sz w:val="20"/>
          <w:szCs w:val="20"/>
          <w:color w:val="auto"/>
        </w:rPr>
        <w:t>”), by and between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Swedish Orphan Biovitrum AB (publ) (“</w:t>
      </w:r>
      <w:r>
        <w:rPr>
          <w:rFonts w:ascii="Arial" w:cs="Arial" w:eastAsia="Arial" w:hAnsi="Arial"/>
          <w:sz w:val="20"/>
          <w:szCs w:val="20"/>
          <w:b w:val="1"/>
          <w:bCs w:val="1"/>
          <w:i w:val="1"/>
          <w:iCs w:val="1"/>
          <w:color w:val="auto"/>
        </w:rPr>
        <w:t>Sobi</w:t>
      </w:r>
      <w:r>
        <w:rPr>
          <w:rFonts w:ascii="Arial" w:cs="Arial" w:eastAsia="Arial" w:hAnsi="Arial"/>
          <w:sz w:val="20"/>
          <w:szCs w:val="20"/>
          <w:color w:val="auto"/>
        </w:rPr>
        <w:t>”). All capitalized terms used herein and not otherwise defined shall have the respective meanings assigned to such terms in the Registration Rights Agreement.</w:t>
      </w:r>
    </w:p>
    <w:p>
      <w:pPr>
        <w:spacing w:after="0" w:line="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Pursuant to Section 2(a)(i) of the Registration Rights Agreement, promptly following the Closing Date but no later than ninety (90) days after the Closing Date (the “</w:t>
      </w:r>
      <w:r>
        <w:rPr>
          <w:rFonts w:ascii="Arial" w:cs="Arial" w:eastAsia="Arial" w:hAnsi="Arial"/>
          <w:sz w:val="18"/>
          <w:szCs w:val="18"/>
          <w:b w:val="1"/>
          <w:bCs w:val="1"/>
          <w:i w:val="1"/>
          <w:iCs w:val="1"/>
          <w:color w:val="auto"/>
        </w:rPr>
        <w:t>Filing Deadline</w:t>
      </w:r>
      <w:r>
        <w:rPr>
          <w:rFonts w:ascii="Arial" w:cs="Arial" w:eastAsia="Arial" w:hAnsi="Arial"/>
          <w:sz w:val="18"/>
          <w:szCs w:val="18"/>
          <w:color w:val="auto"/>
        </w:rPr>
        <w:t>”), the Company shall prepare and file with the SEC one Registration Statement covering the resale of all of the Registrable Securities. Pursuant to Section 2(c)(ii) of the Registration Rights Agreement, if, with respect to any Registration Statement covering the Registrable Securities, such Registration Statement covering the Registrable Securities is not declared effective by the SEC prior to earlier of: (x) ten (10) Business Days after the SEC informs the Company that no review of such Registration Statement will be made or that the SEC has no further comments on such Registration Statement, (y) the 120th calendar day following the Closing Date, or (z) in the event of a “review” by the SEC, the 160th calendar day following the Closing Date (as applicable, the “</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the Company has certain obligations, including to make certain payments to Sobi.</w:t>
      </w:r>
    </w:p>
    <w:p>
      <w:pPr>
        <w:spacing w:after="0" w:line="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the foregoing, the Company and Sobi hereby agree that the Company shall prepare and file with the SEC one Registration Statement covering the resale of all of the Registrable Securities within thirty (30) days following receipt by the Company of a written request from Sobi to file such Registration Statement, which shall constitute the “Filing Deadline” for purposes of the Registration Rights Agreement. Furthermore, the Company shall be obligated to have any Registration Statement covering the Registrable Securities declared effective by the SEC within ten (10) Business Days after the SEC informs the Company that no review of such Registration Statement will be made or that the SEC has no further comments on such Registration Statement, which shall constitute the “Effectiveness Deadline” for purposes of the Registration Rights Agreement.</w:t>
      </w:r>
    </w:p>
    <w:p>
      <w:pPr>
        <w:spacing w:after="0" w:line="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letter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letter agreement shall be governed by and construed in accordance with the laws of the State of Delaware without reference to its principles of conflict of laws that would result in the application of the laws of any other jurisdiction.</w:t>
      </w:r>
    </w:p>
    <w:p>
      <w:pPr>
        <w:sectPr>
          <w:pgSz w:w="11900" w:h="16838" w:orient="portrait"/>
          <w:cols w:equalWidth="0" w:num="1">
            <w:col w:w="11240"/>
          </w:cols>
          <w:pgMar w:left="320" w:top="1440" w:right="339" w:bottom="1440" w:gutter="0" w:footer="0" w:header="0"/>
        </w:sectPr>
      </w:pPr>
    </w:p>
    <w:bookmarkStart w:id="110" w:name="page111"/>
    <w:bookmarkEnd w:id="110"/>
    <w:p>
      <w:pPr>
        <w:jc w:val="both"/>
        <w:ind w:firstLine="648"/>
        <w:spacing w:after="0" w:line="269" w:lineRule="auto"/>
        <w:rPr>
          <w:sz w:val="20"/>
          <w:szCs w:val="20"/>
          <w:color w:val="auto"/>
        </w:rPr>
      </w:pPr>
      <w:r>
        <w:rPr>
          <w:rFonts w:ascii="Arial" w:cs="Arial" w:eastAsia="Arial" w:hAnsi="Arial"/>
          <w:sz w:val="19"/>
          <w:szCs w:val="19"/>
          <w:color w:val="auto"/>
        </w:rPr>
        <w:t>Except as specifically amended herein, the Registration Rights Agreement shall remain in full force and effect. The terms and provisions of this letter are intended solely for the benefit of the Company and Sobi and their respective successors and permitted assigns, and it is not the intention of the parties to confer third-party/beneficiary rights upon any other person or entity.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Kindly indicate your agreement with the foregoing, by executing this letter agreement as provided below.</w:t>
      </w:r>
    </w:p>
    <w:p>
      <w:pPr>
        <w:spacing w:after="0" w:line="200" w:lineRule="exact"/>
        <w:rPr>
          <w:sz w:val="20"/>
          <w:szCs w:val="20"/>
          <w:color w:val="auto"/>
        </w:rPr>
      </w:pPr>
    </w:p>
    <w:p>
      <w:pPr>
        <w:spacing w:after="0" w:line="39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Sincerely,</w:t>
      </w:r>
    </w:p>
    <w:p>
      <w:pPr>
        <w:spacing w:after="0" w:line="26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SELECTA BIOSCIENCES, INC.</w:t>
      </w:r>
    </w:p>
    <w:p>
      <w:pPr>
        <w:spacing w:after="0" w:line="276" w:lineRule="exact"/>
        <w:rPr>
          <w:sz w:val="20"/>
          <w:szCs w:val="20"/>
          <w:color w:val="auto"/>
        </w:rPr>
      </w:pPr>
    </w:p>
    <w:tbl>
      <w:tblPr>
        <w:tblLayout w:type="fixed"/>
        <w:tblInd w:w="5260" w:type="dxa"/>
        <w:tblCellMar>
          <w:top w:w="0" w:type="dxa"/>
          <w:left w:w="0" w:type="dxa"/>
          <w:bottom w:w="0" w:type="dxa"/>
          <w:right w:w="0" w:type="dxa"/>
        </w:tblCellMar>
      </w:tblPr>
      <w:tr>
        <w:trPr>
          <w:trHeight w:val="246"/>
        </w:trPr>
        <w:tc>
          <w:tcPr>
            <w:tcW w:w="1060" w:type="dxa"/>
            <w:vAlign w:val="bottom"/>
          </w:tcPr>
          <w:p>
            <w:pPr>
              <w:spacing w:after="0"/>
              <w:rPr>
                <w:sz w:val="20"/>
                <w:szCs w:val="20"/>
                <w:color w:val="auto"/>
              </w:rPr>
            </w:pPr>
            <w:r>
              <w:rPr>
                <w:rFonts w:ascii="Arial" w:cs="Arial" w:eastAsia="Arial" w:hAnsi="Arial"/>
                <w:sz w:val="20"/>
                <w:szCs w:val="20"/>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Carsten Brunn</w:t>
            </w:r>
          </w:p>
        </w:tc>
      </w:tr>
      <w:tr>
        <w:trPr>
          <w:trHeight w:val="236"/>
        </w:trPr>
        <w:tc>
          <w:tcPr>
            <w:tcW w:w="1060" w:type="dxa"/>
            <w:vAlign w:val="bottom"/>
          </w:tcPr>
          <w:p>
            <w:pPr>
              <w:spacing w:after="0"/>
              <w:rPr>
                <w:sz w:val="20"/>
                <w:szCs w:val="20"/>
                <w:color w:val="auto"/>
              </w:rPr>
            </w:pPr>
            <w:r>
              <w:rPr>
                <w:rFonts w:ascii="Arial" w:cs="Arial" w:eastAsia="Arial" w:hAnsi="Arial"/>
                <w:sz w:val="20"/>
                <w:szCs w:val="20"/>
                <w:color w:val="auto"/>
              </w:rPr>
              <w:t>Name:</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Carsten Brunn</w:t>
            </w:r>
          </w:p>
        </w:tc>
      </w:tr>
      <w:tr>
        <w:trPr>
          <w:trHeight w:val="237"/>
        </w:trPr>
        <w:tc>
          <w:tcPr>
            <w:tcW w:w="1060" w:type="dxa"/>
            <w:vAlign w:val="bottom"/>
          </w:tcPr>
          <w:p>
            <w:pPr>
              <w:spacing w:after="0"/>
              <w:rPr>
                <w:sz w:val="20"/>
                <w:szCs w:val="20"/>
                <w:color w:val="auto"/>
              </w:rPr>
            </w:pPr>
            <w:r>
              <w:rPr>
                <w:rFonts w:ascii="Arial" w:cs="Arial" w:eastAsia="Arial" w:hAnsi="Arial"/>
                <w:sz w:val="20"/>
                <w:szCs w:val="20"/>
                <w:color w:val="auto"/>
              </w:rPr>
              <w:t>Title:</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AGREED AND ACCEPTED:</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SWEDISH ORPHAN BIOVITRUM AB (PUBL)</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6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Guido Oelkers</w:t>
            </w:r>
          </w:p>
        </w:tc>
      </w:tr>
      <w:tr>
        <w:trPr>
          <w:trHeight w:val="237"/>
        </w:trPr>
        <w:tc>
          <w:tcPr>
            <w:tcW w:w="1060" w:type="dxa"/>
            <w:vAlign w:val="bottom"/>
          </w:tcPr>
          <w:p>
            <w:pPr>
              <w:spacing w:after="0"/>
              <w:rPr>
                <w:sz w:val="20"/>
                <w:szCs w:val="20"/>
                <w:color w:val="auto"/>
              </w:rPr>
            </w:pPr>
            <w:r>
              <w:rPr>
                <w:rFonts w:ascii="Arial" w:cs="Arial" w:eastAsia="Arial" w:hAnsi="Arial"/>
                <w:sz w:val="20"/>
                <w:szCs w:val="20"/>
                <w:color w:val="auto"/>
              </w:rPr>
              <w:t>Name:</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Guido Oelkers</w:t>
            </w:r>
          </w:p>
        </w:tc>
      </w:tr>
      <w:tr>
        <w:trPr>
          <w:trHeight w:val="237"/>
        </w:trPr>
        <w:tc>
          <w:tcPr>
            <w:tcW w:w="106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CEO &amp; President</w:t>
            </w:r>
          </w:p>
        </w:tc>
      </w:tr>
      <w:tr>
        <w:trPr>
          <w:trHeight w:val="236"/>
        </w:trPr>
        <w:tc>
          <w:tcPr>
            <w:tcW w:w="1060" w:type="dxa"/>
            <w:vAlign w:val="bottom"/>
          </w:tcPr>
          <w:p>
            <w:pPr>
              <w:spacing w:after="0"/>
              <w:rPr>
                <w:sz w:val="20"/>
                <w:szCs w:val="20"/>
                <w:color w:val="auto"/>
              </w:rPr>
            </w:pPr>
            <w:r>
              <w:rPr>
                <w:rFonts w:ascii="Arial" w:cs="Arial" w:eastAsia="Arial" w:hAnsi="Arial"/>
                <w:sz w:val="20"/>
                <w:szCs w:val="20"/>
                <w:color w:val="auto"/>
              </w:rPr>
              <w:t>Date:</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November 4, 2020</w:t>
            </w:r>
          </w:p>
        </w:tc>
      </w:tr>
    </w:tbl>
    <w:p>
      <w:pPr>
        <w:sectPr>
          <w:pgSz w:w="11900" w:h="16838" w:orient="portrait"/>
          <w:cols w:equalWidth="0" w:num="1">
            <w:col w:w="11240"/>
          </w:cols>
          <w:pgMar w:left="320" w:top="87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jc w:val="both"/>
        <w:ind w:right="240" w:firstLine="648"/>
        <w:spacing w:after="0" w:line="25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July 31, 2020, is made by and between SELECTA BIOSCIENCES,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Peter G. Traber, M.D. (“</w:t>
      </w:r>
      <w:r>
        <w:rPr>
          <w:rFonts w:ascii="Arial" w:cs="Arial" w:eastAsia="Arial" w:hAnsi="Arial"/>
          <w:sz w:val="20"/>
          <w:szCs w:val="20"/>
          <w:u w:val="single" w:color="auto"/>
          <w:color w:val="auto"/>
        </w:rPr>
        <w:t>Executive</w:t>
      </w:r>
      <w:r>
        <w:rPr>
          <w:rFonts w:ascii="Arial" w:cs="Arial" w:eastAsia="Arial" w:hAnsi="Arial"/>
          <w:sz w:val="20"/>
          <w:szCs w:val="20"/>
          <w:color w:val="auto"/>
        </w:rPr>
        <w:t>”)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40" w:hanging="652"/>
        <w:spacing w:after="0" w:line="260" w:lineRule="auto"/>
        <w:tabs>
          <w:tab w:leader="none" w:pos="402"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Executive currently serves as the Company’s Interim Chief Medical Officer pursuant to a letter agreement by and between the Company and PGT Life Sciences Consulting, LLC (the “</w:t>
      </w:r>
      <w:r>
        <w:rPr>
          <w:rFonts w:ascii="Arial" w:cs="Arial" w:eastAsia="Arial" w:hAnsi="Arial"/>
          <w:sz w:val="20"/>
          <w:szCs w:val="20"/>
          <w:u w:val="single" w:color="auto"/>
          <w:color w:val="auto"/>
        </w:rPr>
        <w:t>Prior Agreement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660" w:right="400" w:hanging="652"/>
        <w:spacing w:after="0" w:line="250" w:lineRule="auto"/>
        <w:tabs>
          <w:tab w:leader="none" w:pos="391" w:val="left"/>
        </w:tabs>
        <w:numPr>
          <w:ilvl w:val="0"/>
          <w:numId w:val="62"/>
        </w:numPr>
        <w:rPr>
          <w:rFonts w:ascii="Arial" w:cs="Arial" w:eastAsia="Arial" w:hAnsi="Arial"/>
          <w:sz w:val="20"/>
          <w:szCs w:val="20"/>
          <w:color w:val="auto"/>
        </w:rPr>
      </w:pPr>
      <w:r>
        <w:rPr>
          <w:rFonts w:ascii="Arial" w:cs="Arial" w:eastAsia="Arial" w:hAnsi="Arial"/>
          <w:sz w:val="20"/>
          <w:szCs w:val="20"/>
          <w:color w:val="auto"/>
        </w:rPr>
        <w:t>It is the desire of the Company to continue to assure itself of the services of Executive on the terms and conditions set forth in this Agreement, commencing on or about August 1, 2020 (the actual date Executive commences employment with the Company,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380" w:hanging="372"/>
        <w:spacing w:after="0"/>
        <w:tabs>
          <w:tab w:leader="none" w:pos="3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Executive and the Company mutually desire that Executive provide services to the Company on the terms herein provided.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7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500" w:firstLine="656"/>
        <w:spacing w:after="0" w:line="316" w:lineRule="auto"/>
        <w:tabs>
          <w:tab w:leader="none" w:pos="128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and subject to the other terms and conditions herein provided.</w:t>
      </w:r>
    </w:p>
    <w:p>
      <w:pPr>
        <w:spacing w:after="0" w:line="129" w:lineRule="exact"/>
        <w:rPr>
          <w:rFonts w:ascii="Arial" w:cs="Arial" w:eastAsia="Arial" w:hAnsi="Arial"/>
          <w:sz w:val="18"/>
          <w:szCs w:val="18"/>
          <w:color w:val="auto"/>
        </w:rPr>
      </w:pPr>
    </w:p>
    <w:p>
      <w:pPr>
        <w:ind w:right="40" w:firstLine="656"/>
        <w:spacing w:after="0" w:line="257" w:lineRule="auto"/>
        <w:tabs>
          <w:tab w:leader="none" w:pos="1284"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9"/>
          <w:szCs w:val="19"/>
          <w:u w:val="single" w:color="auto"/>
          <w:color w:val="auto"/>
        </w:rPr>
        <w:t>Section 3(b)</w:t>
      </w:r>
      <w:r>
        <w:rPr>
          <w:rFonts w:ascii="Arial" w:cs="Arial" w:eastAsia="Arial" w:hAnsi="Arial"/>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shall commence on the Effective Date and end on the date this Agreement is terminated under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right="40" w:firstLine="656"/>
        <w:spacing w:after="0" w:line="276" w:lineRule="auto"/>
        <w:tabs>
          <w:tab w:leader="none" w:pos="128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 shall serve as the Chief Medical Officer of the Company with such responsibilities, duties and authority normally associated with such position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Arial" w:cs="Arial" w:eastAsia="Arial" w:hAnsi="Arial"/>
          <w:sz w:val="18"/>
          <w:szCs w:val="18"/>
          <w:u w:val="single" w:color="auto"/>
          <w:color w:val="auto"/>
        </w:rPr>
        <w:t>Board</w:t>
      </w:r>
      <w:r>
        <w:rPr>
          <w:rFonts w:ascii="Arial" w:cs="Arial" w:eastAsia="Arial" w:hAnsi="Arial"/>
          <w:sz w:val="18"/>
          <w:szCs w:val="18"/>
          <w:color w:val="auto"/>
        </w:rPr>
        <w:t>”) to the extent such activities do not materially interfere with the performance of Executive’s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69" w:right="339" w:bottom="1440" w:gutter="0" w:footer="0" w:header="0"/>
        </w:sectPr>
      </w:pPr>
    </w:p>
    <w:bookmarkStart w:id="112" w:name="page113"/>
    <w:bookmarkEnd w:id="112"/>
    <w:p>
      <w:pPr>
        <w:ind w:right="20"/>
        <w:spacing w:after="0" w:line="263" w:lineRule="auto"/>
        <w:rPr>
          <w:sz w:val="20"/>
          <w:szCs w:val="20"/>
          <w:color w:val="auto"/>
        </w:rPr>
      </w:pPr>
      <w:r>
        <w:rPr>
          <w:rFonts w:ascii="Arial" w:cs="Arial" w:eastAsia="Arial" w:hAnsi="Arial"/>
          <w:sz w:val="19"/>
          <w:szCs w:val="19"/>
          <w:color w:val="auto"/>
        </w:rPr>
        <w:t xml:space="preserve">duties and responsibilities under this Agreement or violate the terms of the Employee Nondisclosure, Noncompetition and Assignment of Intellectual Property Agreement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Restrictive Covenant Agreement</w:t>
      </w:r>
      <w:r>
        <w:rPr>
          <w:rFonts w:ascii="Arial" w:cs="Arial" w:eastAsia="Arial" w:hAnsi="Arial"/>
          <w:sz w:val="19"/>
          <w:szCs w:val="19"/>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pacing w:after="0" w:line="176" w:lineRule="exact"/>
        <w:rPr>
          <w:sz w:val="20"/>
          <w:szCs w:val="20"/>
          <w:color w:val="auto"/>
        </w:rPr>
      </w:pPr>
    </w:p>
    <w:p>
      <w:pPr>
        <w:ind w:firstLine="656"/>
        <w:spacing w:after="0" w:line="278" w:lineRule="auto"/>
        <w:tabs>
          <w:tab w:leader="none" w:pos="128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The Parties acknowledge that the Company’s principal place of business is currently in Watertown, Massachusetts and Executive’s primary residence is currently outside the greater Boston, Massachusetts area. Executive will be permitted to perform his obligations under this Agreement remotely, except for such travel as may be reasonably necessary to perform Executive’s duties and provided that Executive will spend such time at the Company’s principal place of business as the Chief Executive Officer of the Company reasonably determines is necessary or appropriate for Executive to perform his duties and responsibilities under this Agreement.</w:t>
      </w:r>
    </w:p>
    <w:p>
      <w:pPr>
        <w:spacing w:after="0" w:line="158"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right="100" w:firstLine="656"/>
        <w:spacing w:after="0" w:line="246" w:lineRule="auto"/>
        <w:tabs>
          <w:tab w:leader="none" w:pos="1286"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 $440,000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right="160" w:firstLine="656"/>
        <w:spacing w:after="0" w:line="276" w:lineRule="auto"/>
        <w:tabs>
          <w:tab w:leader="none" w:pos="128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8"/>
          <w:szCs w:val="18"/>
          <w:u w:val="single" w:color="auto"/>
          <w:color w:val="auto"/>
        </w:rPr>
        <w:t>Annual Bonus</w:t>
      </w:r>
      <w:r>
        <w:rPr>
          <w:rFonts w:ascii="Arial" w:cs="Arial" w:eastAsia="Arial" w:hAnsi="Arial"/>
          <w:sz w:val="18"/>
          <w:szCs w:val="18"/>
          <w:color w:val="auto"/>
        </w:rPr>
        <w:t>”) shall be targeted at 40%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Annual Bonus payable under the incentive program shall be based on the achievement of performance goals to be determined by the Board; provided that, Executive’s Annual Bonus for the Company’s 2020 fiscal year shall not be less than $73,333. The payment of any Annual Bonus will be made on or before March 15 of the year following the calendar year in which such Annual Bonus is earned, subject to Executive’s continued employment through the last day of such year.</w:t>
      </w:r>
    </w:p>
    <w:p>
      <w:pPr>
        <w:spacing w:after="0" w:line="164" w:lineRule="exact"/>
        <w:rPr>
          <w:rFonts w:ascii="Arial" w:cs="Arial" w:eastAsia="Arial" w:hAnsi="Arial"/>
          <w:sz w:val="18"/>
          <w:szCs w:val="18"/>
          <w:color w:val="auto"/>
        </w:rPr>
      </w:pPr>
    </w:p>
    <w:p>
      <w:pPr>
        <w:ind w:right="200" w:firstLine="656"/>
        <w:spacing w:after="0" w:line="246" w:lineRule="auto"/>
        <w:tabs>
          <w:tab w:leader="none" w:pos="1286"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191" w:lineRule="exact"/>
        <w:rPr>
          <w:rFonts w:ascii="Arial" w:cs="Arial" w:eastAsia="Arial" w:hAnsi="Arial"/>
          <w:sz w:val="20"/>
          <w:szCs w:val="20"/>
          <w:color w:val="auto"/>
        </w:rPr>
      </w:pPr>
    </w:p>
    <w:p>
      <w:pPr>
        <w:ind w:right="100" w:firstLine="656"/>
        <w:spacing w:after="0" w:line="246" w:lineRule="auto"/>
        <w:tabs>
          <w:tab w:leader="none" w:pos="1284"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91" w:lineRule="exact"/>
        <w:rPr>
          <w:rFonts w:ascii="Arial" w:cs="Arial" w:eastAsia="Arial" w:hAnsi="Arial"/>
          <w:sz w:val="20"/>
          <w:szCs w:val="20"/>
          <w:color w:val="auto"/>
        </w:rPr>
      </w:pPr>
    </w:p>
    <w:p>
      <w:pPr>
        <w:ind w:right="340" w:firstLine="656"/>
        <w:spacing w:after="0" w:line="250" w:lineRule="auto"/>
        <w:tabs>
          <w:tab w:leader="none" w:pos="1286"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5" w:lineRule="exact"/>
        <w:rPr>
          <w:rFonts w:ascii="Arial" w:cs="Arial" w:eastAsia="Arial" w:hAnsi="Arial"/>
          <w:sz w:val="20"/>
          <w:szCs w:val="20"/>
          <w:color w:val="auto"/>
        </w:rPr>
      </w:pPr>
    </w:p>
    <w:p>
      <w:pPr>
        <w:ind w:right="160" w:firstLine="656"/>
        <w:spacing w:after="0" w:line="250" w:lineRule="auto"/>
        <w:tabs>
          <w:tab w:leader="none" w:pos="1291"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Key Person Insurance</w:t>
      </w:r>
      <w:r>
        <w:rPr>
          <w:rFonts w:ascii="Arial" w:cs="Arial" w:eastAsia="Arial" w:hAnsi="Arial"/>
          <w:sz w:val="20"/>
          <w:szCs w:val="20"/>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113" w:name="page114"/>
    <w:bookmarkEnd w:id="113"/>
    <w:p>
      <w:pPr>
        <w:jc w:val="both"/>
        <w:ind w:right="440"/>
        <w:spacing w:after="0" w:line="328" w:lineRule="auto"/>
        <w:rPr>
          <w:sz w:val="20"/>
          <w:szCs w:val="20"/>
          <w:color w:val="auto"/>
        </w:rPr>
      </w:pPr>
      <w:r>
        <w:rPr>
          <w:rFonts w:ascii="Arial" w:cs="Arial" w:eastAsia="Arial" w:hAnsi="Arial"/>
          <w:sz w:val="16"/>
          <w:szCs w:val="16"/>
          <w:color w:val="auto"/>
        </w:rPr>
        <w:t>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28" w:lineRule="exact"/>
        <w:rPr>
          <w:sz w:val="20"/>
          <w:szCs w:val="20"/>
          <w:color w:val="auto"/>
        </w:rPr>
      </w:pPr>
    </w:p>
    <w:p>
      <w:pPr>
        <w:ind w:firstLine="656"/>
        <w:spacing w:after="0" w:line="243" w:lineRule="auto"/>
        <w:tabs>
          <w:tab w:leader="none" w:pos="1284"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Effective as of the Effective Date, Executive will be granted an option to purchase 650,000 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20"/>
          <w:szCs w:val="20"/>
          <w:u w:val="single" w:color="auto"/>
          <w:color w:val="auto"/>
        </w:rPr>
        <w:t>Option</w:t>
      </w:r>
      <w:r>
        <w:rPr>
          <w:rFonts w:ascii="Arial" w:cs="Arial" w:eastAsia="Arial" w:hAnsi="Arial"/>
          <w:sz w:val="20"/>
          <w:szCs w:val="20"/>
          <w:color w:val="auto"/>
        </w:rPr>
        <w:t>”). Subject to Executive’s continued employment by the Company, the Option shall vest over a four-year period, with 25% vesting on the first anniversary of the Effective Date and the remaining 75% vesting in 36 equal monthly installments following the first anniversary of the Effective Date. The Option will be subject to the terms of the Company’s incentive award plan under which it is granted (the “</w:t>
      </w:r>
      <w:r>
        <w:rPr>
          <w:rFonts w:ascii="Arial" w:cs="Arial" w:eastAsia="Arial" w:hAnsi="Arial"/>
          <w:sz w:val="20"/>
          <w:szCs w:val="20"/>
          <w:u w:val="single" w:color="auto"/>
          <w:color w:val="auto"/>
        </w:rPr>
        <w:t>Plan</w:t>
      </w:r>
      <w:r>
        <w:rPr>
          <w:rFonts w:ascii="Arial" w:cs="Arial" w:eastAsia="Arial" w:hAnsi="Arial"/>
          <w:sz w:val="20"/>
          <w:szCs w:val="20"/>
          <w:color w:val="auto"/>
        </w:rPr>
        <w:t>”) and the applicable award agreement evidencing such award.</w:t>
      </w:r>
    </w:p>
    <w:p>
      <w:pPr>
        <w:spacing w:after="0" w:line="192" w:lineRule="exact"/>
        <w:rPr>
          <w:rFonts w:ascii="Arial" w:cs="Arial" w:eastAsia="Arial" w:hAnsi="Arial"/>
          <w:sz w:val="20"/>
          <w:szCs w:val="20"/>
          <w:color w:val="auto"/>
        </w:rPr>
      </w:pPr>
    </w:p>
    <w:p>
      <w:pPr>
        <w:ind w:right="40" w:firstLine="656"/>
        <w:spacing w:after="0" w:line="259" w:lineRule="auto"/>
        <w:tabs>
          <w:tab w:leader="none" w:pos="128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Signing Bonus</w:t>
      </w:r>
      <w:r>
        <w:rPr>
          <w:rFonts w:ascii="Arial" w:cs="Arial" w:eastAsia="Arial" w:hAnsi="Arial"/>
          <w:sz w:val="19"/>
          <w:szCs w:val="19"/>
          <w:color w:val="auto"/>
        </w:rPr>
        <w:t>. Executive shall receive a single lump-sum cash payment of $75,000, payable at the same time as Executive’s first regularly scheduled Company paycheck, subject to and conditioned upon Executive’s continued employment through the payment date (the “</w:t>
      </w:r>
      <w:r>
        <w:rPr>
          <w:rFonts w:ascii="Arial" w:cs="Arial" w:eastAsia="Arial" w:hAnsi="Arial"/>
          <w:sz w:val="19"/>
          <w:szCs w:val="19"/>
          <w:u w:val="single" w:color="auto"/>
          <w:color w:val="auto"/>
        </w:rPr>
        <w:t>Signing Bonus</w:t>
      </w:r>
      <w:r>
        <w:rPr>
          <w:rFonts w:ascii="Arial" w:cs="Arial" w:eastAsia="Arial" w:hAnsi="Arial"/>
          <w:sz w:val="19"/>
          <w:szCs w:val="19"/>
          <w:color w:val="auto"/>
        </w:rPr>
        <w:t>”). If Executive’s employment is terminated by the Company for Cause or by Executive other than for Good Reason (as defined below), in either case within 12 months of the Effective Date, Executive will repay the Company the full amount of the Signing Bonus and the Company will be entitled (but not required) to deduct the amount of any such repayment obligations from any amounts otherwise payable to Executive by the Company or any of its affiliates.</w:t>
      </w:r>
    </w:p>
    <w:p>
      <w:pPr>
        <w:spacing w:after="0" w:line="178" w:lineRule="exact"/>
        <w:rPr>
          <w:rFonts w:ascii="Arial" w:cs="Arial" w:eastAsia="Arial" w:hAnsi="Arial"/>
          <w:sz w:val="19"/>
          <w:szCs w:val="19"/>
          <w:color w:val="auto"/>
        </w:rPr>
      </w:pPr>
    </w:p>
    <w:p>
      <w:pPr>
        <w:ind w:right="20" w:firstLine="656"/>
        <w:spacing w:after="0" w:line="259" w:lineRule="auto"/>
        <w:tabs>
          <w:tab w:leader="none" w:pos="129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Life Insurance</w:t>
      </w:r>
      <w:r>
        <w:rPr>
          <w:rFonts w:ascii="Arial" w:cs="Arial" w:eastAsia="Arial" w:hAnsi="Arial"/>
          <w:sz w:val="19"/>
          <w:szCs w:val="19"/>
          <w:color w:val="auto"/>
        </w:rPr>
        <w:t>. During the Term, the Company shall pay the applicable premiums, up to a maximum amount of $1,000 per month, for a term life insurance policy for the Executive. The Company will also provide Executive a gross-up payment for taxes incurred by Executive resulting from the receipt of such benefits (including as a result of the receipt of such gross-up payment). The tax gross-up payable to Executive under this Section will be paid reasonably promptly after determination of the payment amount and receipt by the Company of reasonably requested supporting documentation (which Executive will provide promptly) and in any event not later than the year following the year in which the taxes are remitted to the applicable governmental authority.</w:t>
      </w:r>
    </w:p>
    <w:p>
      <w:pPr>
        <w:spacing w:after="0" w:line="172" w:lineRule="exact"/>
        <w:rPr>
          <w:rFonts w:ascii="Arial" w:cs="Arial" w:eastAsia="Arial" w:hAnsi="Arial"/>
          <w:sz w:val="19"/>
          <w:szCs w:val="19"/>
          <w:color w:val="auto"/>
        </w:rPr>
      </w:pPr>
    </w:p>
    <w:p>
      <w:pPr>
        <w:ind w:left="660" w:hanging="652"/>
        <w:spacing w:after="0"/>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Executive’s employment hereunder may be terminated by the Company or Executive, as applicable, without any breach of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00"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60" w:hanging="681"/>
        <w:spacing w:after="0"/>
        <w:tabs>
          <w:tab w:leader="none" w:pos="1960" w:val="left"/>
        </w:tabs>
        <w:numPr>
          <w:ilvl w:val="1"/>
          <w:numId w:val="68"/>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15" w:lineRule="exact"/>
        <w:rPr>
          <w:rFonts w:ascii="Arial" w:cs="Arial" w:eastAsia="Arial" w:hAnsi="Arial"/>
          <w:sz w:val="20"/>
          <w:szCs w:val="20"/>
          <w:color w:val="auto"/>
        </w:rPr>
      </w:pPr>
    </w:p>
    <w:p>
      <w:pPr>
        <w:ind w:left="1960" w:hanging="736"/>
        <w:spacing w:after="0"/>
        <w:tabs>
          <w:tab w:leader="none" w:pos="1960" w:val="left"/>
        </w:tabs>
        <w:numPr>
          <w:ilvl w:val="1"/>
          <w:numId w:val="68"/>
        </w:numPr>
        <w:rPr>
          <w:rFonts w:ascii="Arial" w:cs="Arial" w:eastAsia="Arial" w:hAnsi="Arial"/>
          <w:sz w:val="19"/>
          <w:szCs w:val="19"/>
          <w:color w:val="auto"/>
        </w:rPr>
      </w:pPr>
      <w:r>
        <w:rPr>
          <w:rFonts w:ascii="Arial" w:cs="Arial" w:eastAsia="Arial" w:hAnsi="Arial"/>
          <w:sz w:val="19"/>
          <w:szCs w:val="19"/>
          <w:i w:val="1"/>
          <w:iCs w:val="1"/>
          <w:color w:val="auto"/>
        </w:rPr>
        <w:t>Disability</w:t>
      </w:r>
      <w:r>
        <w:rPr>
          <w:rFonts w:ascii="Arial" w:cs="Arial" w:eastAsia="Arial" w:hAnsi="Arial"/>
          <w:sz w:val="19"/>
          <w:szCs w:val="19"/>
          <w:color w:val="auto"/>
        </w:rPr>
        <w:t>. If Executive has incurred a Disability, as defined below, the Company may terminate Executive’s</w:t>
      </w:r>
    </w:p>
    <w:p>
      <w:pPr>
        <w:spacing w:after="0" w:line="27"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20"/>
          <w:szCs w:val="20"/>
          <w:color w:val="auto"/>
        </w:rPr>
        <w:t>employment.</w:t>
      </w:r>
    </w:p>
    <w:p>
      <w:pPr>
        <w:spacing w:after="0" w:line="199" w:lineRule="exact"/>
        <w:rPr>
          <w:rFonts w:ascii="Arial" w:cs="Arial" w:eastAsia="Arial" w:hAnsi="Arial"/>
          <w:sz w:val="19"/>
          <w:szCs w:val="19"/>
          <w:color w:val="auto"/>
        </w:rPr>
      </w:pPr>
    </w:p>
    <w:p>
      <w:pPr>
        <w:ind w:left="1960" w:hanging="791"/>
        <w:spacing w:after="0"/>
        <w:tabs>
          <w:tab w:leader="none" w:pos="1960" w:val="left"/>
        </w:tabs>
        <w:numPr>
          <w:ilvl w:val="1"/>
          <w:numId w:val="68"/>
        </w:numPr>
        <w:rPr>
          <w:rFonts w:ascii="Arial" w:cs="Arial" w:eastAsia="Arial" w:hAnsi="Arial"/>
          <w:sz w:val="19"/>
          <w:szCs w:val="19"/>
          <w:color w:val="auto"/>
        </w:rPr>
      </w:pPr>
      <w:r>
        <w:rPr>
          <w:rFonts w:ascii="Arial" w:cs="Arial" w:eastAsia="Arial" w:hAnsi="Arial"/>
          <w:sz w:val="19"/>
          <w:szCs w:val="19"/>
          <w:i w:val="1"/>
          <w:iCs w:val="1"/>
          <w:color w:val="auto"/>
        </w:rPr>
        <w:t>Termination for Cause</w:t>
      </w:r>
      <w:r>
        <w:rPr>
          <w:rFonts w:ascii="Arial" w:cs="Arial" w:eastAsia="Arial" w:hAnsi="Arial"/>
          <w:sz w:val="19"/>
          <w:szCs w:val="19"/>
          <w:color w:val="auto"/>
        </w:rPr>
        <w:t>. The Company may terminate Executive’s employment for Cause,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9" w:right="359" w:bottom="1440" w:gutter="0" w:footer="0" w:header="0"/>
        </w:sectPr>
      </w:pPr>
    </w:p>
    <w:bookmarkStart w:id="114" w:name="page115"/>
    <w:bookmarkEnd w:id="114"/>
    <w:p>
      <w:pPr>
        <w:ind w:left="1720" w:hanging="780"/>
        <w:spacing w:after="0"/>
        <w:tabs>
          <w:tab w:leader="none" w:pos="1720" w:val="left"/>
        </w:tabs>
        <w:numPr>
          <w:ilvl w:val="1"/>
          <w:numId w:val="69"/>
        </w:numPr>
        <w:rPr>
          <w:rFonts w:ascii="Arial" w:cs="Arial" w:eastAsia="Arial" w:hAnsi="Arial"/>
          <w:sz w:val="20"/>
          <w:szCs w:val="20"/>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15" w:lineRule="exact"/>
        <w:rPr>
          <w:rFonts w:ascii="Arial" w:cs="Arial" w:eastAsia="Arial" w:hAnsi="Arial"/>
          <w:sz w:val="20"/>
          <w:szCs w:val="20"/>
          <w:color w:val="auto"/>
        </w:rPr>
      </w:pPr>
    </w:p>
    <w:p>
      <w:pPr>
        <w:ind w:left="580" w:right="780" w:firstLine="415"/>
        <w:spacing w:after="0" w:line="260" w:lineRule="auto"/>
        <w:tabs>
          <w:tab w:leader="none" w:pos="1714" w:val="left"/>
        </w:tabs>
        <w:numPr>
          <w:ilvl w:val="1"/>
          <w:numId w:val="69"/>
        </w:numPr>
        <w:rPr>
          <w:rFonts w:ascii="Arial" w:cs="Arial" w:eastAsia="Arial" w:hAnsi="Arial"/>
          <w:sz w:val="20"/>
          <w:szCs w:val="20"/>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with Good Reason, as defined below.</w:t>
      </w:r>
    </w:p>
    <w:p>
      <w:pPr>
        <w:spacing w:after="0" w:line="176" w:lineRule="exact"/>
        <w:rPr>
          <w:rFonts w:ascii="Arial" w:cs="Arial" w:eastAsia="Arial" w:hAnsi="Arial"/>
          <w:sz w:val="20"/>
          <w:szCs w:val="20"/>
          <w:color w:val="auto"/>
        </w:rPr>
      </w:pPr>
    </w:p>
    <w:p>
      <w:pPr>
        <w:ind w:left="580" w:right="520" w:firstLine="360"/>
        <w:spacing w:after="0" w:line="260" w:lineRule="auto"/>
        <w:tabs>
          <w:tab w:leader="none" w:pos="1714" w:val="left"/>
        </w:tabs>
        <w:numPr>
          <w:ilvl w:val="1"/>
          <w:numId w:val="69"/>
        </w:numPr>
        <w:rPr>
          <w:rFonts w:ascii="Arial" w:cs="Arial" w:eastAsia="Arial" w:hAnsi="Arial"/>
          <w:sz w:val="20"/>
          <w:szCs w:val="20"/>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for any reason other than Good Reason or for no reason.</w:t>
      </w:r>
    </w:p>
    <w:p>
      <w:pPr>
        <w:spacing w:after="0" w:line="176" w:lineRule="exact"/>
        <w:rPr>
          <w:rFonts w:ascii="Arial" w:cs="Arial" w:eastAsia="Arial" w:hAnsi="Arial"/>
          <w:sz w:val="20"/>
          <w:szCs w:val="20"/>
          <w:color w:val="auto"/>
        </w:rPr>
      </w:pPr>
    </w:p>
    <w:p>
      <w:pPr>
        <w:ind w:left="-240" w:right="20" w:firstLine="656"/>
        <w:spacing w:after="0" w:line="269" w:lineRule="auto"/>
        <w:tabs>
          <w:tab w:leader="none" w:pos="10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Any termination of Executive’s employment by the Company or by Executive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78" w:lineRule="exact"/>
        <w:rPr>
          <w:rFonts w:ascii="Arial" w:cs="Arial" w:eastAsia="Arial" w:hAnsi="Arial"/>
          <w:sz w:val="18"/>
          <w:szCs w:val="18"/>
          <w:color w:val="auto"/>
        </w:rPr>
      </w:pPr>
    </w:p>
    <w:p>
      <w:pPr>
        <w:ind w:left="-240" w:firstLine="656"/>
        <w:spacing w:after="0" w:line="271" w:lineRule="auto"/>
        <w:tabs>
          <w:tab w:leader="none" w:pos="104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80"/>
          </w:cols>
          <w:pgMar w:left="560" w:top="1419" w:right="359" w:bottom="1440" w:gutter="0" w:footer="0" w:header="0"/>
        </w:sectPr>
      </w:pPr>
    </w:p>
    <w:bookmarkStart w:id="115" w:name="page116"/>
    <w:bookmarkEnd w:id="115"/>
    <w:p>
      <w:pPr>
        <w:ind w:left="-8" w:right="500" w:firstLine="656"/>
        <w:spacing w:after="0" w:line="260" w:lineRule="auto"/>
        <w:tabs>
          <w:tab w:leader="none" w:pos="1276"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Arial" w:cs="Arial" w:eastAsia="Arial" w:hAnsi="Arial"/>
          <w:sz w:val="20"/>
          <w:szCs w:val="20"/>
          <w:color w:val="auto"/>
        </w:rPr>
      </w:pPr>
    </w:p>
    <w:p>
      <w:pPr>
        <w:ind w:left="652" w:hanging="652"/>
        <w:spacing w:after="0"/>
        <w:tabs>
          <w:tab w:leader="none" w:pos="652"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8" w:right="100" w:firstLine="656"/>
        <w:spacing w:after="0" w:line="282" w:lineRule="auto"/>
        <w:tabs>
          <w:tab w:leader="none" w:pos="127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Termination Upon Death, Disability or Resignation from the Company Without Good Reason</w:t>
      </w:r>
      <w:r>
        <w:rPr>
          <w:rFonts w:ascii="Arial" w:cs="Arial" w:eastAsia="Arial" w:hAnsi="Arial"/>
          <w:sz w:val="18"/>
          <w:szCs w:val="18"/>
          <w:color w:val="auto"/>
        </w:rPr>
        <w:t xml:space="preserve">. If Executive’s employment shall terminate as a result of Executive’s death pursuant to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or Disability pursuant to </w:t>
      </w:r>
      <w:r>
        <w:rPr>
          <w:rFonts w:ascii="Arial" w:cs="Arial" w:eastAsia="Arial" w:hAnsi="Arial"/>
          <w:sz w:val="18"/>
          <w:szCs w:val="18"/>
          <w:u w:val="single" w:color="auto"/>
          <w:color w:val="auto"/>
        </w:rPr>
        <w:t>Section 3(a)(ii)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3(a)(iii)</w:t>
      </w:r>
      <w:r>
        <w:rPr>
          <w:rFonts w:ascii="Arial" w:cs="Arial" w:eastAsia="Arial" w:hAnsi="Arial"/>
          <w:sz w:val="18"/>
          <w:szCs w:val="18"/>
          <w:color w:val="auto"/>
        </w:rPr>
        <w:t xml:space="preserve"> for Cause, or pursuant to </w:t>
      </w:r>
      <w:r>
        <w:rPr>
          <w:rFonts w:ascii="Arial" w:cs="Arial" w:eastAsia="Arial" w:hAnsi="Arial"/>
          <w:sz w:val="18"/>
          <w:szCs w:val="18"/>
          <w:u w:val="single" w:color="auto"/>
          <w:color w:val="auto"/>
        </w:rPr>
        <w:t>Section 3(a)(vi)</w:t>
      </w:r>
      <w:r>
        <w:rPr>
          <w:rFonts w:ascii="Arial" w:cs="Arial" w:eastAsia="Arial" w:hAnsi="Arial"/>
          <w:sz w:val="18"/>
          <w:szCs w:val="18"/>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8" w:firstLine="656"/>
        <w:spacing w:after="0" w:line="259" w:lineRule="auto"/>
        <w:tabs>
          <w:tab w:leader="none" w:pos="127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Resignation from the Company with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78" w:lineRule="exact"/>
        <w:rPr>
          <w:rFonts w:ascii="Arial" w:cs="Arial" w:eastAsia="Arial" w:hAnsi="Arial"/>
          <w:sz w:val="19"/>
          <w:szCs w:val="19"/>
          <w:color w:val="auto"/>
        </w:rPr>
      </w:pPr>
    </w:p>
    <w:p>
      <w:pPr>
        <w:ind w:left="812" w:firstLine="459"/>
        <w:spacing w:after="0" w:line="244" w:lineRule="auto"/>
        <w:tabs>
          <w:tab w:leader="none" w:pos="1946" w:val="left"/>
        </w:tabs>
        <w:numPr>
          <w:ilvl w:val="2"/>
          <w:numId w:val="72"/>
        </w:numPr>
        <w:rPr>
          <w:rFonts w:ascii="Arial" w:cs="Arial" w:eastAsia="Arial" w:hAnsi="Arial"/>
          <w:sz w:val="20"/>
          <w:szCs w:val="20"/>
          <w:color w:val="auto"/>
        </w:rPr>
      </w:pPr>
      <w:r>
        <w:rPr>
          <w:rFonts w:ascii="Arial" w:cs="Arial" w:eastAsia="Arial" w:hAnsi="Arial"/>
          <w:sz w:val="20"/>
          <w:szCs w:val="20"/>
          <w:color w:val="auto"/>
        </w:rPr>
        <w:t>an amount in cash equal to the then current Annual Base Salary, payable in the form of salary continuation in regular installments over the 12-month period following the date of Executive’s Separation from Service (the “</w:t>
      </w:r>
      <w:r>
        <w:rPr>
          <w:rFonts w:ascii="Arial" w:cs="Arial" w:eastAsia="Arial" w:hAnsi="Arial"/>
          <w:sz w:val="20"/>
          <w:szCs w:val="20"/>
          <w:u w:val="single" w:color="auto"/>
          <w:color w:val="auto"/>
        </w:rPr>
        <w:t>Severance Period</w:t>
      </w:r>
      <w:r>
        <w:rPr>
          <w:rFonts w:ascii="Arial" w:cs="Arial" w:eastAsia="Arial" w:hAnsi="Arial"/>
          <w:sz w:val="20"/>
          <w:szCs w:val="20"/>
          <w:color w:val="auto"/>
        </w:rPr>
        <w:t>”) in accordance with the Company’s normal payroll practices, commencing on the Company’s next regular payday that is at least five days following the effective date of the Release (with the first payment including all amounts accrued to that date) (the “</w:t>
      </w:r>
      <w:r>
        <w:rPr>
          <w:rFonts w:ascii="Arial" w:cs="Arial" w:eastAsia="Arial" w:hAnsi="Arial"/>
          <w:sz w:val="20"/>
          <w:szCs w:val="20"/>
          <w:u w:val="single" w:color="auto"/>
          <w:color w:val="auto"/>
        </w:rPr>
        <w:t>Payment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812" w:firstLine="404"/>
        <w:spacing w:after="0" w:line="259" w:lineRule="auto"/>
        <w:tabs>
          <w:tab w:leader="none" w:pos="1946" w:val="left"/>
        </w:tabs>
        <w:numPr>
          <w:ilvl w:val="2"/>
          <w:numId w:val="72"/>
        </w:numPr>
        <w:rPr>
          <w:rFonts w:ascii="Arial" w:cs="Arial" w:eastAsia="Arial" w:hAnsi="Arial"/>
          <w:sz w:val="19"/>
          <w:szCs w:val="19"/>
          <w:color w:val="auto"/>
        </w:rPr>
      </w:pPr>
      <w:r>
        <w:rPr>
          <w:rFonts w:ascii="Arial" w:cs="Arial" w:eastAsia="Arial" w:hAnsi="Arial"/>
          <w:sz w:val="19"/>
          <w:szCs w:val="19"/>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78" w:lineRule="exact"/>
        <w:rPr>
          <w:rFonts w:ascii="Arial" w:cs="Arial" w:eastAsia="Arial" w:hAnsi="Arial"/>
          <w:sz w:val="19"/>
          <w:szCs w:val="19"/>
          <w:color w:val="auto"/>
        </w:rPr>
      </w:pPr>
    </w:p>
    <w:p>
      <w:pPr>
        <w:ind w:left="812" w:right="20" w:firstLine="349"/>
        <w:spacing w:after="0" w:line="273" w:lineRule="auto"/>
        <w:tabs>
          <w:tab w:leader="none" w:pos="1946" w:val="left"/>
        </w:tabs>
        <w:numPr>
          <w:ilvl w:val="2"/>
          <w:numId w:val="72"/>
        </w:numPr>
        <w:rPr>
          <w:rFonts w:ascii="Arial" w:cs="Arial" w:eastAsia="Arial" w:hAnsi="Arial"/>
          <w:sz w:val="18"/>
          <w:szCs w:val="18"/>
          <w:color w:val="auto"/>
        </w:rPr>
      </w:pPr>
      <w:r>
        <w:rPr>
          <w:rFonts w:ascii="Arial" w:cs="Arial" w:eastAsia="Arial" w:hAnsi="Arial"/>
          <w:sz w:val="18"/>
          <w:szCs w:val="18"/>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92"/>
          </w:cols>
          <w:pgMar w:left="328" w:top="1419" w:right="379" w:bottom="1440" w:gutter="0" w:footer="0" w:header="0"/>
        </w:sectPr>
      </w:pPr>
    </w:p>
    <w:bookmarkStart w:id="116" w:name="page117"/>
    <w:bookmarkEnd w:id="116"/>
    <w:p>
      <w:pPr>
        <w:ind w:left="820" w:right="80"/>
        <w:spacing w:after="0" w:line="250" w:lineRule="auto"/>
        <w:rPr>
          <w:sz w:val="20"/>
          <w:szCs w:val="20"/>
          <w:color w:val="auto"/>
        </w:rPr>
      </w:pPr>
      <w:r>
        <w:rPr>
          <w:rFonts w:ascii="Arial" w:cs="Arial" w:eastAsia="Arial" w:hAnsi="Arial"/>
          <w:sz w:val="20"/>
          <w:szCs w:val="20"/>
          <w:color w:val="auto"/>
        </w:rPr>
        <w:t>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86" w:lineRule="exact"/>
        <w:rPr>
          <w:sz w:val="20"/>
          <w:szCs w:val="20"/>
          <w:color w:val="auto"/>
        </w:rPr>
      </w:pPr>
    </w:p>
    <w:p>
      <w:pPr>
        <w:ind w:right="40" w:firstLine="656"/>
        <w:spacing w:after="0" w:line="263" w:lineRule="auto"/>
        <w:tabs>
          <w:tab w:leader="none" w:pos="1286"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8"/>
          <w:szCs w:val="18"/>
          <w:u w:val="single" w:color="auto"/>
          <w:color w:val="auto"/>
        </w:rPr>
        <w:t>Section 3(a)(iv)</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3(a)(v)</w:t>
      </w:r>
      <w:r>
        <w:rPr>
          <w:rFonts w:ascii="Arial" w:cs="Arial" w:eastAsia="Arial" w:hAnsi="Arial"/>
          <w:sz w:val="18"/>
          <w:szCs w:val="18"/>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Executive shall receive, in addition to the payments and benefits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4(b)</w:t>
      </w:r>
      <w:r>
        <w:rPr>
          <w:rFonts w:ascii="Arial" w:cs="Arial" w:eastAsia="Arial" w:hAnsi="Arial"/>
          <w:sz w:val="18"/>
          <w:szCs w:val="18"/>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77" w:lineRule="exact"/>
        <w:rPr>
          <w:rFonts w:ascii="Arial" w:cs="Arial" w:eastAsia="Arial" w:hAnsi="Arial"/>
          <w:sz w:val="18"/>
          <w:szCs w:val="18"/>
          <w:color w:val="auto"/>
        </w:rPr>
      </w:pPr>
    </w:p>
    <w:p>
      <w:pPr>
        <w:ind w:right="40" w:firstLine="656"/>
        <w:spacing w:after="0" w:line="260" w:lineRule="auto"/>
        <w:tabs>
          <w:tab w:leader="none" w:pos="1284"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70" w:lineRule="exact"/>
        <w:rPr>
          <w:rFonts w:ascii="Arial" w:cs="Arial" w:eastAsia="Arial" w:hAnsi="Arial"/>
          <w:sz w:val="20"/>
          <w:szCs w:val="20"/>
          <w:color w:val="auto"/>
        </w:rPr>
      </w:pPr>
    </w:p>
    <w:p>
      <w:pPr>
        <w:ind w:right="100" w:firstLine="8"/>
        <w:spacing w:after="0" w:line="246" w:lineRule="auto"/>
        <w:tabs>
          <w:tab w:leader="none" w:pos="648"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84" w:lineRule="exact"/>
        <w:rPr>
          <w:rFonts w:ascii="Arial" w:cs="Arial" w:eastAsia="Arial" w:hAnsi="Arial"/>
          <w:sz w:val="20"/>
          <w:szCs w:val="20"/>
          <w:b w:val="1"/>
          <w:bCs w:val="1"/>
          <w:color w:val="auto"/>
        </w:rPr>
      </w:pPr>
    </w:p>
    <w:p>
      <w:pPr>
        <w:ind w:left="660" w:hanging="652"/>
        <w:spacing w:after="0"/>
        <w:tabs>
          <w:tab w:leader="none" w:pos="6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2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91"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300" w:hanging="644"/>
        <w:spacing w:after="0"/>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15" w:lineRule="exact"/>
        <w:rPr>
          <w:rFonts w:ascii="Arial" w:cs="Arial" w:eastAsia="Arial" w:hAnsi="Arial"/>
          <w:sz w:val="20"/>
          <w:szCs w:val="20"/>
          <w:color w:val="auto"/>
        </w:rPr>
      </w:pPr>
    </w:p>
    <w:p>
      <w:pPr>
        <w:ind w:left="820" w:right="40" w:firstLine="459"/>
        <w:spacing w:after="0" w:line="260" w:lineRule="auto"/>
        <w:tabs>
          <w:tab w:leader="none" w:pos="1954" w:val="left"/>
        </w:tabs>
        <w:numPr>
          <w:ilvl w:val="2"/>
          <w:numId w:val="75"/>
        </w:numPr>
        <w:rPr>
          <w:rFonts w:ascii="Arial" w:cs="Arial" w:eastAsia="Arial" w:hAnsi="Arial"/>
          <w:sz w:val="20"/>
          <w:szCs w:val="20"/>
          <w:color w:val="auto"/>
        </w:rPr>
      </w:pPr>
      <w:r>
        <w:rPr>
          <w:rFonts w:ascii="Arial" w:cs="Arial" w:eastAsia="Arial" w:hAnsi="Arial"/>
          <w:sz w:val="20"/>
          <w:szCs w:val="20"/>
          <w:color w:val="auto"/>
        </w:rPr>
        <w:t>Executive’s willful failure to perform (other than by reason of Disability), or gross negligence in the performance of, Executive’s duties and responsibilities to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19" w:right="359" w:bottom="1440" w:gutter="0" w:footer="0" w:header="0"/>
        </w:sectPr>
      </w:pPr>
    </w:p>
    <w:bookmarkStart w:id="117" w:name="page118"/>
    <w:bookmarkEnd w:id="117"/>
    <w:p>
      <w:pPr>
        <w:ind w:left="1960" w:hanging="736"/>
        <w:spacing w:after="0"/>
        <w:tabs>
          <w:tab w:leader="none" w:pos="19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Executive’s commission of, or indictment or conviction for, any felony or any crime involving dishonesty by</w:t>
      </w:r>
    </w:p>
    <w:p>
      <w:pPr>
        <w:spacing w:after="0" w:line="27"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20"/>
          <w:szCs w:val="20"/>
          <w:color w:val="auto"/>
        </w:rPr>
        <w:t>Executive;</w:t>
      </w:r>
    </w:p>
    <w:p>
      <w:pPr>
        <w:spacing w:after="0" w:line="199" w:lineRule="exact"/>
        <w:rPr>
          <w:rFonts w:ascii="Arial" w:cs="Arial" w:eastAsia="Arial" w:hAnsi="Arial"/>
          <w:sz w:val="19"/>
          <w:szCs w:val="19"/>
          <w:color w:val="auto"/>
        </w:rPr>
      </w:pPr>
    </w:p>
    <w:p>
      <w:pPr>
        <w:ind w:left="1960" w:hanging="791"/>
        <w:spacing w:after="0"/>
        <w:tabs>
          <w:tab w:leader="none" w:pos="1960" w:val="left"/>
        </w:tabs>
        <w:numPr>
          <w:ilvl w:val="1"/>
          <w:numId w:val="76"/>
        </w:numPr>
        <w:rPr>
          <w:rFonts w:ascii="Arial" w:cs="Arial" w:eastAsia="Arial" w:hAnsi="Arial"/>
          <w:sz w:val="20"/>
          <w:szCs w:val="20"/>
          <w:color w:val="auto"/>
        </w:rPr>
      </w:pPr>
      <w:r>
        <w:rPr>
          <w:rFonts w:ascii="Arial" w:cs="Arial" w:eastAsia="Arial" w:hAnsi="Arial"/>
          <w:sz w:val="20"/>
          <w:szCs w:val="20"/>
          <w:color w:val="auto"/>
        </w:rPr>
        <w:t>Executive’s participation in any fraud against the Company or any of its affiliates;</w:t>
      </w:r>
    </w:p>
    <w:p>
      <w:pPr>
        <w:spacing w:after="0" w:line="215" w:lineRule="exact"/>
        <w:rPr>
          <w:rFonts w:ascii="Arial" w:cs="Arial" w:eastAsia="Arial" w:hAnsi="Arial"/>
          <w:sz w:val="20"/>
          <w:szCs w:val="20"/>
          <w:color w:val="auto"/>
        </w:rPr>
      </w:pPr>
    </w:p>
    <w:p>
      <w:pPr>
        <w:ind w:left="1960" w:hanging="780"/>
        <w:spacing w:after="0"/>
        <w:tabs>
          <w:tab w:leader="none" w:pos="1960"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intentional material damage to any property of the Company or any of its affiliates by Executive;</w:t>
      </w:r>
    </w:p>
    <w:p>
      <w:pPr>
        <w:spacing w:after="0" w:line="215" w:lineRule="exact"/>
        <w:rPr>
          <w:rFonts w:ascii="Arial" w:cs="Arial" w:eastAsia="Arial" w:hAnsi="Arial"/>
          <w:sz w:val="20"/>
          <w:szCs w:val="20"/>
          <w:color w:val="auto"/>
        </w:rPr>
      </w:pPr>
    </w:p>
    <w:p>
      <w:pPr>
        <w:ind w:left="820" w:right="20" w:firstLine="415"/>
        <w:spacing w:after="0" w:line="250" w:lineRule="auto"/>
        <w:tabs>
          <w:tab w:leader="none" w:pos="1954" w:val="left"/>
        </w:tabs>
        <w:numPr>
          <w:ilvl w:val="1"/>
          <w:numId w:val="76"/>
        </w:numPr>
        <w:rPr>
          <w:rFonts w:ascii="Arial" w:cs="Arial" w:eastAsia="Arial" w:hAnsi="Arial"/>
          <w:sz w:val="20"/>
          <w:szCs w:val="20"/>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85" w:lineRule="exact"/>
        <w:rPr>
          <w:rFonts w:ascii="Arial" w:cs="Arial" w:eastAsia="Arial" w:hAnsi="Arial"/>
          <w:sz w:val="20"/>
          <w:szCs w:val="20"/>
          <w:color w:val="auto"/>
        </w:rPr>
      </w:pPr>
    </w:p>
    <w:p>
      <w:pPr>
        <w:ind w:left="820" w:right="60" w:firstLine="360"/>
        <w:spacing w:after="0" w:line="250" w:lineRule="auto"/>
        <w:tabs>
          <w:tab w:leader="none" w:pos="1954" w:val="left"/>
        </w:tabs>
        <w:numPr>
          <w:ilvl w:val="1"/>
          <w:numId w:val="76"/>
        </w:numPr>
        <w:rPr>
          <w:rFonts w:ascii="Arial" w:cs="Arial" w:eastAsia="Arial" w:hAnsi="Arial"/>
          <w:sz w:val="20"/>
          <w:szCs w:val="20"/>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shall have the meaning set forth in the version of the Plan in effect on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 and the regulations and guidance promulgated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thereunder.</w:t>
      </w:r>
    </w:p>
    <w:p>
      <w:pPr>
        <w:spacing w:after="0" w:line="199" w:lineRule="exact"/>
        <w:rPr>
          <w:rFonts w:ascii="Arial" w:cs="Arial" w:eastAsia="Arial" w:hAnsi="Arial"/>
          <w:sz w:val="18"/>
          <w:szCs w:val="18"/>
          <w:color w:val="auto"/>
        </w:rPr>
      </w:pPr>
    </w:p>
    <w:p>
      <w:pPr>
        <w:ind w:firstLine="656"/>
        <w:spacing w:after="0" w:line="250" w:lineRule="auto"/>
        <w:tabs>
          <w:tab w:leader="none" w:pos="1284"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0"/>
          <w:szCs w:val="20"/>
          <w:u w:val="single" w:color="auto"/>
          <w:color w:val="auto"/>
        </w:rPr>
        <w:t>Section 3(a)(ii) – (vi)</w:t>
      </w:r>
      <w:r>
        <w:rPr>
          <w:rFonts w:ascii="Arial" w:cs="Arial" w:eastAsia="Arial" w:hAnsi="Arial"/>
          <w:sz w:val="20"/>
          <w:szCs w:val="20"/>
          <w:color w:val="auto"/>
        </w:rPr>
        <w:t xml:space="preserve"> either the date indicated in the Notice of Termination or the date specified by the Company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whichever is earlier.</w:t>
      </w:r>
    </w:p>
    <w:p>
      <w:pPr>
        <w:spacing w:after="0" w:line="185" w:lineRule="exact"/>
        <w:rPr>
          <w:rFonts w:ascii="Arial" w:cs="Arial" w:eastAsia="Arial" w:hAnsi="Arial"/>
          <w:sz w:val="20"/>
          <w:szCs w:val="20"/>
          <w:color w:val="auto"/>
        </w:rPr>
      </w:pPr>
    </w:p>
    <w:p>
      <w:pPr>
        <w:ind w:right="20" w:firstLine="656"/>
        <w:spacing w:after="0" w:line="271" w:lineRule="auto"/>
        <w:tabs>
          <w:tab w:leader="none" w:pos="128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9" w:lineRule="exact"/>
        <w:rPr>
          <w:rFonts w:ascii="Arial" w:cs="Arial" w:eastAsia="Arial" w:hAnsi="Arial"/>
          <w:sz w:val="18"/>
          <w:szCs w:val="18"/>
          <w:color w:val="auto"/>
        </w:rPr>
      </w:pPr>
    </w:p>
    <w:p>
      <w:pPr>
        <w:ind w:right="60" w:firstLine="656"/>
        <w:spacing w:after="0" w:line="291" w:lineRule="auto"/>
        <w:tabs>
          <w:tab w:leader="none" w:pos="129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the sole purpose of determining Executive’s right to severance payments and benefits as described above, Executive’s resignation will be with “Good Reason” if Executive resigns within six months after any of the following events, unless Executive consents to the applicable event in writing: (i) a material reduction in Executive’s Annual Base Salary or Target Bonus,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19" w:right="379" w:bottom="1440" w:gutter="0" w:footer="0" w:header="0"/>
        </w:sectPr>
      </w:pPr>
    </w:p>
    <w:bookmarkStart w:id="118" w:name="page119"/>
    <w:bookmarkEnd w:id="118"/>
    <w:p>
      <w:pPr>
        <w:ind w:left="300" w:hanging="292"/>
        <w:spacing w:after="0"/>
        <w:tabs>
          <w:tab w:leader="none" w:pos="3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material diminution in Executive’s authority, title or duties or areas of responsibility, (iii) the requirement that Executive report to</w:t>
      </w:r>
    </w:p>
    <w:p>
      <w:pPr>
        <w:spacing w:after="0" w:line="27" w:lineRule="exact"/>
        <w:rPr>
          <w:rFonts w:ascii="Arial" w:cs="Arial" w:eastAsia="Arial" w:hAnsi="Arial"/>
          <w:sz w:val="19"/>
          <w:szCs w:val="19"/>
          <w:color w:val="auto"/>
        </w:rPr>
      </w:pPr>
    </w:p>
    <w:p>
      <w:pPr>
        <w:ind w:right="100"/>
        <w:spacing w:after="0" w:line="266" w:lineRule="auto"/>
        <w:rPr>
          <w:rFonts w:ascii="Arial" w:cs="Arial" w:eastAsia="Arial" w:hAnsi="Arial"/>
          <w:sz w:val="19"/>
          <w:szCs w:val="19"/>
          <w:color w:val="auto"/>
        </w:rPr>
      </w:pPr>
      <w:r>
        <w:rPr>
          <w:rFonts w:ascii="Arial" w:cs="Arial" w:eastAsia="Arial" w:hAnsi="Arial"/>
          <w:sz w:val="18"/>
          <w:szCs w:val="18"/>
          <w:color w:val="auto"/>
        </w:rPr>
        <w:t>someone other than the Chief Executive Officer of the Company, or (iv) a material breach by the Company of this Agreement or any other written agreement with Executive. Notwithstanding the foregoing, no Good Reason event will have occurred unless and until Executive has:</w:t>
      </w:r>
    </w:p>
    <w:p>
      <w:pPr>
        <w:ind w:right="140" w:firstLine="8"/>
        <w:spacing w:after="0" w:line="241" w:lineRule="auto"/>
        <w:tabs>
          <w:tab w:leader="none" w:pos="269" w:val="left"/>
        </w:tabs>
        <w:numPr>
          <w:ilvl w:val="0"/>
          <w:numId w:val="80"/>
        </w:numPr>
        <w:rPr>
          <w:rFonts w:ascii="Arial" w:cs="Arial" w:eastAsia="Arial" w:hAnsi="Arial"/>
          <w:sz w:val="20"/>
          <w:szCs w:val="20"/>
          <w:color w:val="auto"/>
        </w:rPr>
      </w:pPr>
      <w:r>
        <w:rPr>
          <w:rFonts w:ascii="Arial" w:cs="Arial" w:eastAsia="Arial" w:hAnsi="Arial"/>
          <w:sz w:val="20"/>
          <w:szCs w:val="20"/>
          <w:color w:val="auto"/>
        </w:rPr>
        <w:t>provided the Company, within 60 days of Executive’s knowledge of the occurrence of the facts and circumstances underlying the Good Reason event, written-notice stating with specificity the applicable facts and circumstances underlying such Good Reason event, and (b) the Company fails to cure the same within 30 days after the receipt of such notice.</w:t>
      </w:r>
    </w:p>
    <w:p>
      <w:pPr>
        <w:spacing w:after="0" w:line="19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firstLine="656"/>
        <w:spacing w:after="0" w:line="270" w:lineRule="auto"/>
        <w:tabs>
          <w:tab w:leader="none" w:pos="1286"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hereof, being hereinafter referred to as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would be subject (in whole or in part)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xml:space="preserve">”), then the Total Payments shall be reduced (in the order provided in </w:t>
      </w:r>
      <w:r>
        <w:rPr>
          <w:rFonts w:ascii="Arial" w:cs="Arial" w:eastAsia="Arial" w:hAnsi="Arial"/>
          <w:sz w:val="18"/>
          <w:szCs w:val="18"/>
          <w:u w:val="single" w:color="auto"/>
          <w:color w:val="auto"/>
        </w:rPr>
        <w:t>Section 8(b)</w:t>
      </w:r>
      <w:r>
        <w:rPr>
          <w:rFonts w:ascii="Arial" w:cs="Arial" w:eastAsia="Arial" w:hAnsi="Arial"/>
          <w:sz w:val="18"/>
          <w:szCs w:val="18"/>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75" w:lineRule="exact"/>
        <w:rPr>
          <w:rFonts w:ascii="Arial" w:cs="Arial" w:eastAsia="Arial" w:hAnsi="Arial"/>
          <w:sz w:val="18"/>
          <w:szCs w:val="18"/>
          <w:color w:val="auto"/>
        </w:rPr>
      </w:pPr>
    </w:p>
    <w:p>
      <w:pPr>
        <w:ind w:right="60" w:firstLine="656"/>
        <w:spacing w:after="0" w:line="276" w:lineRule="auto"/>
        <w:tabs>
          <w:tab w:leader="none" w:pos="12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Total Payments shall be reduced in the following order: (i) reduction on a pro-rata basis of any cash severance payments that are exempt from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64" w:lineRule="exact"/>
        <w:rPr>
          <w:rFonts w:ascii="Arial" w:cs="Arial" w:eastAsia="Arial" w:hAnsi="Arial"/>
          <w:sz w:val="18"/>
          <w:szCs w:val="18"/>
          <w:color w:val="auto"/>
        </w:rPr>
      </w:pPr>
    </w:p>
    <w:p>
      <w:pPr>
        <w:ind w:right="40" w:firstLine="656"/>
        <w:spacing w:after="0" w:line="257" w:lineRule="auto"/>
        <w:tabs>
          <w:tab w:leader="none" w:pos="1286"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19" w:right="359" w:bottom="1440" w:gutter="0" w:footer="0" w:header="0"/>
        </w:sectPr>
      </w:pPr>
    </w:p>
    <w:bookmarkStart w:id="119" w:name="page120"/>
    <w:bookmarkEnd w:id="119"/>
    <w:p>
      <w:pPr>
        <w:ind w:left="-8" w:firstLine="656"/>
        <w:spacing w:after="0" w:line="272" w:lineRule="auto"/>
        <w:tabs>
          <w:tab w:leader="none" w:pos="127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If Executive incurs legal fees or other expenses (including expert witness and accounting fees) in an effort to determine the applicability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establish entitlement to or obtain any portion of the Total Payments that have been reduced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Legal and Other Expenses</w:t>
      </w:r>
      <w:r>
        <w:rPr>
          <w:rFonts w:ascii="Arial" w:cs="Arial" w:eastAsia="Arial" w:hAnsi="Arial"/>
          <w:sz w:val="18"/>
          <w:szCs w:val="18"/>
          <w:color w:val="auto"/>
        </w:rPr>
        <w:t xml:space="preserve">”), Executive shall be entitled to payment of or reimbursement for such Legal and Other Expenses in accordance with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Subject to Sections </w:t>
      </w:r>
      <w:r>
        <w:rPr>
          <w:rFonts w:ascii="Arial" w:cs="Arial" w:eastAsia="Arial" w:hAnsi="Arial"/>
          <w:sz w:val="18"/>
          <w:szCs w:val="18"/>
          <w:u w:val="single" w:color="auto"/>
          <w:color w:val="auto"/>
        </w:rPr>
        <w:t>9(1)(iv)</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70" w:lineRule="exact"/>
        <w:rPr>
          <w:rFonts w:ascii="Arial" w:cs="Arial" w:eastAsia="Arial" w:hAnsi="Arial"/>
          <w:sz w:val="18"/>
          <w:szCs w:val="18"/>
          <w:color w:val="auto"/>
        </w:rPr>
      </w:pPr>
    </w:p>
    <w:p>
      <w:pPr>
        <w:ind w:left="-8" w:right="60" w:firstLine="656"/>
        <w:spacing w:after="0" w:line="282" w:lineRule="auto"/>
        <w:tabs>
          <w:tab w:leader="none" w:pos="12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In the event it is later determined that to implement the objective and intent of this </w:t>
      </w:r>
      <w:r>
        <w:rPr>
          <w:rFonts w:ascii="Arial" w:cs="Arial" w:eastAsia="Arial" w:hAnsi="Arial"/>
          <w:sz w:val="18"/>
          <w:szCs w:val="18"/>
          <w:u w:val="single" w:color="auto"/>
          <w:color w:val="auto"/>
        </w:rPr>
        <w:t>Section 8</w:t>
      </w:r>
      <w:r>
        <w:rPr>
          <w:rFonts w:ascii="Arial" w:cs="Arial" w:eastAsia="Arial" w:hAnsi="Arial"/>
          <w:sz w:val="18"/>
          <w:szCs w:val="18"/>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55"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left="-8" w:firstLine="656"/>
        <w:spacing w:after="0" w:line="263" w:lineRule="auto"/>
        <w:tabs>
          <w:tab w:leader="none" w:pos="1278"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6" w:lineRule="exact"/>
        <w:rPr>
          <w:rFonts w:ascii="Arial" w:cs="Arial" w:eastAsia="Arial" w:hAnsi="Arial"/>
          <w:sz w:val="19"/>
          <w:szCs w:val="19"/>
          <w:color w:val="auto"/>
        </w:rPr>
      </w:pPr>
    </w:p>
    <w:p>
      <w:pPr>
        <w:ind w:left="-8" w:right="260" w:firstLine="656"/>
        <w:spacing w:after="0" w:line="260" w:lineRule="auto"/>
        <w:tabs>
          <w:tab w:leader="none" w:pos="1276"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Arial" w:cs="Arial" w:eastAsia="Arial" w:hAnsi="Arial"/>
          <w:sz w:val="20"/>
          <w:szCs w:val="20"/>
          <w:color w:val="auto"/>
        </w:rPr>
      </w:pPr>
    </w:p>
    <w:p>
      <w:pPr>
        <w:ind w:left="-8" w:right="240" w:firstLine="656"/>
        <w:spacing w:after="0" w:line="250" w:lineRule="auto"/>
        <w:tabs>
          <w:tab w:leader="none" w:pos="1278"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a nationally recognized overnight courier service or certified or registered mail, postage prepaid, as follows:</w:t>
      </w:r>
    </w:p>
    <w:p>
      <w:pPr>
        <w:spacing w:after="0" w:line="185" w:lineRule="exact"/>
        <w:rPr>
          <w:rFonts w:ascii="Arial" w:cs="Arial" w:eastAsia="Arial" w:hAnsi="Arial"/>
          <w:sz w:val="20"/>
          <w:szCs w:val="20"/>
          <w:color w:val="auto"/>
        </w:rPr>
      </w:pPr>
    </w:p>
    <w:p>
      <w:pPr>
        <w:ind w:left="1952" w:hanging="681"/>
        <w:spacing w:after="0"/>
        <w:tabs>
          <w:tab w:leader="none" w:pos="1952" w:val="left"/>
        </w:tabs>
        <w:numPr>
          <w:ilvl w:val="2"/>
          <w:numId w:val="83"/>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w:t>
      </w:r>
    </w:p>
    <w:p>
      <w:pPr>
        <w:spacing w:after="0" w:line="215" w:lineRule="exact"/>
        <w:rPr>
          <w:rFonts w:ascii="Arial" w:cs="Arial" w:eastAsia="Arial" w:hAnsi="Arial"/>
          <w:sz w:val="20"/>
          <w:szCs w:val="20"/>
          <w:color w:val="auto"/>
        </w:rPr>
      </w:pPr>
    </w:p>
    <w:p>
      <w:pPr>
        <w:ind w:left="1952" w:hanging="736"/>
        <w:spacing w:after="0"/>
        <w:tabs>
          <w:tab w:leader="none" w:pos="1952" w:val="left"/>
        </w:tabs>
        <w:numPr>
          <w:ilvl w:val="2"/>
          <w:numId w:val="83"/>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1952" w:hanging="791"/>
        <w:spacing w:after="0"/>
        <w:tabs>
          <w:tab w:leader="none" w:pos="1952" w:val="left"/>
        </w:tabs>
        <w:numPr>
          <w:ilvl w:val="2"/>
          <w:numId w:val="83"/>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5" w:lineRule="exact"/>
        <w:rPr>
          <w:rFonts w:ascii="Arial" w:cs="Arial" w:eastAsia="Arial" w:hAnsi="Arial"/>
          <w:sz w:val="20"/>
          <w:szCs w:val="20"/>
          <w:color w:val="auto"/>
        </w:rPr>
      </w:pPr>
    </w:p>
    <w:p>
      <w:pPr>
        <w:jc w:val="both"/>
        <w:ind w:left="-8" w:right="100" w:firstLine="656"/>
        <w:spacing w:after="0" w:line="250" w:lineRule="auto"/>
        <w:tabs>
          <w:tab w:leader="none" w:pos="1276"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419" w:right="339" w:bottom="1440" w:gutter="0" w:footer="0" w:header="0"/>
        </w:sectPr>
      </w:pPr>
    </w:p>
    <w:bookmarkStart w:id="120" w:name="page121"/>
    <w:bookmarkEnd w:id="120"/>
    <w:p>
      <w:pPr>
        <w:ind w:left="-240" w:right="40" w:firstLine="656"/>
        <w:spacing w:after="0" w:line="276" w:lineRule="auto"/>
        <w:tabs>
          <w:tab w:leader="none" w:pos="104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of this Agreement, the Restrictive Covenant Agreement incorporated herein by reference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the Indemnification Agreement (defined below) are intended by the Parties to be the final expression of their agreement with respect to the subject matter hereof and supersede all prior understandings and agreements, whether written or oral, including without limitation the Prior Agreement and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64" w:lineRule="exact"/>
        <w:rPr>
          <w:rFonts w:ascii="Arial" w:cs="Arial" w:eastAsia="Arial" w:hAnsi="Arial"/>
          <w:sz w:val="18"/>
          <w:szCs w:val="18"/>
          <w:color w:val="auto"/>
        </w:rPr>
      </w:pPr>
    </w:p>
    <w:p>
      <w:pPr>
        <w:ind w:left="-240" w:right="40" w:firstLine="656"/>
        <w:spacing w:after="0" w:line="260" w:lineRule="auto"/>
        <w:tabs>
          <w:tab w:leader="none" w:pos="1051"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Parties acknowledge that they have or will enter into an Indemnification Agreement in substantially the form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w:t>
      </w:r>
    </w:p>
    <w:p>
      <w:pPr>
        <w:spacing w:after="0" w:line="176" w:lineRule="exact"/>
        <w:rPr>
          <w:rFonts w:ascii="Arial" w:cs="Arial" w:eastAsia="Arial" w:hAnsi="Arial"/>
          <w:sz w:val="20"/>
          <w:szCs w:val="20"/>
          <w:color w:val="auto"/>
        </w:rPr>
      </w:pPr>
    </w:p>
    <w:p>
      <w:pPr>
        <w:ind w:left="-240" w:right="40" w:firstLine="656"/>
        <w:spacing w:after="0" w:line="276" w:lineRule="auto"/>
        <w:tabs>
          <w:tab w:leader="none" w:pos="10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64" w:lineRule="exact"/>
        <w:rPr>
          <w:rFonts w:ascii="Arial" w:cs="Arial" w:eastAsia="Arial" w:hAnsi="Arial"/>
          <w:sz w:val="18"/>
          <w:szCs w:val="18"/>
          <w:color w:val="auto"/>
        </w:rPr>
      </w:pPr>
    </w:p>
    <w:p>
      <w:pPr>
        <w:ind w:left="-240" w:right="60" w:firstLine="656"/>
        <w:spacing w:after="0" w:line="269" w:lineRule="auto"/>
        <w:tabs>
          <w:tab w:leader="none" w:pos="104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69" w:lineRule="exact"/>
        <w:rPr>
          <w:rFonts w:ascii="Arial" w:cs="Arial" w:eastAsia="Arial" w:hAnsi="Arial"/>
          <w:sz w:val="19"/>
          <w:szCs w:val="19"/>
          <w:color w:val="auto"/>
        </w:rPr>
      </w:pPr>
    </w:p>
    <w:p>
      <w:pPr>
        <w:ind w:left="-240" w:right="20" w:firstLine="656"/>
        <w:spacing w:after="0" w:line="255" w:lineRule="auto"/>
        <w:tabs>
          <w:tab w:leader="none" w:pos="105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9" w:lineRule="exact"/>
        <w:rPr>
          <w:rFonts w:ascii="Arial" w:cs="Arial" w:eastAsia="Arial" w:hAnsi="Arial"/>
          <w:sz w:val="19"/>
          <w:szCs w:val="19"/>
          <w:color w:val="auto"/>
        </w:rPr>
      </w:pPr>
    </w:p>
    <w:p>
      <w:pPr>
        <w:ind w:left="-240" w:firstLine="656"/>
        <w:spacing w:after="0" w:line="276" w:lineRule="auto"/>
        <w:tabs>
          <w:tab w:leader="none" w:pos="105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00"/>
          </w:cols>
          <w:pgMar w:left="560" w:top="1419" w:right="339" w:bottom="1440" w:gutter="0" w:footer="0" w:header="0"/>
        </w:sectPr>
      </w:pPr>
    </w:p>
    <w:bookmarkStart w:id="121" w:name="page122"/>
    <w:bookmarkEnd w:id="121"/>
    <w:p>
      <w:pPr>
        <w:ind w:left="-240" w:right="80" w:firstLine="656"/>
        <w:spacing w:after="0" w:line="250" w:lineRule="auto"/>
        <w:tabs>
          <w:tab w:leader="none" w:pos="104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85" w:lineRule="exact"/>
        <w:rPr>
          <w:rFonts w:ascii="Arial" w:cs="Arial" w:eastAsia="Arial" w:hAnsi="Arial"/>
          <w:sz w:val="20"/>
          <w:szCs w:val="20"/>
          <w:color w:val="auto"/>
        </w:rPr>
      </w:pPr>
    </w:p>
    <w:p>
      <w:pPr>
        <w:ind w:left="1060" w:hanging="644"/>
        <w:spacing w:after="0"/>
        <w:tabs>
          <w:tab w:leader="none" w:pos="106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 w:right="100" w:firstLine="642"/>
        <w:spacing w:after="0" w:line="250" w:lineRule="auto"/>
        <w:tabs>
          <w:tab w:leader="none" w:pos="1716" w:val="left"/>
        </w:tabs>
        <w:numPr>
          <w:ilvl w:val="1"/>
          <w:numId w:val="85"/>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The intent of the Parties is that the payments and benefits under this Agreement comply with or be exempt</w:t>
      </w:r>
      <w:r>
        <w:rPr>
          <w:rFonts w:ascii="Arial" w:cs="Arial" w:eastAsia="Arial" w:hAnsi="Arial"/>
          <w:sz w:val="20"/>
          <w:szCs w:val="20"/>
          <w:i w:val="1"/>
          <w:iCs w:val="1"/>
          <w:color w:val="auto"/>
        </w:rPr>
        <w:t xml:space="preserve"> </w:t>
      </w:r>
      <w:r>
        <w:rPr>
          <w:rFonts w:ascii="Arial" w:cs="Arial" w:eastAsia="Arial" w:hAnsi="Arial"/>
          <w:sz w:val="20"/>
          <w:szCs w:val="20"/>
          <w:color w:val="auto"/>
        </w:rPr>
        <w:t>from Section 409A and, accordingly, to the maximum extent permitted, this Agreement shall be interpreted to be in compliance therewith.</w:t>
      </w:r>
    </w:p>
    <w:p>
      <w:pPr>
        <w:spacing w:after="0" w:line="185" w:lineRule="exact"/>
        <w:rPr>
          <w:rFonts w:ascii="Arial" w:cs="Arial" w:eastAsia="Arial" w:hAnsi="Arial"/>
          <w:sz w:val="20"/>
          <w:szCs w:val="20"/>
          <w:color w:val="auto"/>
        </w:rPr>
      </w:pPr>
    </w:p>
    <w:p>
      <w:pPr>
        <w:ind w:left="260" w:right="120" w:firstLine="642"/>
        <w:spacing w:after="0" w:line="246" w:lineRule="auto"/>
        <w:tabs>
          <w:tab w:leader="none" w:pos="1717" w:val="left"/>
        </w:tabs>
        <w:numPr>
          <w:ilvl w:val="1"/>
          <w:numId w:val="85"/>
        </w:numPr>
        <w:rPr>
          <w:rFonts w:ascii="Arial" w:cs="Arial" w:eastAsia="Arial" w:hAnsi="Arial"/>
          <w:sz w:val="20"/>
          <w:szCs w:val="20"/>
          <w:color w:val="auto"/>
        </w:rPr>
      </w:pPr>
      <w:r>
        <w:rPr>
          <w:rFonts w:ascii="Arial" w:cs="Arial" w:eastAsia="Arial" w:hAnsi="Arial"/>
          <w:sz w:val="20"/>
          <w:szCs w:val="20"/>
          <w:i w:val="1"/>
          <w:iCs w:val="1"/>
          <w:color w:val="auto"/>
        </w:rPr>
        <w:t>Separation from Service</w:t>
      </w:r>
      <w:r>
        <w:rPr>
          <w:rFonts w:ascii="Arial" w:cs="Arial" w:eastAsia="Arial" w:hAnsi="Arial"/>
          <w:sz w:val="20"/>
          <w:szCs w:val="20"/>
          <w:color w:val="auto"/>
        </w:rPr>
        <w:t>. For purposes of any compensation or benefits payable to Executive under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all references to “termination of employment” and correlative phrases shall be construed to require a “separation from service” (as defined in Section 1.409A-1(h) of the Treasury regulations after giving effect to the presumptions contained therein) (a “Separation from Service”).</w:t>
      </w:r>
    </w:p>
    <w:p>
      <w:pPr>
        <w:spacing w:after="0" w:line="191" w:lineRule="exact"/>
        <w:rPr>
          <w:rFonts w:ascii="Arial" w:cs="Arial" w:eastAsia="Arial" w:hAnsi="Arial"/>
          <w:sz w:val="20"/>
          <w:szCs w:val="20"/>
          <w:color w:val="auto"/>
        </w:rPr>
      </w:pPr>
    </w:p>
    <w:p>
      <w:pPr>
        <w:ind w:left="260" w:firstLine="642"/>
        <w:spacing w:after="0" w:line="273" w:lineRule="auto"/>
        <w:tabs>
          <w:tab w:leader="none" w:pos="1718"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Specified Employee</w:t>
      </w:r>
      <w:r>
        <w:rPr>
          <w:rFonts w:ascii="Arial" w:cs="Arial" w:eastAsia="Arial" w:hAnsi="Arial"/>
          <w:sz w:val="18"/>
          <w:szCs w:val="18"/>
          <w:color w:val="auto"/>
        </w:rPr>
        <w:t>. Notwithstanding anything in this Agreement to the contrary, if Executive is deemed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95" w:lineRule="exact"/>
        <w:rPr>
          <w:rFonts w:ascii="Arial" w:cs="Arial" w:eastAsia="Arial" w:hAnsi="Arial"/>
          <w:sz w:val="18"/>
          <w:szCs w:val="18"/>
          <w:color w:val="auto"/>
        </w:rPr>
      </w:pPr>
    </w:p>
    <w:p>
      <w:pPr>
        <w:ind w:left="260" w:right="100" w:firstLine="642"/>
        <w:spacing w:after="0" w:line="253" w:lineRule="auto"/>
        <w:tabs>
          <w:tab w:leader="none" w:pos="1706" w:val="left"/>
        </w:tabs>
        <w:numPr>
          <w:ilvl w:val="1"/>
          <w:numId w:val="85"/>
        </w:numPr>
        <w:rPr>
          <w:rFonts w:ascii="Arial" w:cs="Arial" w:eastAsia="Arial" w:hAnsi="Arial"/>
          <w:sz w:val="21"/>
          <w:szCs w:val="21"/>
          <w:color w:val="auto"/>
        </w:rPr>
      </w:pPr>
      <w:r>
        <w:rPr>
          <w:rFonts w:ascii="Arial" w:cs="Arial" w:eastAsia="Arial" w:hAnsi="Arial"/>
          <w:sz w:val="19"/>
          <w:szCs w:val="19"/>
          <w:i w:val="1"/>
          <w:iCs w:val="1"/>
          <w:color w:val="auto"/>
        </w:rPr>
        <w:t xml:space="preserve">Expense Reimbursements. </w:t>
      </w:r>
      <w:r>
        <w:rPr>
          <w:rFonts w:ascii="Arial" w:cs="Arial" w:eastAsia="Arial" w:hAnsi="Arial"/>
          <w:sz w:val="19"/>
          <w:szCs w:val="19"/>
          <w:color w:val="auto"/>
        </w:rPr>
        <w:t>To the extent that any reimbursements under this Agreement are subject to Section 409A,</w:t>
      </w:r>
      <w:r>
        <w:rPr>
          <w:rFonts w:ascii="Arial" w:cs="Arial" w:eastAsia="Arial" w:hAnsi="Arial"/>
          <w:sz w:val="19"/>
          <w:szCs w:val="19"/>
          <w:i w:val="1"/>
          <w:iCs w:val="1"/>
          <w:color w:val="auto"/>
        </w:rPr>
        <w:t xml:space="preserve"> </w:t>
      </w:r>
      <w:r>
        <w:rPr>
          <w:rFonts w:ascii="Arial" w:cs="Arial" w:eastAsia="Arial" w:hAnsi="Arial"/>
          <w:sz w:val="19"/>
          <w:szCs w:val="19"/>
          <w:color w:val="auto"/>
        </w:rPr>
        <w:t>except as otherwise provided with respect to the tax gross-up payment under Section 2(i), any 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213" w:lineRule="exact"/>
        <w:rPr>
          <w:rFonts w:ascii="Arial" w:cs="Arial" w:eastAsia="Arial" w:hAnsi="Arial"/>
          <w:sz w:val="21"/>
          <w:szCs w:val="21"/>
          <w:color w:val="auto"/>
        </w:rPr>
      </w:pPr>
    </w:p>
    <w:p>
      <w:pPr>
        <w:ind w:left="260" w:right="80" w:firstLine="642"/>
        <w:spacing w:after="0" w:line="253" w:lineRule="auto"/>
        <w:tabs>
          <w:tab w:leader="none" w:pos="1713" w:val="left"/>
        </w:tabs>
        <w:numPr>
          <w:ilvl w:val="1"/>
          <w:numId w:val="85"/>
        </w:numPr>
        <w:rPr>
          <w:rFonts w:ascii="Arial" w:cs="Arial" w:eastAsia="Arial" w:hAnsi="Arial"/>
          <w:sz w:val="21"/>
          <w:szCs w:val="21"/>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w:t>
      </w:r>
      <w:r>
        <w:rPr>
          <w:rFonts w:ascii="Arial" w:cs="Arial" w:eastAsia="Arial" w:hAnsi="Arial"/>
          <w:sz w:val="19"/>
          <w:szCs w:val="19"/>
          <w:i w:val="1"/>
          <w:iCs w:val="1"/>
          <w:color w:val="auto"/>
        </w:rPr>
        <w:t xml:space="preserve"> </w:t>
      </w:r>
      <w:r>
        <w:rPr>
          <w:rFonts w:ascii="Arial" w:cs="Arial" w:eastAsia="Arial" w:hAnsi="Arial"/>
          <w:sz w:val="19"/>
          <w:szCs w:val="19"/>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980"/>
          </w:cols>
          <w:pgMar w:left="560" w:top="1419" w:right="359" w:bottom="1440" w:gutter="0" w:footer="0" w:header="0"/>
        </w:sectPr>
      </w:pPr>
    </w:p>
    <w:bookmarkStart w:id="122" w:name="page123"/>
    <w:bookmarkEnd w:id="122"/>
    <w:p>
      <w:pPr>
        <w:ind w:left="640" w:hanging="632"/>
        <w:spacing w:after="0"/>
        <w:tabs>
          <w:tab w:leader="none" w:pos="64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00"/>
          </w:cols>
          <w:pgMar w:left="320" w:top="1413" w:right="579" w:bottom="1440" w:gutter="0" w:footer="0" w:header="0"/>
        </w:sectPr>
      </w:pPr>
    </w:p>
    <w:bookmarkStart w:id="123" w:name="page124"/>
    <w:bookmarkEnd w:id="123"/>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SELECTA BIOSCIENCES, INC.</w:t>
      </w:r>
    </w:p>
    <w:p>
      <w:pPr>
        <w:spacing w:after="0" w:line="316" w:lineRule="exact"/>
        <w:rPr>
          <w:sz w:val="20"/>
          <w:szCs w:val="20"/>
          <w:color w:val="auto"/>
        </w:rPr>
      </w:pPr>
    </w:p>
    <w:tbl>
      <w:tblPr>
        <w:tblLayout w:type="fixed"/>
        <w:tblInd w:w="3760" w:type="dxa"/>
        <w:tblCellMar>
          <w:top w:w="0" w:type="dxa"/>
          <w:left w:w="0" w:type="dxa"/>
          <w:bottom w:w="0" w:type="dxa"/>
          <w:right w:w="0" w:type="dxa"/>
        </w:tblCellMar>
      </w:tblPr>
      <w:tr>
        <w:trPr>
          <w:trHeight w:val="250"/>
        </w:trPr>
        <w:tc>
          <w:tcPr>
            <w:tcW w:w="1200" w:type="dxa"/>
            <w:vAlign w:val="bottom"/>
          </w:tcPr>
          <w:p>
            <w:pPr>
              <w:spacing w:after="0"/>
              <w:rPr>
                <w:sz w:val="20"/>
                <w:szCs w:val="20"/>
                <w:color w:val="auto"/>
              </w:rPr>
            </w:pPr>
            <w:r>
              <w:rPr>
                <w:rFonts w:ascii="Arial" w:cs="Arial" w:eastAsia="Arial" w:hAnsi="Arial"/>
                <w:sz w:val="20"/>
                <w:szCs w:val="20"/>
                <w:color w:val="auto"/>
              </w:rPr>
              <w:t>By:</w:t>
            </w:r>
          </w:p>
        </w:tc>
        <w:tc>
          <w:tcPr>
            <w:tcW w:w="5620" w:type="dxa"/>
            <w:vAlign w:val="bottom"/>
          </w:tcPr>
          <w:p>
            <w:pPr>
              <w:jc w:val="center"/>
              <w:spacing w:after="0"/>
              <w:rPr>
                <w:sz w:val="20"/>
                <w:szCs w:val="20"/>
                <w:color w:val="auto"/>
              </w:rPr>
            </w:pPr>
            <w:r>
              <w:rPr>
                <w:rFonts w:ascii="Arial" w:cs="Arial" w:eastAsia="Arial" w:hAnsi="Arial"/>
                <w:sz w:val="20"/>
                <w:szCs w:val="20"/>
                <w:color w:val="auto"/>
                <w:w w:val="89"/>
              </w:rPr>
              <w:t>/s/ Carsten Brunn, Ph.D.</w:t>
            </w:r>
          </w:p>
        </w:tc>
        <w:tc>
          <w:tcPr>
            <w:tcW w:w="0" w:type="dxa"/>
            <w:vAlign w:val="bottom"/>
          </w:tcPr>
          <w:p>
            <w:pPr>
              <w:spacing w:after="0"/>
              <w:rPr>
                <w:sz w:val="1"/>
                <w:szCs w:val="1"/>
                <w:color w:val="auto"/>
              </w:rPr>
            </w:pPr>
          </w:p>
        </w:tc>
      </w:tr>
      <w:tr>
        <w:trPr>
          <w:trHeight w:val="23"/>
        </w:trPr>
        <w:tc>
          <w:tcPr>
            <w:tcW w:w="12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200" w:type="dxa"/>
            <w:vAlign w:val="bottom"/>
            <w:vMerge w:val="continue"/>
          </w:tcPr>
          <w:p>
            <w:pPr>
              <w:spacing w:after="0"/>
              <w:rPr>
                <w:sz w:val="22"/>
                <w:szCs w:val="22"/>
                <w:color w:val="auto"/>
              </w:rPr>
            </w:pPr>
          </w:p>
        </w:tc>
        <w:tc>
          <w:tcPr>
            <w:tcW w:w="5620" w:type="dxa"/>
            <w:vAlign w:val="bottom"/>
          </w:tcPr>
          <w:p>
            <w:pPr>
              <w:jc w:val="center"/>
              <w:spacing w:after="0"/>
              <w:rPr>
                <w:sz w:val="20"/>
                <w:szCs w:val="20"/>
                <w:color w:val="auto"/>
              </w:rPr>
            </w:pPr>
            <w:r>
              <w:rPr>
                <w:rFonts w:ascii="Arial" w:cs="Arial" w:eastAsia="Arial" w:hAnsi="Arial"/>
                <w:sz w:val="20"/>
                <w:szCs w:val="20"/>
                <w:color w:val="auto"/>
                <w:w w:val="88"/>
              </w:rPr>
              <w:t>Carsten Brunn, Ph. D.</w:t>
            </w:r>
          </w:p>
        </w:tc>
        <w:tc>
          <w:tcPr>
            <w:tcW w:w="0" w:type="dxa"/>
            <w:vAlign w:val="bottom"/>
          </w:tcPr>
          <w:p>
            <w:pPr>
              <w:spacing w:after="0"/>
              <w:rPr>
                <w:sz w:val="1"/>
                <w:szCs w:val="1"/>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20"/>
                <w:szCs w:val="20"/>
                <w:color w:val="auto"/>
              </w:rPr>
              <w:t>Title:</w:t>
            </w:r>
          </w:p>
        </w:tc>
        <w:tc>
          <w:tcPr>
            <w:tcW w:w="56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w:t>
            </w:r>
          </w:p>
        </w:tc>
        <w:tc>
          <w:tcPr>
            <w:tcW w:w="0" w:type="dxa"/>
            <w:vAlign w:val="bottom"/>
          </w:tcPr>
          <w:p>
            <w:pPr>
              <w:spacing w:after="0"/>
              <w:rPr>
                <w:sz w:val="1"/>
                <w:szCs w:val="1"/>
                <w:color w:val="auto"/>
              </w:rPr>
            </w:pPr>
          </w:p>
        </w:tc>
      </w:tr>
      <w:tr>
        <w:trPr>
          <w:trHeight w:val="810"/>
        </w:trPr>
        <w:tc>
          <w:tcPr>
            <w:tcW w:w="1200" w:type="dxa"/>
            <w:vAlign w:val="bottom"/>
          </w:tcPr>
          <w:p>
            <w:pPr>
              <w:spacing w:after="0"/>
              <w:rPr>
                <w:sz w:val="20"/>
                <w:szCs w:val="20"/>
                <w:color w:val="auto"/>
              </w:rPr>
            </w:pPr>
            <w:r>
              <w:rPr>
                <w:rFonts w:ascii="Arial" w:cs="Arial" w:eastAsia="Arial" w:hAnsi="Arial"/>
                <w:sz w:val="20"/>
                <w:szCs w:val="20"/>
                <w:b w:val="1"/>
                <w:bCs w:val="1"/>
                <w:color w:val="auto"/>
              </w:rPr>
              <w:t>EXECUTIVE</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20"/>
                <w:szCs w:val="20"/>
                <w:color w:val="auto"/>
                <w:w w:val="89"/>
              </w:rPr>
              <w:t>/s/ Peter G. Traber, M.D.</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200" w:type="dxa"/>
            <w:vAlign w:val="bottom"/>
          </w:tcPr>
          <w:p>
            <w:pPr>
              <w:spacing w:after="0"/>
              <w:rPr>
                <w:sz w:val="22"/>
                <w:szCs w:val="22"/>
                <w:color w:val="auto"/>
              </w:rPr>
            </w:pPr>
          </w:p>
        </w:tc>
        <w:tc>
          <w:tcPr>
            <w:tcW w:w="5620" w:type="dxa"/>
            <w:vAlign w:val="bottom"/>
          </w:tcPr>
          <w:p>
            <w:pPr>
              <w:jc w:val="center"/>
              <w:spacing w:after="0"/>
              <w:rPr>
                <w:sz w:val="20"/>
                <w:szCs w:val="20"/>
                <w:color w:val="auto"/>
              </w:rPr>
            </w:pPr>
            <w:r>
              <w:rPr>
                <w:rFonts w:ascii="Arial" w:cs="Arial" w:eastAsia="Arial" w:hAnsi="Arial"/>
                <w:sz w:val="20"/>
                <w:szCs w:val="20"/>
                <w:color w:val="auto"/>
                <w:w w:val="90"/>
              </w:rPr>
              <w:t>Peter G. Traber, M.D.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10580"/>
          </w:cols>
          <w:pgMar w:left="980" w:top="1440" w:right="33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jc w:val="both"/>
        <w:ind w:right="60" w:firstLine="383"/>
        <w:spacing w:after="0" w:line="291" w:lineRule="auto"/>
        <w:rPr>
          <w:sz w:val="20"/>
          <w:szCs w:val="20"/>
          <w:color w:val="auto"/>
        </w:rPr>
      </w:pPr>
      <w:r>
        <w:rPr>
          <w:rFonts w:ascii="Arial" w:cs="Arial" w:eastAsia="Arial" w:hAnsi="Arial"/>
          <w:sz w:val="18"/>
          <w:szCs w:val="18"/>
          <w:color w:val="auto"/>
        </w:rPr>
        <w:t>This Separation Agreement and Release (“Agreement”) is made by and between PETER G. TRABER, M.D.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WHEREAS, the Parties have previously entered into that certain Employment Agreement, dated as of _____________, 2020 (the</w:t>
      </w:r>
    </w:p>
    <w:p>
      <w:pPr>
        <w:spacing w:after="0" w:line="39" w:lineRule="exact"/>
        <w:rPr>
          <w:sz w:val="20"/>
          <w:szCs w:val="20"/>
          <w:color w:val="auto"/>
        </w:rPr>
      </w:pPr>
    </w:p>
    <w:p>
      <w:pPr>
        <w:jc w:val="both"/>
        <w:ind w:right="60"/>
        <w:spacing w:after="0" w:line="244" w:lineRule="auto"/>
        <w:rPr>
          <w:sz w:val="20"/>
          <w:szCs w:val="20"/>
          <w:color w:val="auto"/>
        </w:rPr>
      </w:pPr>
      <w:r>
        <w:rPr>
          <w:rFonts w:ascii="Arial" w:cs="Arial" w:eastAsia="Arial" w:hAnsi="Arial"/>
          <w:sz w:val="20"/>
          <w:szCs w:val="20"/>
          <w:color w:val="auto"/>
        </w:rPr>
        <w:t>“Employment Agreement”) and that certain Employee Nondisclosure, Noncompetition and Assignment of Intellectual Property Agreement, dated as of ________, 2020 (the “RCA”); and</w:t>
      </w:r>
    </w:p>
    <w:p>
      <w:pPr>
        <w:spacing w:after="0" w:line="83" w:lineRule="exact"/>
        <w:rPr>
          <w:sz w:val="20"/>
          <w:szCs w:val="20"/>
          <w:color w:val="auto"/>
        </w:rPr>
      </w:pPr>
    </w:p>
    <w:p>
      <w:pPr>
        <w:ind w:right="120" w:firstLine="383"/>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62" w:lineRule="exact"/>
        <w:rPr>
          <w:sz w:val="20"/>
          <w:szCs w:val="20"/>
          <w:color w:val="auto"/>
        </w:rPr>
      </w:pPr>
    </w:p>
    <w:p>
      <w:pPr>
        <w:ind w:right="180" w:firstLine="387"/>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2" w:lineRule="exact"/>
        <w:rPr>
          <w:sz w:val="20"/>
          <w:szCs w:val="20"/>
          <w:color w:val="auto"/>
        </w:rPr>
      </w:pPr>
    </w:p>
    <w:p>
      <w:pPr>
        <w:ind w:right="220" w:firstLine="198"/>
        <w:spacing w:after="0" w:line="244"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94" w:lineRule="exact"/>
        <w:rPr>
          <w:sz w:val="20"/>
          <w:szCs w:val="20"/>
          <w:color w:val="auto"/>
        </w:rPr>
      </w:pPr>
    </w:p>
    <w:p>
      <w:pPr>
        <w:ind w:right="20" w:firstLine="198"/>
        <w:spacing w:after="0" w:line="257" w:lineRule="auto"/>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other than with respect to the Retained Claims and subject to the last two sentences of this Section 2,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except as provided in the last two sentences of this Section 2, hereby and forever releases the Releasees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 xml:space="preserve"> If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60"/>
          </w:cols>
          <w:pgMar w:left="320" w:top="1413" w:right="419" w:bottom="1440" w:gutter="0" w:footer="0" w:header="0"/>
        </w:sectPr>
      </w:pPr>
    </w:p>
    <w:bookmarkStart w:id="125" w:name="page126"/>
    <w:bookmarkEnd w:id="125"/>
    <w:p>
      <w:pPr>
        <w:spacing w:after="0" w:line="195" w:lineRule="exact"/>
        <w:rPr>
          <w:sz w:val="20"/>
          <w:szCs w:val="20"/>
          <w:color w:val="auto"/>
        </w:rPr>
      </w:pPr>
    </w:p>
    <w:p>
      <w:pPr>
        <w:jc w:val="both"/>
        <w:ind w:right="720"/>
        <w:spacing w:after="0" w:line="250" w:lineRule="auto"/>
        <w:rPr>
          <w:sz w:val="20"/>
          <w:szCs w:val="20"/>
          <w:color w:val="auto"/>
        </w:rPr>
      </w:pPr>
      <w:r>
        <w:rPr>
          <w:rFonts w:ascii="Arial" w:cs="Arial" w:eastAsia="Arial" w:hAnsi="Arial"/>
          <w:sz w:val="20"/>
          <w:szCs w:val="20"/>
          <w:color w:val="auto"/>
        </w:rPr>
        <w:t>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86" w:lineRule="exact"/>
        <w:rPr>
          <w:sz w:val="20"/>
          <w:szCs w:val="20"/>
          <w:color w:val="auto"/>
        </w:rPr>
      </w:pPr>
    </w:p>
    <w:p>
      <w:pPr>
        <w:ind w:right="20" w:firstLine="404"/>
        <w:spacing w:after="0" w:line="260" w:lineRule="auto"/>
        <w:tabs>
          <w:tab w:leader="none" w:pos="813"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400" w:firstLine="404"/>
        <w:spacing w:after="0" w:line="291" w:lineRule="auto"/>
        <w:tabs>
          <w:tab w:leader="none" w:pos="8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180" w:firstLine="404"/>
        <w:spacing w:after="0" w:line="278" w:lineRule="auto"/>
        <w:tabs>
          <w:tab w:leader="none" w:pos="81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4" w:lineRule="exact"/>
        <w:rPr>
          <w:rFonts w:ascii="Arial" w:cs="Arial" w:eastAsia="Arial" w:hAnsi="Arial"/>
          <w:sz w:val="18"/>
          <w:szCs w:val="18"/>
          <w:color w:val="auto"/>
        </w:rPr>
      </w:pPr>
    </w:p>
    <w:p>
      <w:pPr>
        <w:ind w:firstLine="404"/>
        <w:spacing w:after="0" w:line="244" w:lineRule="auto"/>
        <w:tabs>
          <w:tab w:leader="none" w:pos="824"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820" w:hanging="416"/>
        <w:spacing w:after="0"/>
        <w:tabs>
          <w:tab w:leader="none" w:pos="8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840" w:hanging="436"/>
        <w:spacing w:after="0"/>
        <w:tabs>
          <w:tab w:leader="none" w:pos="8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and all claims arising out of any other laws and regulations relating to employment or employment discrimination;</w:t>
      </w:r>
    </w:p>
    <w:p>
      <w:pPr>
        <w:spacing w:after="0" w:line="215" w:lineRule="exact"/>
        <w:rPr>
          <w:rFonts w:ascii="Arial" w:cs="Arial" w:eastAsia="Arial" w:hAnsi="Arial"/>
          <w:sz w:val="20"/>
          <w:szCs w:val="20"/>
          <w:color w:val="auto"/>
        </w:rPr>
      </w:pPr>
    </w:p>
    <w:p>
      <w:pPr>
        <w:ind w:right="100" w:firstLine="404"/>
        <w:spacing w:after="0" w:line="260" w:lineRule="auto"/>
        <w:tabs>
          <w:tab w:leader="none" w:pos="824"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right="320" w:firstLine="404"/>
        <w:spacing w:after="0" w:line="250" w:lineRule="auto"/>
        <w:tabs>
          <w:tab w:leader="none" w:pos="824"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 laws and regulations of the state or states in which Executive has provided service to the Company or any of its affiliates (including without limitation the Massachusetts Payment of Wages Law); and</w:t>
      </w:r>
    </w:p>
    <w:p>
      <w:pPr>
        <w:spacing w:after="0" w:line="185" w:lineRule="exact"/>
        <w:rPr>
          <w:rFonts w:ascii="Arial" w:cs="Arial" w:eastAsia="Arial" w:hAnsi="Arial"/>
          <w:sz w:val="20"/>
          <w:szCs w:val="20"/>
          <w:color w:val="auto"/>
        </w:rPr>
      </w:pPr>
    </w:p>
    <w:p>
      <w:pPr>
        <w:ind w:left="780" w:hanging="376"/>
        <w:spacing w:after="0"/>
        <w:tabs>
          <w:tab w:leader="none" w:pos="7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Executive agrees that the release set forth in this section shall be and remain in effect in all respects as a complete general release as to the matters released. Notwithstanding anything to the contrary contained in this Agreement,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of the date of separation of Executive’s employment, pursuant to written terms of any employee benefit plan of the Company or its affiliates and Executive’s right under applicable law and any Retained Claims. This release further does not release claims for breach of or to enforce Section 3(c), Section 4(b), Section 4(c) or Section 8 of the Employment Agreement, or claims arising after the date Executive signs this Agreement.</w:t>
      </w:r>
    </w:p>
    <w:p>
      <w:pPr>
        <w:spacing w:after="0" w:line="170" w:lineRule="exact"/>
        <w:rPr>
          <w:sz w:val="20"/>
          <w:szCs w:val="20"/>
          <w:color w:val="auto"/>
        </w:rPr>
      </w:pPr>
    </w:p>
    <w:p>
      <w:pPr>
        <w:ind w:firstLine="206"/>
        <w:spacing w:after="0" w:line="264" w:lineRule="auto"/>
        <w:tabs>
          <w:tab w:leader="none" w:pos="54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days within which to consider this Agreement, and the parties agree that such time period to review this Agreement shall not be extended upon any material or immaterial changes to this Agreement; (c) Executive has seven (7)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78" w:lineRule="exact"/>
        <w:rPr>
          <w:rFonts w:ascii="Arial" w:cs="Arial" w:eastAsia="Arial" w:hAnsi="Arial"/>
          <w:sz w:val="18"/>
          <w:szCs w:val="18"/>
          <w:color w:val="auto"/>
        </w:rPr>
      </w:pPr>
    </w:p>
    <w:p>
      <w:pPr>
        <w:ind w:left="560" w:hanging="354"/>
        <w:spacing w:after="0"/>
        <w:tabs>
          <w:tab w:leader="none" w:pos="56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40" w:firstLine="404"/>
        <w:spacing w:after="0" w:line="243" w:lineRule="auto"/>
        <w:tabs>
          <w:tab w:leader="none" w:pos="813" w:val="left"/>
        </w:tabs>
        <w:numPr>
          <w:ilvl w:val="1"/>
          <w:numId w:val="88"/>
        </w:numPr>
        <w:rPr>
          <w:rFonts w:ascii="Arial" w:cs="Arial" w:eastAsia="Arial" w:hAnsi="Arial"/>
          <w:sz w:val="20"/>
          <w:szCs w:val="20"/>
          <w:color w:val="auto"/>
        </w:rPr>
      </w:pPr>
      <w:r>
        <w:rPr>
          <w:rFonts w:ascii="Arial" w:cs="Arial" w:eastAsia="Arial" w:hAnsi="Arial"/>
          <w:sz w:val="20"/>
          <w:szCs w:val="20"/>
          <w:color w:val="auto"/>
        </w:rPr>
        <w:t>Executive acknowledges and agrees that the restrictive covenants and other post-termination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by removing Section 6, and each subpart thereto, of the RCA, which shall be of no further force or effect upon the Effective Date (as defined below). Executive represents and warrants that Executive has complied with all provisions of the RCA at all times through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2"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26"/>
          <w:szCs w:val="26"/>
          <w:color w:val="auto"/>
          <w:vertAlign w:val="superscript"/>
        </w:rPr>
      </w:pPr>
      <w:r>
        <w:rPr>
          <w:rFonts w:ascii="Arial" w:cs="Arial" w:eastAsia="Arial" w:hAnsi="Arial"/>
          <w:sz w:val="20"/>
          <w:szCs w:val="20"/>
          <w:color w:val="auto"/>
        </w:rPr>
        <w:t>To be determined by the Company at the time of separation.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95" w:lineRule="exact"/>
        <w:rPr>
          <w:sz w:val="20"/>
          <w:szCs w:val="20"/>
          <w:color w:val="auto"/>
        </w:rPr>
      </w:pPr>
    </w:p>
    <w:p>
      <w:pPr>
        <w:ind w:left="-20" w:firstLine="404"/>
        <w:spacing w:after="0" w:line="269" w:lineRule="auto"/>
        <w:tabs>
          <w:tab w:leader="none" w:pos="804"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consideration for the severance payments and benefits set forth in Section 1 of this Agreement, Executive agrees for a period of 12 months after the Effective Date (the “Noncompetition Restricted Period”) to not directly or indirectly, on Executive’s own behalf or for the benefit of any other 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being developed, marketed, distributed, planned, sold or otherwise provided by the Company or its affiliates at the time of, or during the 12 months preceding, Executive’s termination from the Company (a “Competing Business”)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Effective Date.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173" w:lineRule="exact"/>
        <w:rPr>
          <w:rFonts w:ascii="Arial" w:cs="Arial" w:eastAsia="Arial" w:hAnsi="Arial"/>
          <w:sz w:val="18"/>
          <w:szCs w:val="18"/>
          <w:color w:val="auto"/>
        </w:rPr>
      </w:pPr>
    </w:p>
    <w:p>
      <w:pPr>
        <w:ind w:left="-20" w:right="60" w:firstLine="404"/>
        <w:spacing w:after="0" w:line="243" w:lineRule="auto"/>
        <w:tabs>
          <w:tab w:leader="none" w:pos="793" w:val="left"/>
        </w:tabs>
        <w:numPr>
          <w:ilvl w:val="1"/>
          <w:numId w:val="90"/>
        </w:numPr>
        <w:rPr>
          <w:rFonts w:ascii="Arial" w:cs="Arial" w:eastAsia="Arial" w:hAnsi="Arial"/>
          <w:sz w:val="20"/>
          <w:szCs w:val="20"/>
          <w:color w:val="auto"/>
        </w:rPr>
      </w:pPr>
      <w:r>
        <w:rPr>
          <w:rFonts w:ascii="Arial" w:cs="Arial" w:eastAsia="Arial" w:hAnsi="Arial"/>
          <w:sz w:val="20"/>
          <w:szCs w:val="20"/>
          <w:color w:val="auto"/>
        </w:rPr>
        <w:t>Executive’s continued compliance with the terms of the RCA (as modified in Section 4(a) above) and the noncompetition obligations set forth in Section 4(b) above (collectively, the “Restrictive Covenants”) is a material condition to receipt of the severance payments and benefits set forth in Section 1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192" w:lineRule="exact"/>
        <w:rPr>
          <w:rFonts w:ascii="Arial" w:cs="Arial" w:eastAsia="Arial" w:hAnsi="Arial"/>
          <w:sz w:val="20"/>
          <w:szCs w:val="20"/>
          <w:color w:val="auto"/>
        </w:rPr>
      </w:pPr>
    </w:p>
    <w:p>
      <w:pPr>
        <w:ind w:left="-20" w:firstLine="404"/>
        <w:spacing w:after="0" w:line="291" w:lineRule="auto"/>
        <w:tabs>
          <w:tab w:leader="none" w:pos="804"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151" w:lineRule="exact"/>
        <w:rPr>
          <w:rFonts w:ascii="Arial" w:cs="Arial" w:eastAsia="Arial" w:hAnsi="Arial"/>
          <w:sz w:val="18"/>
          <w:szCs w:val="18"/>
          <w:color w:val="auto"/>
        </w:rPr>
      </w:pPr>
    </w:p>
    <w:p>
      <w:pPr>
        <w:ind w:left="-20" w:right="120" w:firstLine="206"/>
        <w:spacing w:after="0" w:line="243" w:lineRule="auto"/>
        <w:tabs>
          <w:tab w:leader="none" w:pos="524"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Mutual Non-Disparagement</w:t>
      </w:r>
      <w:r>
        <w:rPr>
          <w:rFonts w:ascii="Arial" w:cs="Arial" w:eastAsia="Arial" w:hAnsi="Arial"/>
          <w:sz w:val="20"/>
          <w:szCs w:val="20"/>
          <w:color w:val="auto"/>
        </w:rPr>
        <w:t>. Executive agrees that, at all times, Executive shall refrain from making any negative, critical, or disparaging statements, implied or express, concerning the Company, its affiliates and their respective directors, officers, agents, or employees. The Company agrees that it shall instruct the members of the Board to refrain from making any negative, critical, or disparaging statements, implied or express, concerning Executive. However, nothing in this Section 5 prohibits either Party’s disclosure of information that is required to be disclosed to enforce this Agreement or to comply with applicable law or order of a court or other regulatory body of competent jurisdiction.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40" w:top="1440" w:right="359" w:bottom="1440" w:gutter="0" w:footer="0" w:header="0"/>
        </w:sectPr>
      </w:pPr>
    </w:p>
    <w:bookmarkStart w:id="128" w:name="page129"/>
    <w:bookmarkEnd w:id="128"/>
    <w:p>
      <w:pPr>
        <w:spacing w:after="0" w:line="195" w:lineRule="exact"/>
        <w:rPr>
          <w:sz w:val="20"/>
          <w:szCs w:val="20"/>
          <w:color w:val="auto"/>
        </w:rPr>
      </w:pPr>
    </w:p>
    <w:p>
      <w:pPr>
        <w:ind w:left="-8" w:right="40" w:firstLine="206"/>
        <w:spacing w:after="0" w:line="276" w:lineRule="auto"/>
        <w:tabs>
          <w:tab w:leader="none" w:pos="53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Trade Secrets</w:t>
      </w:r>
      <w:r>
        <w:rPr>
          <w:rFonts w:ascii="Arial" w:cs="Arial" w:eastAsia="Arial" w:hAnsi="Arial"/>
          <w:sz w:val="18"/>
          <w:szCs w:val="18"/>
          <w:color w:val="auto"/>
        </w:rPr>
        <w:t>. In accordance with 18 U.S.C. § 1833, notwithstanding anything to the contrary in this Agreement, the Employment Agreement or the RCA (together, the “Subject Documents”): (i) Executive shall not be in breach of any Subject Document,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nothing in any Subject Document prevents Executive from reporting possible violations of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w:t>
      </w:r>
    </w:p>
    <w:p>
      <w:pPr>
        <w:spacing w:after="0" w:line="167" w:lineRule="exact"/>
        <w:rPr>
          <w:rFonts w:ascii="Arial" w:cs="Arial" w:eastAsia="Arial" w:hAnsi="Arial"/>
          <w:sz w:val="18"/>
          <w:szCs w:val="18"/>
          <w:color w:val="auto"/>
        </w:rPr>
      </w:pPr>
    </w:p>
    <w:p>
      <w:pPr>
        <w:ind w:left="-8" w:firstLine="206"/>
        <w:spacing w:after="0" w:line="250" w:lineRule="auto"/>
        <w:tabs>
          <w:tab w:leader="none" w:pos="536"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5" w:lineRule="exact"/>
        <w:rPr>
          <w:rFonts w:ascii="Arial" w:cs="Arial" w:eastAsia="Arial" w:hAnsi="Arial"/>
          <w:sz w:val="20"/>
          <w:szCs w:val="20"/>
          <w:color w:val="auto"/>
        </w:rPr>
      </w:pPr>
    </w:p>
    <w:p>
      <w:pPr>
        <w:ind w:left="-8" w:right="340" w:firstLine="206"/>
        <w:spacing w:after="0" w:line="260" w:lineRule="auto"/>
        <w:tabs>
          <w:tab w:leader="none" w:pos="536"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Executive and a duly authorized officer of the Company.</w:t>
      </w:r>
    </w:p>
    <w:p>
      <w:pPr>
        <w:spacing w:after="0" w:line="176" w:lineRule="exact"/>
        <w:rPr>
          <w:rFonts w:ascii="Arial" w:cs="Arial" w:eastAsia="Arial" w:hAnsi="Arial"/>
          <w:sz w:val="20"/>
          <w:szCs w:val="20"/>
          <w:color w:val="auto"/>
        </w:rPr>
      </w:pPr>
    </w:p>
    <w:p>
      <w:pPr>
        <w:ind w:left="552" w:hanging="354"/>
        <w:spacing w:after="0"/>
        <w:tabs>
          <w:tab w:leader="none" w:pos="552"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subject to the provisions of Sections 9(a) and 9(c) of the Employment Agreement.</w:t>
      </w:r>
    </w:p>
    <w:p>
      <w:pPr>
        <w:spacing w:after="0" w:line="227" w:lineRule="exact"/>
        <w:rPr>
          <w:rFonts w:ascii="Arial" w:cs="Arial" w:eastAsia="Arial" w:hAnsi="Arial"/>
          <w:sz w:val="19"/>
          <w:szCs w:val="19"/>
          <w:color w:val="auto"/>
        </w:rPr>
      </w:pPr>
    </w:p>
    <w:p>
      <w:pPr>
        <w:ind w:left="-8" w:right="20" w:firstLine="206"/>
        <w:spacing w:after="0" w:line="276" w:lineRule="auto"/>
        <w:tabs>
          <w:tab w:leader="none" w:pos="63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has seven (7) business days after Executive signs this Agreement to revoke it, and this Agreement will become effective on the eighth (8th) business day after Executive signed this Agreement (the “Effective Date”), so long as it has been signed by the Parties and has not been revoked by either Party before such date. For the avoidance of doubt, if Executive revokes this Agreement as provided herein, the Parties’ modification to the RCA set forth in Section 4(a) above shall be void and of no effect. Unless the Company has elected or elects to expressly waive Executive’s noncompetition obligations set forth in Section 6(a) of the RCA (as provided in Section 10(e) of the RCA), the RCA, including without limitation Section 6 of the RCA, shall remain in full force and effect.</w:t>
      </w:r>
    </w:p>
    <w:p>
      <w:pPr>
        <w:spacing w:after="0" w:line="164" w:lineRule="exact"/>
        <w:rPr>
          <w:rFonts w:ascii="Arial" w:cs="Arial" w:eastAsia="Arial" w:hAnsi="Arial"/>
          <w:sz w:val="18"/>
          <w:szCs w:val="18"/>
          <w:color w:val="auto"/>
        </w:rPr>
      </w:pPr>
    </w:p>
    <w:p>
      <w:pPr>
        <w:ind w:left="-8" w:right="240" w:firstLine="206"/>
        <w:spacing w:after="0" w:line="304" w:lineRule="auto"/>
        <w:tabs>
          <w:tab w:leader="none" w:pos="628"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Voluntary Execution of Agreement</w:t>
      </w:r>
      <w:r>
        <w:rPr>
          <w:rFonts w:ascii="Arial" w:cs="Arial" w:eastAsia="Arial" w:hAnsi="Arial"/>
          <w:sz w:val="16"/>
          <w:szCs w:val="16"/>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w:t>
      </w:r>
    </w:p>
    <w:p>
      <w:pPr>
        <w:spacing w:after="0" w:line="1" w:lineRule="exact"/>
        <w:rPr>
          <w:rFonts w:ascii="Arial" w:cs="Arial" w:eastAsia="Arial" w:hAnsi="Arial"/>
          <w:sz w:val="16"/>
          <w:szCs w:val="16"/>
          <w:color w:val="auto"/>
        </w:rPr>
      </w:pPr>
    </w:p>
    <w:p>
      <w:pPr>
        <w:ind w:left="-8" w:right="60" w:firstLine="8"/>
        <w:spacing w:after="0" w:line="260" w:lineRule="auto"/>
        <w:tabs>
          <w:tab w:leader="none" w:pos="261" w:val="left"/>
        </w:tabs>
        <w:numPr>
          <w:ilvl w:val="0"/>
          <w:numId w:val="93"/>
        </w:numPr>
        <w:rPr>
          <w:rFonts w:ascii="Arial" w:cs="Arial" w:eastAsia="Arial" w:hAnsi="Arial"/>
          <w:sz w:val="19"/>
          <w:szCs w:val="19"/>
          <w:color w:val="auto"/>
        </w:rPr>
      </w:pPr>
      <w:r>
        <w:rPr>
          <w:rFonts w:ascii="Arial" w:cs="Arial" w:eastAsia="Arial" w:hAnsi="Arial"/>
          <w:sz w:val="19"/>
          <w:szCs w:val="19"/>
          <w:color w:val="auto"/>
        </w:rPr>
        <w:t>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40" w:right="339" w:bottom="1440" w:gutter="0" w:footer="0" w:header="0"/>
        </w:sectPr>
      </w:pPr>
    </w:p>
    <w:bookmarkStart w:id="129" w:name="page130"/>
    <w:bookmarkEnd w:id="129"/>
    <w:p>
      <w:pPr>
        <w:spacing w:after="0" w:line="19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80" w:type="dxa"/>
            <w:vAlign w:val="bottom"/>
          </w:tcPr>
          <w:p>
            <w:pPr>
              <w:spacing w:after="0"/>
              <w:rPr>
                <w:sz w:val="22"/>
                <w:szCs w:val="22"/>
                <w:color w:val="auto"/>
              </w:rPr>
            </w:pPr>
          </w:p>
        </w:tc>
        <w:tc>
          <w:tcPr>
            <w:tcW w:w="3120" w:type="dxa"/>
            <w:vAlign w:val="bottom"/>
          </w:tcPr>
          <w:p>
            <w:pPr>
              <w:ind w:left="1920"/>
              <w:spacing w:after="0"/>
              <w:rPr>
                <w:sz w:val="20"/>
                <w:szCs w:val="20"/>
                <w:color w:val="auto"/>
              </w:rPr>
            </w:pPr>
            <w:r>
              <w:rPr>
                <w:rFonts w:ascii="Arial" w:cs="Arial" w:eastAsia="Arial" w:hAnsi="Arial"/>
                <w:sz w:val="20"/>
                <w:szCs w:val="20"/>
                <w:b w:val="1"/>
                <w:bCs w:val="1"/>
                <w:color w:val="auto"/>
              </w:rPr>
              <w:t>EXECUTIVE</w:t>
            </w:r>
          </w:p>
        </w:tc>
        <w:tc>
          <w:tcPr>
            <w:tcW w:w="5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480" w:type="dxa"/>
            <w:vAlign w:val="bottom"/>
          </w:tcPr>
          <w:p>
            <w:pPr>
              <w:spacing w:after="0"/>
              <w:rPr>
                <w:sz w:val="20"/>
                <w:szCs w:val="20"/>
                <w:color w:val="auto"/>
              </w:rPr>
            </w:pPr>
            <w:r>
              <w:rPr>
                <w:rFonts w:ascii="Arial" w:cs="Arial" w:eastAsia="Arial" w:hAnsi="Arial"/>
                <w:sz w:val="20"/>
                <w:szCs w:val="20"/>
                <w:color w:val="auto"/>
              </w:rPr>
              <w:t>Dated:</w:t>
            </w:r>
          </w:p>
        </w:tc>
        <w:tc>
          <w:tcPr>
            <w:tcW w:w="3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20"/>
                <w:szCs w:val="20"/>
                <w:color w:val="auto"/>
                <w:w w:val="89"/>
              </w:rPr>
              <w:t>/s/ Peter G. Traber, M.D.</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5620" w:type="dxa"/>
            <w:vAlign w:val="bottom"/>
          </w:tcPr>
          <w:p>
            <w:pPr>
              <w:jc w:val="center"/>
              <w:spacing w:after="0"/>
              <w:rPr>
                <w:sz w:val="20"/>
                <w:szCs w:val="20"/>
                <w:color w:val="auto"/>
              </w:rPr>
            </w:pPr>
            <w:r>
              <w:rPr>
                <w:rFonts w:ascii="Arial" w:cs="Arial" w:eastAsia="Arial" w:hAnsi="Arial"/>
                <w:sz w:val="20"/>
                <w:szCs w:val="20"/>
                <w:color w:val="auto"/>
                <w:w w:val="90"/>
              </w:rPr>
              <w:t>Peter G. Traber, M.D.</w:t>
            </w:r>
          </w:p>
        </w:tc>
        <w:tc>
          <w:tcPr>
            <w:tcW w:w="0" w:type="dxa"/>
            <w:vAlign w:val="bottom"/>
          </w:tcPr>
          <w:p>
            <w:pPr>
              <w:spacing w:after="0"/>
              <w:rPr>
                <w:sz w:val="1"/>
                <w:szCs w:val="1"/>
                <w:color w:val="auto"/>
              </w:rPr>
            </w:pPr>
          </w:p>
        </w:tc>
      </w:tr>
      <w:tr>
        <w:trPr>
          <w:trHeight w:val="823"/>
        </w:trPr>
        <w:tc>
          <w:tcPr>
            <w:tcW w:w="2480" w:type="dxa"/>
            <w:vAlign w:val="bottom"/>
          </w:tcPr>
          <w:p>
            <w:pPr>
              <w:spacing w:after="0"/>
              <w:rPr>
                <w:sz w:val="24"/>
                <w:szCs w:val="24"/>
                <w:color w:val="auto"/>
              </w:rPr>
            </w:pPr>
          </w:p>
        </w:tc>
        <w:tc>
          <w:tcPr>
            <w:tcW w:w="8740" w:type="dxa"/>
            <w:vAlign w:val="bottom"/>
            <w:gridSpan w:val="2"/>
          </w:tcPr>
          <w:p>
            <w:pPr>
              <w:ind w:left="1920"/>
              <w:spacing w:after="0"/>
              <w:rPr>
                <w:sz w:val="20"/>
                <w:szCs w:val="20"/>
                <w:color w:val="auto"/>
              </w:rPr>
            </w:pPr>
            <w:r>
              <w:rPr>
                <w:rFonts w:ascii="Arial" w:cs="Arial" w:eastAsia="Arial" w:hAnsi="Arial"/>
                <w:sz w:val="20"/>
                <w:szCs w:val="20"/>
                <w:b w:val="1"/>
                <w:bCs w:val="1"/>
                <w:color w:val="auto"/>
              </w:rPr>
              <w:t>SELECTA BIOSCIENCES, INC.</w:t>
            </w:r>
          </w:p>
        </w:tc>
        <w:tc>
          <w:tcPr>
            <w:tcW w:w="0" w:type="dxa"/>
            <w:vAlign w:val="bottom"/>
          </w:tcPr>
          <w:p>
            <w:pPr>
              <w:spacing w:after="0"/>
              <w:rPr>
                <w:sz w:val="1"/>
                <w:szCs w:val="1"/>
                <w:color w:val="auto"/>
              </w:rPr>
            </w:pPr>
          </w:p>
        </w:tc>
      </w:tr>
      <w:tr>
        <w:trPr>
          <w:trHeight w:val="283"/>
        </w:trPr>
        <w:tc>
          <w:tcPr>
            <w:tcW w:w="2480" w:type="dxa"/>
            <w:vAlign w:val="bottom"/>
          </w:tcPr>
          <w:p>
            <w:pPr>
              <w:spacing w:after="0"/>
              <w:rPr>
                <w:sz w:val="20"/>
                <w:szCs w:val="20"/>
                <w:color w:val="auto"/>
              </w:rPr>
            </w:pPr>
            <w:r>
              <w:rPr>
                <w:rFonts w:ascii="Arial" w:cs="Arial" w:eastAsia="Arial" w:hAnsi="Arial"/>
                <w:sz w:val="20"/>
                <w:szCs w:val="20"/>
                <w:color w:val="auto"/>
              </w:rPr>
              <w:t>Dated:</w:t>
            </w:r>
          </w:p>
        </w:tc>
        <w:tc>
          <w:tcPr>
            <w:tcW w:w="3120" w:type="dxa"/>
            <w:vAlign w:val="bottom"/>
          </w:tcPr>
          <w:p>
            <w:pPr>
              <w:ind w:left="1920"/>
              <w:spacing w:after="0"/>
              <w:rPr>
                <w:sz w:val="20"/>
                <w:szCs w:val="20"/>
                <w:color w:val="auto"/>
              </w:rPr>
            </w:pPr>
            <w:r>
              <w:rPr>
                <w:rFonts w:ascii="Arial" w:cs="Arial" w:eastAsia="Arial" w:hAnsi="Arial"/>
                <w:sz w:val="20"/>
                <w:szCs w:val="20"/>
                <w:color w:val="auto"/>
              </w:rPr>
              <w:t>By:</w:t>
            </w:r>
          </w:p>
        </w:tc>
        <w:tc>
          <w:tcPr>
            <w:tcW w:w="5620" w:type="dxa"/>
            <w:vAlign w:val="bottom"/>
          </w:tcPr>
          <w:p>
            <w:pPr>
              <w:jc w:val="center"/>
              <w:spacing w:after="0"/>
              <w:rPr>
                <w:sz w:val="20"/>
                <w:szCs w:val="20"/>
                <w:color w:val="auto"/>
              </w:rPr>
            </w:pPr>
            <w:r>
              <w:rPr>
                <w:rFonts w:ascii="Arial" w:cs="Arial" w:eastAsia="Arial" w:hAnsi="Arial"/>
                <w:sz w:val="20"/>
                <w:szCs w:val="20"/>
                <w:color w:val="auto"/>
                <w:w w:val="89"/>
              </w:rPr>
              <w:t>/s/ Carsten Brunn, Ph.D.</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3120" w:type="dxa"/>
            <w:vAlign w:val="bottom"/>
            <w:vMerge w:val="restart"/>
          </w:tcPr>
          <w:p>
            <w:pPr>
              <w:ind w:left="1920"/>
              <w:spacing w:after="0"/>
              <w:rPr>
                <w:sz w:val="20"/>
                <w:szCs w:val="20"/>
                <w:color w:val="auto"/>
              </w:rPr>
            </w:pPr>
            <w:r>
              <w:rPr>
                <w:rFonts w:ascii="Arial" w:cs="Arial" w:eastAsia="Arial" w:hAnsi="Arial"/>
                <w:sz w:val="20"/>
                <w:szCs w:val="20"/>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80" w:type="dxa"/>
            <w:vAlign w:val="bottom"/>
          </w:tcPr>
          <w:p>
            <w:pPr>
              <w:spacing w:after="0"/>
              <w:rPr>
                <w:sz w:val="22"/>
                <w:szCs w:val="22"/>
                <w:color w:val="auto"/>
              </w:rPr>
            </w:pPr>
          </w:p>
        </w:tc>
        <w:tc>
          <w:tcPr>
            <w:tcW w:w="3120" w:type="dxa"/>
            <w:vAlign w:val="bottom"/>
            <w:vMerge w:val="continue"/>
          </w:tcPr>
          <w:p>
            <w:pPr>
              <w:spacing w:after="0"/>
              <w:rPr>
                <w:sz w:val="22"/>
                <w:szCs w:val="22"/>
                <w:color w:val="auto"/>
              </w:rPr>
            </w:pPr>
          </w:p>
        </w:tc>
        <w:tc>
          <w:tcPr>
            <w:tcW w:w="5620" w:type="dxa"/>
            <w:vAlign w:val="bottom"/>
          </w:tcPr>
          <w:p>
            <w:pPr>
              <w:jc w:val="center"/>
              <w:spacing w:after="0"/>
              <w:rPr>
                <w:sz w:val="20"/>
                <w:szCs w:val="20"/>
                <w:color w:val="auto"/>
              </w:rPr>
            </w:pPr>
            <w:r>
              <w:rPr>
                <w:rFonts w:ascii="Arial" w:cs="Arial" w:eastAsia="Arial" w:hAnsi="Arial"/>
                <w:sz w:val="20"/>
                <w:szCs w:val="20"/>
                <w:color w:val="auto"/>
                <w:w w:val="88"/>
              </w:rPr>
              <w:t>Carsten Brunn, Ph. D.</w:t>
            </w:r>
          </w:p>
        </w:tc>
        <w:tc>
          <w:tcPr>
            <w:tcW w:w="0" w:type="dxa"/>
            <w:vAlign w:val="bottom"/>
          </w:tcPr>
          <w:p>
            <w:pPr>
              <w:spacing w:after="0"/>
              <w:rPr>
                <w:sz w:val="1"/>
                <w:szCs w:val="1"/>
                <w:color w:val="auto"/>
              </w:rPr>
            </w:pPr>
          </w:p>
        </w:tc>
      </w:tr>
      <w:tr>
        <w:trPr>
          <w:trHeight w:val="283"/>
        </w:trPr>
        <w:tc>
          <w:tcPr>
            <w:tcW w:w="2480" w:type="dxa"/>
            <w:vAlign w:val="bottom"/>
          </w:tcPr>
          <w:p>
            <w:pPr>
              <w:spacing w:after="0"/>
              <w:rPr>
                <w:sz w:val="24"/>
                <w:szCs w:val="24"/>
                <w:color w:val="auto"/>
              </w:rPr>
            </w:pPr>
          </w:p>
        </w:tc>
        <w:tc>
          <w:tcPr>
            <w:tcW w:w="3120" w:type="dxa"/>
            <w:vAlign w:val="bottom"/>
          </w:tcPr>
          <w:p>
            <w:pPr>
              <w:ind w:left="1920"/>
              <w:spacing w:after="0"/>
              <w:rPr>
                <w:sz w:val="20"/>
                <w:szCs w:val="20"/>
                <w:color w:val="auto"/>
              </w:rPr>
            </w:pPr>
            <w:r>
              <w:rPr>
                <w:rFonts w:ascii="Arial" w:cs="Arial" w:eastAsia="Arial" w:hAnsi="Arial"/>
                <w:sz w:val="20"/>
                <w:szCs w:val="20"/>
                <w:color w:val="auto"/>
              </w:rPr>
              <w:t>Title:</w:t>
            </w:r>
          </w:p>
        </w:tc>
        <w:tc>
          <w:tcPr>
            <w:tcW w:w="56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40" w:right="339" w:bottom="1440" w:gutter="0" w:footer="0" w:header="0"/>
        </w:sectPr>
      </w:pPr>
    </w:p>
    <w:bookmarkStart w:id="130" w:name="page131"/>
    <w:bookmarkEnd w:id="130"/>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Nondisclosure, Noncompetition and Assignment of Intellectual Property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440"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216" w:lineRule="exact"/>
        <w:rPr>
          <w:sz w:val="20"/>
          <w:szCs w:val="20"/>
          <w:color w:val="auto"/>
        </w:rPr>
      </w:pPr>
    </w:p>
    <w:p>
      <w:pPr>
        <w:ind w:left="680" w:hanging="348"/>
        <w:spacing w:after="0"/>
        <w:tabs>
          <w:tab w:leader="none" w:pos="6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9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9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9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9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9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86" w:right="339" w:bottom="1440" w:gutter="0" w:footer="0" w:header="0"/>
        </w:sectPr>
      </w:pPr>
    </w:p>
    <w:bookmarkStart w:id="133" w:name="page134"/>
    <w:bookmarkEnd w:id="133"/>
    <w:p>
      <w:pPr>
        <w:spacing w:after="0"/>
        <w:tabs>
          <w:tab w:leader="none" w:pos="7740" w:val="left"/>
        </w:tabs>
        <w:rPr>
          <w:sz w:val="20"/>
          <w:szCs w:val="20"/>
          <w:color w:val="auto"/>
        </w:rPr>
      </w:pPr>
      <w:r>
        <w:rPr>
          <w:rFonts w:ascii="Arial" w:cs="Arial" w:eastAsia="Arial" w:hAnsi="Arial"/>
          <w:sz w:val="20"/>
          <w:szCs w:val="20"/>
          <w:color w:val="auto"/>
        </w:rPr>
        <w:t>November 5,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27305</wp:posOffset>
            </wp:positionV>
            <wp:extent cx="31203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7" w:lineRule="exact"/>
        <w:rPr>
          <w:sz w:val="20"/>
          <w:szCs w:val="20"/>
          <w:color w:val="auto"/>
        </w:rPr>
      </w:pPr>
    </w:p>
    <w:p>
      <w:pPr>
        <w:jc w:val="center"/>
        <w:ind w:left="624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77" w:lineRule="exact"/>
        <w:rPr>
          <w:sz w:val="20"/>
          <w:szCs w:val="20"/>
          <w:color w:val="auto"/>
        </w:rPr>
      </w:pPr>
    </w:p>
    <w:p>
      <w:pPr>
        <w:jc w:val="center"/>
        <w:ind w:left="624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0780"/>
          </w:cols>
          <w:pgMar w:left="340" w:top="1324" w:right="77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Bradford D. Dahms, certify that:</w:t>
      </w:r>
    </w:p>
    <w:p>
      <w:pPr>
        <w:spacing w:after="0" w:line="216" w:lineRule="exact"/>
        <w:rPr>
          <w:sz w:val="20"/>
          <w:szCs w:val="20"/>
          <w:color w:val="auto"/>
        </w:rPr>
      </w:pPr>
    </w:p>
    <w:p>
      <w:pPr>
        <w:ind w:left="680" w:hanging="348"/>
        <w:spacing w:after="0"/>
        <w:tabs>
          <w:tab w:leader="none" w:pos="6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9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9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9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9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9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20"/>
        <w:spacing w:after="0"/>
        <w:tabs>
          <w:tab w:leader="none" w:pos="7740" w:val="left"/>
        </w:tabs>
        <w:rPr>
          <w:sz w:val="20"/>
          <w:szCs w:val="20"/>
          <w:color w:val="auto"/>
        </w:rPr>
      </w:pPr>
      <w:r>
        <w:rPr>
          <w:rFonts w:ascii="Arial" w:cs="Arial" w:eastAsia="Arial" w:hAnsi="Arial"/>
          <w:sz w:val="20"/>
          <w:szCs w:val="20"/>
          <w:color w:val="auto"/>
        </w:rPr>
        <w:t>November 5,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27305</wp:posOffset>
            </wp:positionV>
            <wp:extent cx="33343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0"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i w:val="1"/>
          <w:iCs w:val="1"/>
          <w:color w:val="auto"/>
        </w:rPr>
        <w:t>Chief Financial Officer</w:t>
      </w:r>
    </w:p>
    <w:p>
      <w:pPr>
        <w:spacing w:after="0" w:line="77" w:lineRule="exact"/>
        <w:rPr>
          <w:sz w:val="20"/>
          <w:szCs w:val="20"/>
          <w:color w:val="auto"/>
        </w:rPr>
      </w:pPr>
    </w:p>
    <w:p>
      <w:pPr>
        <w:jc w:val="center"/>
        <w:ind w:left="58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86"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President and Chief Executive Officer of Selecta Biosciences, Inc. (the “Company”), hereby certify, pursuant to 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U.S.C. §1350, as adopted pursuant to §906 of the Sarbanes-Oxley Act of 2002, that, to the best of my knowledge:</w:t>
      </w:r>
    </w:p>
    <w:p>
      <w:pPr>
        <w:spacing w:after="0" w:line="200" w:lineRule="exact"/>
        <w:rPr>
          <w:sz w:val="20"/>
          <w:szCs w:val="20"/>
          <w:color w:val="auto"/>
        </w:rPr>
      </w:pPr>
    </w:p>
    <w:p>
      <w:pPr>
        <w:ind w:left="660" w:hanging="328"/>
        <w:spacing w:after="0" w:line="260" w:lineRule="auto"/>
        <w:tabs>
          <w:tab w:leader="none" w:pos="679"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September 30, 2020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20"/>
          <w:szCs w:val="20"/>
          <w:color w:val="auto"/>
        </w:rPr>
        <w:t>November 5,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27305</wp:posOffset>
            </wp:positionV>
            <wp:extent cx="31203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7" w:lineRule="exact"/>
        <w:rPr>
          <w:sz w:val="20"/>
          <w:szCs w:val="20"/>
          <w:color w:val="auto"/>
        </w:rPr>
      </w:pPr>
    </w:p>
    <w:p>
      <w:pPr>
        <w:jc w:val="center"/>
        <w:ind w:left="626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60"/>
        <w:spacing w:after="0"/>
        <w:rPr>
          <w:sz w:val="20"/>
          <w:szCs w:val="20"/>
          <w:color w:val="auto"/>
        </w:rPr>
      </w:pPr>
      <w:r>
        <w:rPr>
          <w:rFonts w:ascii="Arial" w:cs="Arial" w:eastAsia="Arial" w:hAnsi="Arial"/>
          <w:sz w:val="20"/>
          <w:szCs w:val="20"/>
          <w:i w:val="1"/>
          <w:iCs w:val="1"/>
          <w:color w:val="auto"/>
        </w:rPr>
        <w:t>President and Chief Executive Officer, and Director</w:t>
      </w:r>
    </w:p>
    <w:p>
      <w:pPr>
        <w:spacing w:after="0" w:line="54" w:lineRule="exact"/>
        <w:rPr>
          <w:sz w:val="20"/>
          <w:szCs w:val="20"/>
          <w:color w:val="auto"/>
        </w:rPr>
      </w:pPr>
    </w:p>
    <w:p>
      <w:pPr>
        <w:jc w:val="center"/>
        <w:ind w:left="62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886"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hanging="328"/>
        <w:spacing w:after="0" w:line="260" w:lineRule="auto"/>
        <w:tabs>
          <w:tab w:leader="none" w:pos="679"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September 30, 2020 (the “Report”) fully complies with the requirements of Section 13(a) or 15(d) of the Securities Exchange Act of 1934, as amended; and</w:t>
      </w:r>
    </w:p>
    <w:p>
      <w:pPr>
        <w:spacing w:after="0" w:line="149"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ind w:left="20"/>
        <w:spacing w:after="0"/>
        <w:tabs>
          <w:tab w:leader="none" w:pos="7940" w:val="left"/>
        </w:tabs>
        <w:rPr>
          <w:sz w:val="20"/>
          <w:szCs w:val="20"/>
          <w:color w:val="auto"/>
        </w:rPr>
      </w:pPr>
      <w:r>
        <w:rPr>
          <w:rFonts w:ascii="Arial" w:cs="Arial" w:eastAsia="Arial" w:hAnsi="Arial"/>
          <w:sz w:val="20"/>
          <w:szCs w:val="20"/>
          <w:color w:val="auto"/>
        </w:rPr>
        <w:t>November 5,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27305</wp:posOffset>
            </wp:positionV>
            <wp:extent cx="30861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0"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endash "/>
      <w:numFmt w:val="bullet"/>
      <w:start w:val="1"/>
    </w:lvl>
  </w:abstractNum>
  <w:abstractNum w:abstractNumId="3">
    <w:nsid w:val="3DC240FB"/>
    <w:multiLevelType w:val="hybridMultilevel"/>
    <w:lvl w:ilvl="0">
      <w:lvlJc w:val="left"/>
      <w:lvlText w:val="%1."/>
      <w:numFmt w:val="decimal"/>
      <w:start w:val="2"/>
    </w:lvl>
  </w:abstractNum>
  <w:abstractNum w:abstractNumId="4">
    <w:nsid w:val="1BA026FA"/>
    <w:multiLevelType w:val="hybridMultilevel"/>
    <w:lvl w:ilvl="0">
      <w:lvlJc w:val="left"/>
      <w:lvlText w:val="(%1)"/>
      <w:numFmt w:val="lowerRoman"/>
      <w:start w:val="1"/>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decimal"/>
      <w:start w:val="11"/>
    </w:lvl>
  </w:abstractNum>
  <w:abstractNum w:abstractNumId="7">
    <w:nsid w:val="12E685FB"/>
    <w:multiLevelType w:val="hybridMultilevel"/>
    <w:lvl w:ilvl="0">
      <w:lvlJc w:val="left"/>
      <w:lvlText w:val="%1."/>
      <w:numFmt w:val="decimal"/>
      <w:start w:val="12"/>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decimal"/>
      <w:start w:val="14"/>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endash "/>
      <w:numFmt w:val="bullet"/>
      <w:start w:val="1"/>
    </w:lvl>
  </w:abstractNum>
  <w:abstractNum w:abstractNumId="12">
    <w:nsid w:val="23F9C13C"/>
    <w:multiLevelType w:val="hybridMultilevel"/>
    <w:lvl w:ilvl="0">
      <w:lvlJc w:val="left"/>
      <w:lvlText w:val="\endash "/>
      <w:numFmt w:val="bullet"/>
      <w:start w:val="1"/>
    </w:lvl>
  </w:abstractNum>
  <w:abstractNum w:abstractNumId="13">
    <w:nsid w:val="649BB77C"/>
    <w:multiLevelType w:val="hybridMultilevel"/>
    <w:lvl w:ilvl="0">
      <w:lvlJc w:val="left"/>
      <w:lvlText w:val="%1)"/>
      <w:numFmt w:val="upperLetter"/>
      <w:start w:val="17"/>
    </w:lvl>
  </w:abstractNum>
  <w:abstractNum w:abstractNumId="14">
    <w:nsid w:val="275AC794"/>
    <w:multiLevelType w:val="hybridMultilevel"/>
    <w:lvl w:ilvl="0">
      <w:lvlJc w:val="left"/>
      <w:lvlText w:val="%1."/>
      <w:numFmt w:val="decimal"/>
      <w:start w:val="606"/>
    </w:lvl>
  </w:abstractNum>
  <w:abstractNum w:abstractNumId="15">
    <w:nsid w:val="39386575"/>
    <w:multiLevelType w:val="hybridMultilevel"/>
    <w:lvl w:ilvl="0">
      <w:lvlJc w:val="left"/>
      <w:lvlText w:val="\endash "/>
      <w:numFmt w:val="bullet"/>
      <w:start w:val="1"/>
    </w:lvl>
  </w:abstractNum>
  <w:abstractNum w:abstractNumId="16">
    <w:nsid w:val="1CF10FD8"/>
    <w:multiLevelType w:val="hybridMultilevel"/>
    <w:lvl w:ilvl="0">
      <w:lvlJc w:val="left"/>
      <w:lvlText w:val="\endash "/>
      <w:numFmt w:val="bullet"/>
      <w:start w:val="1"/>
    </w:lvl>
  </w:abstractNum>
  <w:abstractNum w:abstractNumId="17">
    <w:nsid w:val="180115BE"/>
    <w:multiLevelType w:val="hybridMultilevel"/>
    <w:lvl w:ilvl="0">
      <w:lvlJc w:val="left"/>
      <w:lvlText w:val="\endash "/>
      <w:numFmt w:val="bullet"/>
      <w:start w:val="1"/>
    </w:lvl>
  </w:abstractNum>
  <w:abstractNum w:abstractNumId="18">
    <w:nsid w:val="235BA861"/>
    <w:multiLevelType w:val="hybridMultilevel"/>
    <w:lvl w:ilvl="0">
      <w:lvlJc w:val="left"/>
      <w:lvlText w:val="\endash "/>
      <w:numFmt w:val="bullet"/>
      <w:start w:val="1"/>
    </w:lvl>
  </w:abstractNum>
  <w:abstractNum w:abstractNumId="19">
    <w:nsid w:val="47398C89"/>
    <w:multiLevelType w:val="hybridMultilevel"/>
    <w:lvl w:ilvl="0">
      <w:lvlJc w:val="left"/>
      <w:lvlText w:val="\endash "/>
      <w:numFmt w:val="bullet"/>
      <w:start w:val="1"/>
    </w:lvl>
  </w:abstractNum>
  <w:abstractNum w:abstractNumId="20">
    <w:nsid w:val="354FE9F9"/>
    <w:multiLevelType w:val="hybridMultilevel"/>
    <w:lvl w:ilvl="0">
      <w:lvlJc w:val="left"/>
      <w:lvlText w:val="\endash "/>
      <w:numFmt w:val="bullet"/>
      <w:start w:val="1"/>
    </w:lvl>
  </w:abstractNum>
  <w:abstractNum w:abstractNumId="21">
    <w:nsid w:val="15B5AF5C"/>
    <w:multiLevelType w:val="hybridMultilevel"/>
    <w:lvl w:ilvl="0">
      <w:lvlJc w:val="left"/>
      <w:lvlText w:val="\endash "/>
      <w:numFmt w:val="bullet"/>
      <w:start w:val="1"/>
    </w:lvl>
  </w:abstractNum>
  <w:abstractNum w:abstractNumId="22">
    <w:nsid w:val="741226BB"/>
    <w:multiLevelType w:val="hybridMultilevel"/>
    <w:lvl w:ilvl="0">
      <w:lvlJc w:val="left"/>
      <w:lvlText w:val="\endash "/>
      <w:numFmt w:val="bullet"/>
      <w:start w:val="1"/>
    </w:lvl>
  </w:abstractNum>
  <w:abstractNum w:abstractNumId="23">
    <w:nsid w:val="D34B6A8"/>
    <w:multiLevelType w:val="hybridMultilevel"/>
    <w:lvl w:ilvl="0">
      <w:lvlJc w:val="left"/>
      <w:lvlText w:val="\endash "/>
      <w:numFmt w:val="bullet"/>
      <w:start w:val="1"/>
    </w:lvl>
  </w:abstractNum>
  <w:abstractNum w:abstractNumId="24">
    <w:nsid w:val="10233C99"/>
    <w:multiLevelType w:val="hybridMultilevel"/>
    <w:lvl w:ilvl="0">
      <w:lvlJc w:val="left"/>
      <w:lvlText w:val="\endash "/>
      <w:numFmt w:val="bullet"/>
      <w:start w:val="1"/>
    </w:lvl>
  </w:abstractNum>
  <w:abstractNum w:abstractNumId="25">
    <w:nsid w:val="3F6AB60F"/>
    <w:multiLevelType w:val="hybridMultilevel"/>
    <w:lvl w:ilvl="0">
      <w:lvlJc w:val="left"/>
      <w:lvlText w:val="\endash "/>
      <w:numFmt w:val="bullet"/>
      <w:start w:val="1"/>
    </w:lvl>
  </w:abstractNum>
  <w:abstractNum w:abstractNumId="26">
    <w:nsid w:val="61574095"/>
    <w:multiLevelType w:val="hybridMultilevel"/>
    <w:lvl w:ilvl="0">
      <w:lvlJc w:val="left"/>
      <w:lvlText w:val="\endash "/>
      <w:numFmt w:val="bullet"/>
      <w:start w:val="1"/>
    </w:lvl>
  </w:abstractNum>
  <w:abstractNum w:abstractNumId="27">
    <w:nsid w:val="7E0C57B1"/>
    <w:multiLevelType w:val="hybridMultilevel"/>
    <w:lvl w:ilvl="0">
      <w:lvlJc w:val="left"/>
      <w:lvlText w:val="\endash "/>
      <w:numFmt w:val="bullet"/>
      <w:start w:val="1"/>
    </w:lvl>
  </w:abstractNum>
  <w:abstractNum w:abstractNumId="28">
    <w:nsid w:val="77AE35EB"/>
    <w:multiLevelType w:val="hybridMultilevel"/>
    <w:lvl w:ilvl="0">
      <w:lvlJc w:val="left"/>
      <w:lvlText w:val="\endash "/>
      <w:numFmt w:val="bullet"/>
      <w:start w:val="1"/>
    </w:lvl>
  </w:abstractNum>
  <w:abstractNum w:abstractNumId="29">
    <w:nsid w:val="579BE4F1"/>
    <w:multiLevelType w:val="hybridMultilevel"/>
    <w:lvl w:ilvl="0">
      <w:lvlJc w:val="left"/>
      <w:lvlText w:val="\endash "/>
      <w:numFmt w:val="bullet"/>
      <w:start w:val="1"/>
    </w:lvl>
  </w:abstractNum>
  <w:abstractNum w:abstractNumId="30">
    <w:nsid w:val="310C50B3"/>
    <w:multiLevelType w:val="hybridMultilevel"/>
    <w:lvl w:ilvl="0">
      <w:lvlJc w:val="left"/>
      <w:lvlText w:val="\endash "/>
      <w:numFmt w:val="bullet"/>
      <w:start w:val="1"/>
    </w:lvl>
  </w:abstractNum>
  <w:abstractNum w:abstractNumId="31">
    <w:nsid w:val="5FF87E05"/>
    <w:multiLevelType w:val="hybridMultilevel"/>
    <w:lvl w:ilvl="0">
      <w:lvlJc w:val="left"/>
      <w:lvlText w:val="\endash "/>
      <w:numFmt w:val="bullet"/>
      <w:start w:val="1"/>
    </w:lvl>
  </w:abstractNum>
  <w:abstractNum w:abstractNumId="32">
    <w:nsid w:val="2F305DEF"/>
    <w:multiLevelType w:val="hybridMultilevel"/>
    <w:lvl w:ilvl="0">
      <w:lvlJc w:val="left"/>
      <w:lvlText w:val="\endash "/>
      <w:numFmt w:val="bullet"/>
      <w:start w:val="1"/>
    </w:lvl>
  </w:abstractNum>
  <w:abstractNum w:abstractNumId="33">
    <w:nsid w:val="25A70BF7"/>
    <w:multiLevelType w:val="hybridMultilevel"/>
    <w:lvl w:ilvl="0">
      <w:lvlJc w:val="left"/>
      <w:lvlText w:val="\endash "/>
      <w:numFmt w:val="bullet"/>
      <w:start w:val="1"/>
    </w:lvl>
  </w:abstractNum>
  <w:abstractNum w:abstractNumId="34">
    <w:nsid w:val="1DBABF00"/>
    <w:multiLevelType w:val="hybridMultilevel"/>
    <w:lvl w:ilvl="0">
      <w:lvlJc w:val="left"/>
      <w:lvlText w:val="\endash "/>
      <w:numFmt w:val="bullet"/>
      <w:start w:val="1"/>
    </w:lvl>
  </w:abstractNum>
  <w:abstractNum w:abstractNumId="35">
    <w:nsid w:val="4AD084E9"/>
    <w:multiLevelType w:val="hybridMultilevel"/>
    <w:lvl w:ilvl="0">
      <w:lvlJc w:val="left"/>
      <w:lvlText w:val="\endash "/>
      <w:numFmt w:val="bullet"/>
      <w:start w:val="1"/>
    </w:lvl>
  </w:abstractNum>
  <w:abstractNum w:abstractNumId="36">
    <w:nsid w:val="1F48EAA1"/>
    <w:multiLevelType w:val="hybridMultilevel"/>
    <w:lvl w:ilvl="0">
      <w:lvlJc w:val="left"/>
      <w:lvlText w:val="\endash "/>
      <w:numFmt w:val="bullet"/>
      <w:start w:val="1"/>
    </w:lvl>
  </w:abstractNum>
  <w:abstractNum w:abstractNumId="37">
    <w:nsid w:val="1381823A"/>
    <w:multiLevelType w:val="hybridMultilevel"/>
    <w:lvl w:ilvl="0">
      <w:lvlJc w:val="left"/>
      <w:lvlText w:val="\endash "/>
      <w:numFmt w:val="bullet"/>
      <w:start w:val="1"/>
    </w:lvl>
  </w:abstractNum>
  <w:abstractNum w:abstractNumId="38">
    <w:nsid w:val="5DB70AE5"/>
    <w:multiLevelType w:val="hybridMultilevel"/>
    <w:lvl w:ilvl="0">
      <w:lvlJc w:val="left"/>
      <w:lvlText w:val="\endash "/>
      <w:numFmt w:val="bullet"/>
      <w:start w:val="1"/>
    </w:lvl>
  </w:abstractNum>
  <w:abstractNum w:abstractNumId="39">
    <w:nsid w:val="100F8FCA"/>
    <w:multiLevelType w:val="hybridMultilevel"/>
    <w:lvl w:ilvl="0">
      <w:lvlJc w:val="left"/>
      <w:lvlText w:val="\endash "/>
      <w:numFmt w:val="bullet"/>
      <w:start w:val="1"/>
    </w:lvl>
  </w:abstractNum>
  <w:abstractNum w:abstractNumId="40">
    <w:nsid w:val="6590700B"/>
    <w:multiLevelType w:val="hybridMultilevel"/>
    <w:lvl w:ilvl="0">
      <w:lvlJc w:val="left"/>
      <w:lvlText w:val="\endash "/>
      <w:numFmt w:val="bullet"/>
      <w:start w:val="1"/>
    </w:lvl>
  </w:abstractNum>
  <w:abstractNum w:abstractNumId="41">
    <w:nsid w:val="15014ACB"/>
    <w:multiLevelType w:val="hybridMultilevel"/>
    <w:lvl w:ilvl="0">
      <w:lvlJc w:val="left"/>
      <w:lvlText w:val="\endash "/>
      <w:numFmt w:val="bullet"/>
      <w:start w:val="1"/>
    </w:lvl>
  </w:abstractNum>
  <w:abstractNum w:abstractNumId="42">
    <w:nsid w:val="5F5E7FD0"/>
    <w:multiLevelType w:val="hybridMultilevel"/>
    <w:lvl w:ilvl="0">
      <w:lvlJc w:val="left"/>
      <w:lvlText w:val="\endash "/>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lowerLetter"/>
      <w:start w:val="6"/>
    </w:lvl>
  </w:abstractNum>
  <w:abstractNum w:abstractNumId="47">
    <w:nsid w:val="168E121F"/>
    <w:multiLevelType w:val="hybridMultilevel"/>
    <w:lvl w:ilvl="0">
      <w:lvlJc w:val="left"/>
      <w:lvlText w:val="(%1)"/>
      <w:numFmt w:val="lowerLetter"/>
      <w:start w:val="1"/>
    </w:lvl>
    <w:lvl w:ilvl="1">
      <w:lvlJc w:val="left"/>
      <w:lvlText w:val="(%2)"/>
      <w:numFmt w:val="lowerRoman"/>
      <w:start w:val="1"/>
    </w:lvl>
  </w:abstractNum>
  <w:abstractNum w:abstractNumId="48">
    <w:nsid w:val="1EBA5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9">
    <w:nsid w:val="661E3F1E"/>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50">
    <w:nsid w:val="5DC79EA8"/>
    <w:multiLevelType w:val="hybridMultilevel"/>
    <w:lvl w:ilvl="0">
      <w:lvlJc w:val="left"/>
      <w:lvlText w:val="%1"/>
      <w:numFmt w:val="lowerLetter"/>
      <w:start w:val="1"/>
    </w:lvl>
    <w:lvl w:ilvl="1">
      <w:lvlJc w:val="left"/>
      <w:lvlText w:val="(%2)"/>
      <w:numFmt w:val="lowerLetter"/>
      <w:start w:val="61"/>
    </w:lvl>
  </w:abstractNum>
  <w:abstractNum w:abstractNumId="51">
    <w:nsid w:val="540A471C"/>
    <w:multiLevelType w:val="hybridMultilevel"/>
    <w:lvl w:ilvl="0">
      <w:lvlJc w:val="left"/>
      <w:lvlText w:val="(%1)"/>
      <w:numFmt w:val="lowerLetter"/>
      <w:start w:val="4"/>
    </w:lvl>
    <w:lvl w:ilvl="1">
      <w:lvlJc w:val="left"/>
      <w:lvlText w:val="%2"/>
      <w:numFmt w:val="lowerLetter"/>
      <w:start w:val="1"/>
    </w:lvl>
  </w:abstractNum>
  <w:abstractNum w:abstractNumId="52">
    <w:nsid w:val="7BD3EE7B"/>
    <w:multiLevelType w:val="hybridMultilevel"/>
    <w:lvl w:ilvl="0">
      <w:lvlJc w:val="left"/>
      <w:lvlText w:val="(%1)"/>
      <w:numFmt w:val="lowerLetter"/>
      <w:start w:val="6"/>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lowerLetter"/>
      <w:start w:val="6"/>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lowerLetter"/>
      <w:start w:val="1"/>
    </w:lvl>
  </w:abstractNum>
  <w:abstractNum w:abstractNumId="57">
    <w:nsid w:val="42963E5A"/>
    <w:multiLevelType w:val="hybridMultilevel"/>
    <w:lvl w:ilvl="0">
      <w:lvlJc w:val="left"/>
      <w:lvlText w:val="(%1)"/>
      <w:numFmt w:val="lowerLetter"/>
      <w:start w:val="3"/>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lowerLetter"/>
      <w:start w:val="1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upperLetter"/>
      <w:start w:val="1"/>
    </w:lvl>
  </w:abstractNum>
  <w:abstractNum w:abstractNumId="62">
    <w:nsid w:val="68EB2F63"/>
    <w:multiLevelType w:val="hybridMultilevel"/>
    <w:lvl w:ilvl="0">
      <w:lvlJc w:val="left"/>
      <w:lvlText w:val="%1."/>
      <w:numFmt w:val="decimal"/>
      <w:start w:val="1"/>
    </w:lvl>
    <w:lvl w:ilvl="1">
      <w:lvlJc w:val="left"/>
      <w:lvlText w:val="(%2)"/>
      <w:numFmt w:val="lowerLetter"/>
      <w:start w:val="1"/>
    </w:lvl>
  </w:abstractNum>
  <w:abstractNum w:abstractNumId="63">
    <w:nsid w:val="4962813B"/>
    <w:multiLevelType w:val="hybridMultilevel"/>
    <w:lvl w:ilvl="0">
      <w:lvlJc w:val="left"/>
      <w:lvlText w:val="%1"/>
      <w:numFmt w:val="decimal"/>
      <w:start w:val="1"/>
    </w:lvl>
    <w:lvl w:ilvl="1">
      <w:lvlJc w:val="left"/>
      <w:lvlText w:val="(%2)"/>
      <w:numFmt w:val="lowerLetter"/>
      <w:start w:val="4"/>
    </w:lvl>
  </w:abstractNum>
  <w:abstractNum w:abstractNumId="64">
    <w:nsid w:val="60B6DF70"/>
    <w:multiLevelType w:val="hybridMultilevel"/>
    <w:lvl w:ilvl="0">
      <w:lvlJc w:val="left"/>
      <w:lvlText w:val="%1."/>
      <w:numFmt w:val="decimal"/>
      <w:start w:val="2"/>
    </w:lvl>
    <w:lvl w:ilvl="1">
      <w:lvlJc w:val="left"/>
      <w:lvlText w:val="(%2)"/>
      <w:numFmt w:val="lowerLetter"/>
      <w:start w:val="1"/>
    </w:lvl>
  </w:abstractNum>
  <w:abstractNum w:abstractNumId="65">
    <w:nsid w:val="6A5EE64"/>
    <w:multiLevelType w:val="hybridMultilevel"/>
    <w:lvl w:ilvl="0">
      <w:lvlJc w:val="left"/>
      <w:lvlText w:val="%1"/>
      <w:numFmt w:val="decimal"/>
      <w:start w:val="1"/>
    </w:lvl>
    <w:lvl w:ilvl="1">
      <w:lvlJc w:val="left"/>
      <w:lvlText w:val="(%2)"/>
      <w:numFmt w:val="lowerLetter"/>
      <w:start w:val="7"/>
    </w:lvl>
  </w:abstractNum>
  <w:abstractNum w:abstractNumId="66">
    <w:nsid w:val="14330624"/>
    <w:multiLevelType w:val="hybridMultilevel"/>
    <w:lvl w:ilvl="0">
      <w:lvlJc w:val="left"/>
      <w:lvlText w:val="%1."/>
      <w:numFmt w:val="decimal"/>
      <w:start w:val="3"/>
    </w:lvl>
    <w:lvl w:ilvl="1">
      <w:lvlJc w:val="left"/>
      <w:lvlText w:val="%2"/>
      <w:numFmt w:val="lowerLetter"/>
      <w:start w:val="1"/>
    </w:lvl>
  </w:abstractNum>
  <w:abstractNum w:abstractNumId="67">
    <w:nsid w:val="7FFFCA11"/>
    <w:multiLevelType w:val="hybridMultilevel"/>
    <w:lvl w:ilvl="0">
      <w:lvlJc w:val="left"/>
      <w:lvlText w:val="(%1)"/>
      <w:numFmt w:val="lowerLetter"/>
      <w:start w:val="1"/>
    </w:lvl>
    <w:lvl w:ilvl="1">
      <w:lvlJc w:val="left"/>
      <w:lvlText w:val="(%2)"/>
      <w:numFmt w:val="lowerRoman"/>
      <w:start w:val="1"/>
    </w:lvl>
  </w:abstractNum>
  <w:abstractNum w:abstractNumId="68">
    <w:nsid w:val="1A27709E"/>
    <w:multiLevelType w:val="hybridMultilevel"/>
    <w:lvl w:ilvl="0">
      <w:lvlJc w:val="left"/>
      <w:lvlText w:val="%1"/>
      <w:numFmt w:val="lowerLetter"/>
      <w:start w:val="1"/>
    </w:lvl>
    <w:lvl w:ilvl="1">
      <w:lvlJc w:val="left"/>
      <w:lvlText w:val="(%2)"/>
      <w:numFmt w:val="lowerRoman"/>
      <w:start w:val="4"/>
    </w:lvl>
  </w:abstractNum>
  <w:abstractNum w:abstractNumId="69">
    <w:nsid w:val="71EA1109"/>
    <w:multiLevelType w:val="hybridMultilevel"/>
    <w:lvl w:ilvl="0">
      <w:lvlJc w:val="left"/>
      <w:lvlText w:val="(%1)"/>
      <w:numFmt w:val="lowerLetter"/>
      <w:start w:val="2"/>
    </w:lvl>
    <w:lvl w:ilvl="1">
      <w:lvlJc w:val="left"/>
      <w:lvlText w:val="%2"/>
      <w:numFmt w:val="lowerRoman"/>
      <w:start w:val="1"/>
    </w:lvl>
  </w:abstractNum>
  <w:abstractNum w:abstractNumId="70">
    <w:nsid w:val="100F59D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1">
    <w:nsid w:val="7FB7E0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2">
    <w:nsid w:val="6EB5BD4"/>
    <w:multiLevelType w:val="hybridMultilevel"/>
    <w:lvl w:ilvl="0">
      <w:lvlJc w:val="left"/>
      <w:lvlText w:val="%1"/>
      <w:numFmt w:val="decimal"/>
      <w:start w:val="1"/>
    </w:lvl>
    <w:lvl w:ilvl="1">
      <w:lvlJc w:val="left"/>
      <w:lvlText w:val="(%2)"/>
      <w:numFmt w:val="lowerLetter"/>
      <w:start w:val="3"/>
    </w:lvl>
  </w:abstractNum>
  <w:abstractNum w:abstractNumId="73">
    <w:nsid w:val="6F6DD9AC"/>
    <w:multiLevelType w:val="hybridMultilevel"/>
    <w:lvl w:ilvl="0">
      <w:lvlJc w:val="left"/>
      <w:lvlText w:val="%1."/>
      <w:numFmt w:val="decimal"/>
      <w:start w:val="5"/>
    </w:lvl>
    <w:lvl w:ilvl="1">
      <w:lvlJc w:val="left"/>
      <w:lvlText w:val="%2"/>
      <w:numFmt w:val="lowerLetter"/>
      <w:start w:val="1"/>
    </w:lvl>
  </w:abstractNum>
  <w:abstractNum w:abstractNumId="74">
    <w:nsid w:val="94211F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75">
    <w:nsid w:val="885E1B"/>
    <w:multiLevelType w:val="hybridMultilevel"/>
    <w:lvl w:ilvl="0">
      <w:lvlJc w:val="left"/>
      <w:lvlText w:val="%1"/>
      <w:numFmt w:val="lowerLetter"/>
      <w:start w:val="1"/>
    </w:lvl>
    <w:lvl w:ilvl="1">
      <w:lvlJc w:val="left"/>
      <w:lvlText w:val="(%2)"/>
      <w:numFmt w:val="lowerRoman"/>
      <w:start w:val="2"/>
    </w:lvl>
  </w:abstractNum>
  <w:abstractNum w:abstractNumId="76">
    <w:nsid w:val="76272110"/>
    <w:multiLevelType w:val="hybridMultilevel"/>
    <w:lvl w:ilvl="0">
      <w:lvlJc w:val="left"/>
      <w:lvlText w:val="(%1)"/>
      <w:numFmt w:val="lowerLetter"/>
      <w:start w:val="2"/>
    </w:lvl>
    <w:lvl w:ilvl="1">
      <w:lvlJc w:val="left"/>
      <w:lvlText w:val="%2"/>
      <w:numFmt w:val="lowerRoman"/>
      <w:start w:val="1"/>
    </w:lvl>
  </w:abstractNum>
  <w:abstractNum w:abstractNumId="77">
    <w:nsid w:val="4C04A8AF"/>
    <w:multiLevelType w:val="hybridMultilevel"/>
    <w:lvl w:ilvl="0">
      <w:lvlJc w:val="left"/>
      <w:lvlText w:val="(%1)"/>
      <w:numFmt w:val="lowerLetter"/>
      <w:start w:val="3"/>
    </w:lvl>
  </w:abstractNum>
  <w:abstractNum w:abstractNumId="78">
    <w:nsid w:val="1716703B"/>
    <w:multiLevelType w:val="hybridMultilevel"/>
    <w:lvl w:ilvl="0">
      <w:lvlJc w:val="left"/>
      <w:lvlText w:val="(%1)"/>
      <w:numFmt w:val="lowerLetter"/>
      <w:start w:val="35"/>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decimal"/>
      <w:start w:val="8"/>
    </w:lvl>
    <w:lvl w:ilvl="1">
      <w:lvlJc w:val="left"/>
      <w:lvlText w:val="(%2)"/>
      <w:numFmt w:val="lowerLetter"/>
      <w:start w:val="1"/>
    </w:lvl>
  </w:abstractNum>
  <w:abstractNum w:abstractNumId="81">
    <w:nsid w:val="74DE0EE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2">
    <w:nsid w:val="68EBC55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3">
    <w:nsid w:val="2DF6D648"/>
    <w:multiLevelType w:val="hybridMultilevel"/>
    <w:lvl w:ilvl="0">
      <w:lvlJc w:val="left"/>
      <w:lvlText w:val="(%1)"/>
      <w:numFmt w:val="lowerLetter"/>
      <w:start w:val="5"/>
    </w:lvl>
  </w:abstractNum>
  <w:abstractNum w:abstractNumId="84">
    <w:nsid w:val="46B7D447"/>
    <w:multiLevelType w:val="hybridMultilevel"/>
    <w:lvl w:ilvl="0">
      <w:lvlJc w:val="left"/>
      <w:lvlText w:val="(%1)"/>
      <w:numFmt w:val="lowerLetter"/>
      <w:start w:val="11"/>
    </w:lvl>
    <w:lvl w:ilvl="1">
      <w:lvlJc w:val="left"/>
      <w:lvlText w:val="(%2)"/>
      <w:numFmt w:val="lowerRoman"/>
      <w:start w:val="1"/>
    </w:lvl>
  </w:abstractNum>
  <w:abstractNum w:abstractNumId="85">
    <w:nsid w:val="4A2AC315"/>
    <w:multiLevelType w:val="hybridMultilevel"/>
    <w:lvl w:ilvl="0">
      <w:lvlJc w:val="left"/>
      <w:lvlText w:val="%1."/>
      <w:numFmt w:val="decimal"/>
      <w:start w:val="10"/>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decimal"/>
      <w:start w:val="3"/>
    </w:lvl>
    <w:lvl w:ilvl="1">
      <w:lvlJc w:val="left"/>
      <w:lvlText w:val="(%2)"/>
      <w:numFmt w:val="lowerLetter"/>
      <w:start w:val="1"/>
    </w:lvl>
  </w:abstractNum>
  <w:abstractNum w:abstractNumId="88">
    <w:nsid w:val="CC1016F"/>
    <w:multiLevelType w:val="hybridMultilevel"/>
    <w:lvl w:ilvl="0">
      <w:lvlJc w:val="left"/>
      <w:lvlText w:val="2"/>
      <w:numFmt w:val="bullet"/>
      <w:start w:val="1"/>
    </w:lvl>
  </w:abstractNum>
  <w:abstractNum w:abstractNumId="89">
    <w:nsid w:val="43F18422"/>
    <w:multiLevelType w:val="hybridMultilevel"/>
    <w:lvl w:ilvl="0">
      <w:lvlJc w:val="left"/>
      <w:lvlText w:val="%1"/>
      <w:numFmt w:val="decimal"/>
      <w:start w:val="1"/>
    </w:lvl>
    <w:lvl w:ilvl="1">
      <w:lvlJc w:val="left"/>
      <w:lvlText w:val="(%2)"/>
      <w:numFmt w:val="lowerLetter"/>
      <w:start w:val="2"/>
    </w:lvl>
  </w:abstractNum>
  <w:abstractNum w:abstractNumId="90">
    <w:nsid w:val="60EF0119"/>
    <w:multiLevelType w:val="hybridMultilevel"/>
    <w:lvl w:ilvl="0">
      <w:lvlJc w:val="left"/>
      <w:lvlText w:val="%1."/>
      <w:numFmt w:val="decimal"/>
      <w:start w:val="5"/>
    </w:lvl>
    <w:lvl w:ilvl="1">
      <w:lvlJc w:val="left"/>
      <w:lvlText w:val="%2"/>
      <w:numFmt w:val="lowerLetter"/>
      <w:start w:val="1"/>
    </w:lvl>
  </w:abstractNum>
  <w:abstractNum w:abstractNumId="91">
    <w:nsid w:val="26F324BA"/>
    <w:multiLevelType w:val="hybridMultilevel"/>
    <w:lvl w:ilvl="0">
      <w:lvlJc w:val="left"/>
      <w:lvlText w:val="%1"/>
      <w:numFmt w:val="lowerLetter"/>
      <w:start w:val="1"/>
    </w:lvl>
    <w:lvl w:ilvl="1">
      <w:lvlJc w:val="left"/>
      <w:lvlText w:val="%2."/>
      <w:numFmt w:val="decimal"/>
      <w:start w:val="6"/>
    </w:lvl>
  </w:abstractNum>
  <w:abstractNum w:abstractNumId="92">
    <w:nsid w:val="7F01579B"/>
    <w:multiLevelType w:val="hybridMultilevel"/>
    <w:lvl w:ilvl="0">
      <w:lvlJc w:val="left"/>
      <w:lvlText w:val="(%1)"/>
      <w:numFmt w:val="lowerLetter"/>
      <w:start w:val="3"/>
    </w:lvl>
    <w:lvl w:ilvl="1">
      <w:lvlJc w:val="left"/>
      <w:lvlText w:val="%2"/>
      <w:numFmt w:val="decimal"/>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jpe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19" Type="http://schemas.openxmlformats.org/officeDocument/2006/relationships/hyperlink" Target="http://www.sec.gov/Archives/edgar/data/1453687/000110465916129891/a16-14002_1ex3d1.htm" TargetMode="External"/><Relationship Id="rId120" Type="http://schemas.openxmlformats.org/officeDocument/2006/relationships/hyperlink" Target="http://www.sec.gov/Archives/edgar/data/1453687/000110465916129891/a16-14002_1ex3d2.htm" TargetMode="External"/><Relationship Id="rId121" Type="http://schemas.openxmlformats.org/officeDocument/2006/relationships/hyperlink" Target="http://www.sec.gov/Archives/edgar/data/1453687/000145368720000104/exhibit41formofwarrant.htm" TargetMode="External"/><Relationship Id="rId122" Type="http://schemas.openxmlformats.org/officeDocument/2006/relationships/hyperlink" Target="http://www.sec.gov/Archives/edgar/data/1453687/000145368720000104/exhibit1011loanandsecu.htm" TargetMode="External"/><Relationship Id="rId123" Type="http://schemas.openxmlformats.org/officeDocument/2006/relationships/hyperlink" Target="http://www.sec.gov/Archives/edgar/data/1453687/000145368720000104/exhibit1012letter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2020-11-05T16:49:01Z</dcterms:created>
  <dcterms:modified xsi:type="dcterms:W3CDTF">2020-11-05T16:49:01Z</dcterms:modified>
</cp:coreProperties>
</file>