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276465" cy="9375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93751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ORBIMED ADVISORS LLC</w:t>
        </w:r>
      </w:hyperlink>
    </w:p>
    <w:p>
      <w:pPr>
        <w:spacing w:after="0" w:line="31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601 LEXINGTON AVENUE, 54TH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SELECTA BIOSCIENCES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SELB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06/27/2016</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720" w:hanging="7"/>
        <w:spacing w:after="0" w:line="241"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7" w:val="left"/>
          <w:tab w:leader="none" w:pos="1827" w:val="left"/>
          <w:tab w:leader="none" w:pos="21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7"/>
        <w:spacing w:after="0"/>
        <w:tabs>
          <w:tab w:leader="none" w:pos="21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340" w:space="720"/>
            <w:col w:w="3440" w:space="553"/>
            <w:col w:w="3467"/>
          </w:cols>
          <w:pgMar w:left="240" w:top="223" w:right="139" w:bottom="0" w:gutter="0" w:footer="0" w:header="0"/>
          <w:type w:val="continuous"/>
        </w:sectPr>
      </w:pPr>
    </w:p>
    <w:p>
      <w:pPr>
        <w:spacing w:after="0" w:line="18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700" w:type="dxa"/>
            <w:vAlign w:val="bottom"/>
          </w:tcPr>
          <w:p>
            <w:pPr>
              <w:ind w:left="440"/>
              <w:spacing w:after="0"/>
              <w:rPr>
                <w:sz w:val="20"/>
                <w:szCs w:val="20"/>
                <w:color w:val="auto"/>
              </w:rPr>
            </w:pPr>
            <w:r>
              <w:rPr>
                <w:rFonts w:ascii="Arial" w:cs="Arial" w:eastAsia="Arial" w:hAnsi="Arial"/>
                <w:sz w:val="17"/>
                <w:szCs w:val="17"/>
                <w:color w:val="0000FF"/>
              </w:rPr>
              <w:t>10022</w:t>
            </w:r>
          </w:p>
        </w:tc>
      </w:tr>
      <w:tr>
        <w:trPr>
          <w:trHeight w:val="152"/>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460" w:hanging="3984"/>
        <w:spacing w:after="0" w:line="241"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236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60" w:type="dxa"/>
            <w:vAlign w:val="bottom"/>
          </w:tcPr>
          <w:p>
            <w:pPr>
              <w:ind w:left="100"/>
              <w:spacing w:after="0"/>
              <w:rPr>
                <w:sz w:val="20"/>
                <w:szCs w:val="20"/>
                <w:color w:val="auto"/>
              </w:rPr>
            </w:pPr>
            <w:r>
              <w:rPr>
                <w:rFonts w:ascii="Arial" w:cs="Arial" w:eastAsia="Arial" w:hAnsi="Arial"/>
                <w:sz w:val="13"/>
                <w:szCs w:val="13"/>
                <w:color w:val="auto"/>
                <w:w w:val="99"/>
              </w:rPr>
              <w:t>Form filed by More than One Reporting</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23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9" w:lineRule="exact"/>
        <w:rPr>
          <w:sz w:val="24"/>
          <w:szCs w:val="24"/>
          <w:color w:val="auto"/>
        </w:rPr>
      </w:pPr>
    </w:p>
    <w:p>
      <w:pPr>
        <w:sectPr>
          <w:pgSz w:w="11900" w:h="16838" w:orient="portrait"/>
          <w:cols w:equalWidth="0" w:num="2">
            <w:col w:w="7340" w:space="720"/>
            <w:col w:w="346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40" w:type="dxa"/>
            <w:vAlign w:val="bottom"/>
            <w:gridSpan w:val="2"/>
          </w:tcPr>
          <w:p>
            <w:pPr>
              <w:ind w:left="70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11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11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20" w:type="dxa"/>
            <w:vAlign w:val="bottom"/>
            <w:gridSpan w:val="3"/>
            <w:vMerge w:val="restart"/>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1"/>
                <w:szCs w:val="21"/>
                <w:color w:val="auto"/>
              </w:rPr>
            </w:pPr>
          </w:p>
        </w:tc>
        <w:tc>
          <w:tcPr>
            <w:tcW w:w="1740" w:type="dxa"/>
            <w:vAlign w:val="bottom"/>
            <w:gridSpan w:val="2"/>
            <w:vMerge w:val="restart"/>
          </w:tcPr>
          <w:p>
            <w:pPr>
              <w:ind w:left="800"/>
              <w:spacing w:after="0"/>
              <w:rPr>
                <w:sz w:val="20"/>
                <w:szCs w:val="20"/>
                <w:color w:val="auto"/>
              </w:rPr>
            </w:pPr>
            <w:r>
              <w:rPr>
                <w:rFonts w:ascii="Arial" w:cs="Arial" w:eastAsia="Arial" w:hAnsi="Arial"/>
                <w:sz w:val="17"/>
                <w:szCs w:val="17"/>
                <w:color w:val="0000FF"/>
              </w:rPr>
              <w:t>06/27/2016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740" w:type="dxa"/>
            <w:vAlign w:val="bottom"/>
            <w:vMerge w:val="restart"/>
          </w:tcPr>
          <w:p>
            <w:pPr>
              <w:jc w:val="center"/>
              <w:ind w:left="96"/>
              <w:spacing w:after="0"/>
              <w:rPr>
                <w:sz w:val="20"/>
                <w:szCs w:val="20"/>
                <w:color w:val="auto"/>
              </w:rPr>
            </w:pPr>
            <w:r>
              <w:rPr>
                <w:rFonts w:ascii="Arial" w:cs="Arial" w:eastAsia="Arial" w:hAnsi="Arial"/>
                <w:sz w:val="17"/>
                <w:szCs w:val="17"/>
                <w:color w:val="0000FF"/>
                <w:w w:val="88"/>
              </w:rPr>
              <w:t>11,111</w:t>
            </w:r>
          </w:p>
        </w:tc>
        <w:tc>
          <w:tcPr>
            <w:tcW w:w="80" w:type="dxa"/>
            <w:vAlign w:val="bottom"/>
          </w:tcPr>
          <w:p>
            <w:pPr>
              <w:spacing w:after="0"/>
              <w:rPr>
                <w:sz w:val="21"/>
                <w:szCs w:val="21"/>
                <w:color w:val="auto"/>
              </w:rPr>
            </w:pPr>
          </w:p>
        </w:tc>
        <w:tc>
          <w:tcPr>
            <w:tcW w:w="56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12,193</w:t>
            </w:r>
          </w:p>
        </w:tc>
        <w:tc>
          <w:tcPr>
            <w:tcW w:w="36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2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top w:val="single" w:sz="8" w:color="2C2C2C"/>
            </w:tcBorders>
          </w:tcPr>
          <w:p>
            <w:pPr>
              <w:spacing w:after="0"/>
              <w:rPr>
                <w:sz w:val="21"/>
                <w:szCs w:val="21"/>
                <w:color w:val="auto"/>
              </w:rPr>
            </w:pPr>
          </w:p>
        </w:tc>
        <w:tc>
          <w:tcPr>
            <w:tcW w:w="1740" w:type="dxa"/>
            <w:vAlign w:val="bottom"/>
            <w:tcBorders>
              <w:top w:val="single" w:sz="8" w:color="2C2C2C"/>
            </w:tcBorders>
            <w:gridSpan w:val="2"/>
            <w:vMerge w:val="restart"/>
          </w:tcPr>
          <w:p>
            <w:pPr>
              <w:ind w:left="800"/>
              <w:spacing w:after="0"/>
              <w:rPr>
                <w:sz w:val="20"/>
                <w:szCs w:val="20"/>
                <w:color w:val="auto"/>
              </w:rPr>
            </w:pPr>
            <w:r>
              <w:rPr>
                <w:rFonts w:ascii="Arial" w:cs="Arial" w:eastAsia="Arial" w:hAnsi="Arial"/>
                <w:sz w:val="17"/>
                <w:szCs w:val="17"/>
                <w:color w:val="0000FF"/>
              </w:rPr>
              <w:t>06/27/2016</w:t>
            </w: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C</w:t>
            </w:r>
          </w:p>
        </w:tc>
        <w:tc>
          <w:tcPr>
            <w:tcW w:w="82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89"/>
              </w:rPr>
              <w:t>1,166,884</w:t>
            </w:r>
          </w:p>
        </w:tc>
        <w:tc>
          <w:tcPr>
            <w:tcW w:w="56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0000FF"/>
              </w:rPr>
              <w:t>A</w:t>
            </w:r>
          </w:p>
        </w:tc>
        <w:tc>
          <w:tcPr>
            <w:tcW w:w="6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2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89"/>
              </w:rPr>
              <w:t>1,280,604</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Borders>
              <w:top w:val="single" w:sz="8" w:color="2C2C2C"/>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2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top w:val="single" w:sz="8" w:color="2C2C2C"/>
            </w:tcBorders>
          </w:tcPr>
          <w:p>
            <w:pPr>
              <w:spacing w:after="0"/>
              <w:rPr>
                <w:sz w:val="21"/>
                <w:szCs w:val="21"/>
                <w:color w:val="auto"/>
              </w:rPr>
            </w:pPr>
          </w:p>
        </w:tc>
        <w:tc>
          <w:tcPr>
            <w:tcW w:w="1740" w:type="dxa"/>
            <w:vAlign w:val="bottom"/>
            <w:tcBorders>
              <w:top w:val="single" w:sz="8" w:color="2C2C2C"/>
            </w:tcBorders>
            <w:gridSpan w:val="2"/>
            <w:vMerge w:val="restart"/>
          </w:tcPr>
          <w:p>
            <w:pPr>
              <w:ind w:left="800"/>
              <w:spacing w:after="0"/>
              <w:rPr>
                <w:sz w:val="20"/>
                <w:szCs w:val="20"/>
                <w:color w:val="auto"/>
              </w:rPr>
            </w:pPr>
            <w:r>
              <w:rPr>
                <w:rFonts w:ascii="Arial" w:cs="Arial" w:eastAsia="Arial" w:hAnsi="Arial"/>
                <w:sz w:val="17"/>
                <w:szCs w:val="17"/>
                <w:color w:val="0000FF"/>
              </w:rPr>
              <w:t>06/27/2016</w:t>
            </w: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P</w:t>
            </w:r>
          </w:p>
        </w:tc>
        <w:tc>
          <w:tcPr>
            <w:tcW w:w="740" w:type="dxa"/>
            <w:vAlign w:val="bottom"/>
            <w:tcBorders>
              <w:top w:val="single" w:sz="8" w:color="2C2C2C"/>
            </w:tcBorders>
            <w:vMerge w:val="restart"/>
          </w:tcPr>
          <w:p>
            <w:pPr>
              <w:jc w:val="center"/>
              <w:ind w:left="96"/>
              <w:spacing w:after="0"/>
              <w:rPr>
                <w:sz w:val="20"/>
                <w:szCs w:val="20"/>
                <w:color w:val="auto"/>
              </w:rPr>
            </w:pPr>
            <w:r>
              <w:rPr>
                <w:rFonts w:ascii="Arial" w:cs="Arial" w:eastAsia="Arial" w:hAnsi="Arial"/>
                <w:sz w:val="17"/>
                <w:szCs w:val="17"/>
                <w:color w:val="0000FF"/>
                <w:w w:val="89"/>
              </w:rPr>
              <w:t>5,189</w:t>
            </w:r>
          </w:p>
        </w:tc>
        <w:tc>
          <w:tcPr>
            <w:tcW w:w="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0000FF"/>
              </w:rPr>
              <w:t>A</w:t>
            </w:r>
          </w:p>
        </w:tc>
        <w:tc>
          <w:tcPr>
            <w:tcW w:w="6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14</w:t>
            </w:r>
          </w:p>
        </w:tc>
        <w:tc>
          <w:tcPr>
            <w:tcW w:w="12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88"/>
              </w:rPr>
              <w:t>17,382</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Borders>
              <w:top w:val="single" w:sz="8" w:color="2C2C2C"/>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2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top w:val="single" w:sz="8" w:color="2C2C2C"/>
            </w:tcBorders>
          </w:tcPr>
          <w:p>
            <w:pPr>
              <w:spacing w:after="0"/>
              <w:rPr>
                <w:sz w:val="21"/>
                <w:szCs w:val="21"/>
                <w:color w:val="auto"/>
              </w:rPr>
            </w:pPr>
          </w:p>
        </w:tc>
        <w:tc>
          <w:tcPr>
            <w:tcW w:w="1740" w:type="dxa"/>
            <w:vAlign w:val="bottom"/>
            <w:tcBorders>
              <w:top w:val="single" w:sz="8" w:color="2C2C2C"/>
            </w:tcBorders>
            <w:gridSpan w:val="2"/>
            <w:vMerge w:val="restart"/>
          </w:tcPr>
          <w:p>
            <w:pPr>
              <w:ind w:left="800"/>
              <w:spacing w:after="0"/>
              <w:rPr>
                <w:sz w:val="20"/>
                <w:szCs w:val="20"/>
                <w:color w:val="auto"/>
              </w:rPr>
            </w:pPr>
            <w:r>
              <w:rPr>
                <w:rFonts w:ascii="Arial" w:cs="Arial" w:eastAsia="Arial" w:hAnsi="Arial"/>
                <w:sz w:val="17"/>
                <w:szCs w:val="17"/>
                <w:color w:val="0000FF"/>
              </w:rPr>
              <w:t>06/27/2016</w:t>
            </w: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P</w:t>
            </w:r>
          </w:p>
        </w:tc>
        <w:tc>
          <w:tcPr>
            <w:tcW w:w="740" w:type="dxa"/>
            <w:vAlign w:val="bottom"/>
            <w:tcBorders>
              <w:top w:val="single" w:sz="8" w:color="2C2C2C"/>
            </w:tcBorders>
            <w:vMerge w:val="restart"/>
          </w:tcPr>
          <w:p>
            <w:pPr>
              <w:jc w:val="center"/>
              <w:ind w:left="96"/>
              <w:spacing w:after="0"/>
              <w:rPr>
                <w:sz w:val="20"/>
                <w:szCs w:val="20"/>
                <w:color w:val="auto"/>
              </w:rPr>
            </w:pPr>
            <w:r>
              <w:rPr>
                <w:rFonts w:ascii="Arial" w:cs="Arial" w:eastAsia="Arial" w:hAnsi="Arial"/>
                <w:sz w:val="17"/>
                <w:szCs w:val="17"/>
                <w:color w:val="0000FF"/>
                <w:w w:val="87"/>
              </w:rPr>
              <w:t>544,811</w:t>
            </w:r>
          </w:p>
        </w:tc>
        <w:tc>
          <w:tcPr>
            <w:tcW w:w="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0000FF"/>
              </w:rPr>
              <w:t>A</w:t>
            </w:r>
          </w:p>
        </w:tc>
        <w:tc>
          <w:tcPr>
            <w:tcW w:w="6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14</w:t>
            </w:r>
          </w:p>
        </w:tc>
        <w:tc>
          <w:tcPr>
            <w:tcW w:w="12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89"/>
              </w:rPr>
              <w:t>1,825,415</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Borders>
              <w:top w:val="single" w:sz="8" w:color="2C2C2C"/>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(2)(5)</w:t>
            </w:r>
          </w:p>
        </w:tc>
        <w:tc>
          <w:tcPr>
            <w:tcW w:w="0" w:type="dxa"/>
            <w:vAlign w:val="bottom"/>
          </w:tcPr>
          <w:p>
            <w:pPr>
              <w:spacing w:after="0"/>
              <w:rPr>
                <w:sz w:val="1"/>
                <w:szCs w:val="1"/>
                <w:color w:val="auto"/>
              </w:rPr>
            </w:pPr>
          </w:p>
        </w:tc>
      </w:tr>
      <w:tr>
        <w:trPr>
          <w:trHeight w:val="205"/>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80" w:type="dxa"/>
            <w:vAlign w:val="bottom"/>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4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of 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5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gridSpan w:val="2"/>
            <w:vMerge w:val="restart"/>
          </w:tcPr>
          <w:p>
            <w:pPr>
              <w:ind w:left="20"/>
              <w:spacing w:after="0" w:line="131"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1"/>
                <w:szCs w:val="11"/>
                <w:color w:val="auto"/>
              </w:rPr>
            </w:pPr>
          </w:p>
        </w:tc>
        <w:tc>
          <w:tcPr>
            <w:tcW w:w="5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16"/>
              <w:spacing w:after="0" w:line="131" w:lineRule="exact"/>
              <w:rPr>
                <w:sz w:val="20"/>
                <w:szCs w:val="20"/>
                <w:color w:val="auto"/>
              </w:rPr>
            </w:pPr>
            <w:r>
              <w:rPr>
                <w:rFonts w:ascii="Arial" w:cs="Arial" w:eastAsia="Arial" w:hAnsi="Arial"/>
                <w:sz w:val="12"/>
                <w:szCs w:val="12"/>
                <w:b w:val="1"/>
                <w:bCs w:val="1"/>
                <w:color w:val="auto"/>
                <w:w w:val="98"/>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760" w:type="dxa"/>
            <w:vAlign w:val="bottom"/>
          </w:tcPr>
          <w:p>
            <w:pPr>
              <w:jc w:val="right"/>
              <w:ind w:right="243"/>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20" w:type="dxa"/>
            <w:vAlign w:val="bottom"/>
          </w:tcPr>
          <w:p>
            <w:pPr>
              <w:spacing w:after="0"/>
              <w:rPr>
                <w:sz w:val="10"/>
                <w:szCs w:val="10"/>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ind w:left="218"/>
              <w:spacing w:after="0"/>
              <w:rPr>
                <w:sz w:val="20"/>
                <w:szCs w:val="20"/>
                <w:color w:val="auto"/>
              </w:rPr>
            </w:pPr>
            <w:r>
              <w:rPr>
                <w:rFonts w:ascii="Arial" w:cs="Arial" w:eastAsia="Arial" w:hAnsi="Arial"/>
                <w:sz w:val="13"/>
                <w:szCs w:val="13"/>
                <w:color w:val="0000FF"/>
                <w:w w:val="85"/>
              </w:rPr>
              <w:t>3,628</w:t>
            </w:r>
          </w:p>
        </w:tc>
        <w:tc>
          <w:tcPr>
            <w:tcW w:w="780" w:type="dxa"/>
            <w:vAlign w:val="bottom"/>
          </w:tcPr>
          <w:p>
            <w:pPr>
              <w:jc w:val="right"/>
              <w:ind w:right="301"/>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gridSpan w:val="2"/>
          </w:tcPr>
          <w:p>
            <w:pPr>
              <w:jc w:val="center"/>
              <w:ind w:right="29"/>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3,628</w:t>
            </w:r>
          </w:p>
        </w:tc>
        <w:tc>
          <w:tcPr>
            <w:tcW w:w="7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09"/>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760" w:type="dxa"/>
            <w:vAlign w:val="bottom"/>
          </w:tcPr>
          <w:p>
            <w:pPr>
              <w:jc w:val="right"/>
              <w:ind w:right="243"/>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20" w:type="dxa"/>
            <w:vAlign w:val="bottom"/>
          </w:tcPr>
          <w:p>
            <w:pPr>
              <w:spacing w:after="0"/>
              <w:rPr>
                <w:sz w:val="10"/>
                <w:szCs w:val="10"/>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ind w:left="218"/>
              <w:spacing w:after="0"/>
              <w:rPr>
                <w:sz w:val="20"/>
                <w:szCs w:val="20"/>
                <w:color w:val="auto"/>
              </w:rPr>
            </w:pPr>
            <w:r>
              <w:rPr>
                <w:rFonts w:ascii="Arial" w:cs="Arial" w:eastAsia="Arial" w:hAnsi="Arial"/>
                <w:sz w:val="13"/>
                <w:szCs w:val="13"/>
                <w:color w:val="0000FF"/>
                <w:w w:val="93"/>
              </w:rPr>
              <w:t>380,986</w:t>
            </w:r>
          </w:p>
        </w:tc>
        <w:tc>
          <w:tcPr>
            <w:tcW w:w="780" w:type="dxa"/>
            <w:vAlign w:val="bottom"/>
          </w:tcPr>
          <w:p>
            <w:pPr>
              <w:jc w:val="right"/>
              <w:ind w:right="301"/>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gridSpan w:val="2"/>
          </w:tcPr>
          <w:p>
            <w:pPr>
              <w:jc w:val="center"/>
              <w:ind w:right="29"/>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7"/>
              </w:rPr>
              <w:t>380,986</w:t>
            </w:r>
          </w:p>
        </w:tc>
        <w:tc>
          <w:tcPr>
            <w:tcW w:w="7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09"/>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760" w:type="dxa"/>
            <w:vAlign w:val="bottom"/>
          </w:tcPr>
          <w:p>
            <w:pPr>
              <w:jc w:val="right"/>
              <w:ind w:right="243"/>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20" w:type="dxa"/>
            <w:vAlign w:val="bottom"/>
          </w:tcPr>
          <w:p>
            <w:pPr>
              <w:spacing w:after="0"/>
              <w:rPr>
                <w:sz w:val="10"/>
                <w:szCs w:val="10"/>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ind w:left="218"/>
              <w:spacing w:after="0"/>
              <w:rPr>
                <w:sz w:val="20"/>
                <w:szCs w:val="20"/>
                <w:color w:val="auto"/>
              </w:rPr>
            </w:pPr>
            <w:r>
              <w:rPr>
                <w:rFonts w:ascii="Arial" w:cs="Arial" w:eastAsia="Arial" w:hAnsi="Arial"/>
                <w:sz w:val="13"/>
                <w:szCs w:val="13"/>
                <w:color w:val="0000FF"/>
                <w:w w:val="92"/>
              </w:rPr>
              <w:t>739</w:t>
            </w:r>
          </w:p>
        </w:tc>
        <w:tc>
          <w:tcPr>
            <w:tcW w:w="780" w:type="dxa"/>
            <w:vAlign w:val="bottom"/>
          </w:tcPr>
          <w:p>
            <w:pPr>
              <w:jc w:val="right"/>
              <w:ind w:right="301"/>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gridSpan w:val="2"/>
          </w:tcPr>
          <w:p>
            <w:pPr>
              <w:jc w:val="center"/>
              <w:ind w:right="29"/>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1"/>
              </w:rPr>
              <w:t>739</w:t>
            </w:r>
          </w:p>
        </w:tc>
        <w:tc>
          <w:tcPr>
            <w:tcW w:w="7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09"/>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760" w:type="dxa"/>
            <w:vAlign w:val="bottom"/>
          </w:tcPr>
          <w:p>
            <w:pPr>
              <w:jc w:val="right"/>
              <w:ind w:right="243"/>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20" w:type="dxa"/>
            <w:vAlign w:val="bottom"/>
          </w:tcPr>
          <w:p>
            <w:pPr>
              <w:spacing w:after="0"/>
              <w:rPr>
                <w:sz w:val="10"/>
                <w:szCs w:val="10"/>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ind w:left="218"/>
              <w:spacing w:after="0"/>
              <w:rPr>
                <w:sz w:val="20"/>
                <w:szCs w:val="20"/>
                <w:color w:val="auto"/>
              </w:rPr>
            </w:pPr>
            <w:r>
              <w:rPr>
                <w:rFonts w:ascii="Arial" w:cs="Arial" w:eastAsia="Arial" w:hAnsi="Arial"/>
                <w:sz w:val="13"/>
                <w:szCs w:val="13"/>
                <w:color w:val="0000FF"/>
                <w:w w:val="90"/>
              </w:rPr>
              <w:t>77,697</w:t>
            </w:r>
          </w:p>
        </w:tc>
        <w:tc>
          <w:tcPr>
            <w:tcW w:w="780" w:type="dxa"/>
            <w:vAlign w:val="bottom"/>
          </w:tcPr>
          <w:p>
            <w:pPr>
              <w:jc w:val="right"/>
              <w:ind w:right="301"/>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gridSpan w:val="2"/>
          </w:tcPr>
          <w:p>
            <w:pPr>
              <w:jc w:val="center"/>
              <w:ind w:right="29"/>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77,697</w:t>
            </w:r>
          </w:p>
        </w:tc>
        <w:tc>
          <w:tcPr>
            <w:tcW w:w="7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09"/>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E</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760" w:type="dxa"/>
            <w:vAlign w:val="bottom"/>
          </w:tcPr>
          <w:p>
            <w:pPr>
              <w:jc w:val="right"/>
              <w:ind w:right="243"/>
              <w:spacing w:after="0"/>
              <w:rPr>
                <w:sz w:val="20"/>
                <w:szCs w:val="20"/>
                <w:color w:val="auto"/>
              </w:rPr>
            </w:pPr>
            <w:r>
              <w:rPr>
                <w:rFonts w:ascii="Arial" w:cs="Arial" w:eastAsia="Arial" w:hAnsi="Arial"/>
                <w:sz w:val="11"/>
                <w:szCs w:val="11"/>
                <w:color w:val="008000"/>
              </w:rPr>
              <w:t>(4)</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20" w:type="dxa"/>
            <w:vAlign w:val="bottom"/>
          </w:tcPr>
          <w:p>
            <w:pPr>
              <w:spacing w:after="0"/>
              <w:rPr>
                <w:sz w:val="10"/>
                <w:szCs w:val="10"/>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ind w:left="218"/>
              <w:spacing w:after="0"/>
              <w:rPr>
                <w:sz w:val="20"/>
                <w:szCs w:val="20"/>
                <w:color w:val="auto"/>
              </w:rPr>
            </w:pPr>
            <w:r>
              <w:rPr>
                <w:rFonts w:ascii="Arial" w:cs="Arial" w:eastAsia="Arial" w:hAnsi="Arial"/>
                <w:sz w:val="13"/>
                <w:szCs w:val="13"/>
                <w:color w:val="0000FF"/>
                <w:w w:val="85"/>
              </w:rPr>
              <w:t>4,351</w:t>
            </w:r>
          </w:p>
        </w:tc>
        <w:tc>
          <w:tcPr>
            <w:tcW w:w="780" w:type="dxa"/>
            <w:vAlign w:val="bottom"/>
          </w:tcPr>
          <w:p>
            <w:pPr>
              <w:jc w:val="right"/>
              <w:ind w:right="301"/>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40" w:type="dxa"/>
            <w:vAlign w:val="bottom"/>
            <w:gridSpan w:val="2"/>
          </w:tcPr>
          <w:p>
            <w:pPr>
              <w:jc w:val="center"/>
              <w:ind w:right="29"/>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6,744</w:t>
            </w:r>
          </w:p>
        </w:tc>
        <w:tc>
          <w:tcPr>
            <w:tcW w:w="7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09"/>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E</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760" w:type="dxa"/>
            <w:vAlign w:val="bottom"/>
          </w:tcPr>
          <w:p>
            <w:pPr>
              <w:jc w:val="right"/>
              <w:ind w:right="243"/>
              <w:spacing w:after="0"/>
              <w:rPr>
                <w:sz w:val="20"/>
                <w:szCs w:val="20"/>
                <w:color w:val="auto"/>
              </w:rPr>
            </w:pPr>
            <w:r>
              <w:rPr>
                <w:rFonts w:ascii="Arial" w:cs="Arial" w:eastAsia="Arial" w:hAnsi="Arial"/>
                <w:sz w:val="11"/>
                <w:szCs w:val="11"/>
                <w:color w:val="008000"/>
              </w:rPr>
              <w:t>(4)</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20" w:type="dxa"/>
            <w:vAlign w:val="bottom"/>
          </w:tcPr>
          <w:p>
            <w:pPr>
              <w:spacing w:after="0"/>
              <w:rPr>
                <w:sz w:val="10"/>
                <w:szCs w:val="10"/>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ind w:left="218"/>
              <w:spacing w:after="0"/>
              <w:rPr>
                <w:sz w:val="20"/>
                <w:szCs w:val="20"/>
                <w:color w:val="auto"/>
              </w:rPr>
            </w:pPr>
            <w:r>
              <w:rPr>
                <w:rFonts w:ascii="Arial" w:cs="Arial" w:eastAsia="Arial" w:hAnsi="Arial"/>
                <w:sz w:val="13"/>
                <w:szCs w:val="13"/>
                <w:color w:val="0000FF"/>
                <w:w w:val="93"/>
              </w:rPr>
              <w:t>456,870</w:t>
            </w:r>
          </w:p>
        </w:tc>
        <w:tc>
          <w:tcPr>
            <w:tcW w:w="780" w:type="dxa"/>
            <w:vAlign w:val="bottom"/>
          </w:tcPr>
          <w:p>
            <w:pPr>
              <w:jc w:val="right"/>
              <w:ind w:right="301"/>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40" w:type="dxa"/>
            <w:vAlign w:val="bottom"/>
            <w:gridSpan w:val="2"/>
          </w:tcPr>
          <w:p>
            <w:pPr>
              <w:jc w:val="center"/>
              <w:ind w:right="29"/>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7"/>
              </w:rPr>
              <w:t>708,201</w:t>
            </w:r>
          </w:p>
        </w:tc>
        <w:tc>
          <w:tcPr>
            <w:tcW w:w="7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09"/>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2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Borders>
              <w:bottom w:val="single" w:sz="8" w:color="0000EE"/>
            </w:tcBorders>
            <w:gridSpan w:val="3"/>
          </w:tcPr>
          <w:p>
            <w:pPr>
              <w:spacing w:after="0" w:line="217" w:lineRule="exact"/>
              <w:rPr>
                <w:rFonts w:ascii="Arial" w:cs="Arial" w:eastAsia="Arial" w:hAnsi="Arial"/>
                <w:sz w:val="21"/>
                <w:szCs w:val="21"/>
                <w:color w:val="0000EE"/>
                <w:w w:val="97"/>
              </w:rPr>
            </w:pPr>
            <w:hyperlink r:id="rId12">
              <w:r>
                <w:rPr>
                  <w:rFonts w:ascii="Arial" w:cs="Arial" w:eastAsia="Arial" w:hAnsi="Arial"/>
                  <w:sz w:val="21"/>
                  <w:szCs w:val="21"/>
                  <w:color w:val="0000EE"/>
                  <w:w w:val="97"/>
                </w:rPr>
                <w:t>ORBIMED ADVISORS LLC</w:t>
              </w:r>
            </w:hyperlink>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auto"/>
              </w:rPr>
              <w:t>(First)</w:t>
            </w:r>
          </w:p>
        </w:tc>
        <w:tc>
          <w:tcPr>
            <w:tcW w:w="1120" w:type="dxa"/>
            <w:vAlign w:val="bottom"/>
          </w:tcPr>
          <w:p>
            <w:pPr>
              <w:ind w:left="40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7291070</wp:posOffset>
            </wp:positionH>
            <wp:positionV relativeFrom="paragraph">
              <wp:posOffset>-4765040</wp:posOffset>
            </wp:positionV>
            <wp:extent cx="24130" cy="4140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4140200"/>
                    </a:xfrm>
                    <a:prstGeom prst="rect">
                      <a:avLst/>
                    </a:prstGeom>
                    <a:noFill/>
                  </pic:spPr>
                </pic:pic>
              </a:graphicData>
            </a:graphic>
          </wp:anchor>
        </w:drawing>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601 LEXINGTON AVENUE, 54TH FLOOR</w:t>
      </w:r>
    </w:p>
    <w:p>
      <w:pPr>
        <w:spacing w:after="0" w:line="34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520"/>
          </w:cols>
          <w:pgMar w:left="240" w:top="223" w:right="139" w:bottom="0" w:gutter="0" w:footer="0" w:header="0"/>
          <w:type w:val="continuous"/>
        </w:sectPr>
      </w:pPr>
    </w:p>
    <w:p>
      <w:pPr>
        <w:spacing w:after="0" w:line="26" w:lineRule="exact"/>
        <w:rPr>
          <w:sz w:val="24"/>
          <w:szCs w:val="24"/>
          <w:color w:val="auto"/>
        </w:rPr>
      </w:pPr>
    </w:p>
    <w:p>
      <w:pPr>
        <w:ind w:left="120"/>
        <w:spacing w:after="0"/>
        <w:tabs>
          <w:tab w:leader="none" w:pos="1560" w:val="left"/>
          <w:tab w:leader="none" w:pos="3020" w:val="left"/>
        </w:tabs>
        <w:rPr>
          <w:sz w:val="20"/>
          <w:szCs w:val="20"/>
          <w:color w:val="auto"/>
        </w:rPr>
      </w:pPr>
      <w:r>
        <w:rPr>
          <w:rFonts w:ascii="Arial" w:cs="Arial" w:eastAsia="Arial" w:hAnsi="Arial"/>
          <w:sz w:val="17"/>
          <w:szCs w:val="17"/>
          <w:color w:val="0000FF"/>
        </w:rPr>
        <w:t>NEW YORK</w:t>
      </w:r>
      <w:r>
        <w:rPr>
          <w:sz w:val="20"/>
          <w:szCs w:val="20"/>
          <w:color w:val="auto"/>
        </w:rPr>
        <w:tab/>
      </w:r>
      <w:r>
        <w:rPr>
          <w:rFonts w:ascii="Arial" w:cs="Arial" w:eastAsia="Arial" w:hAnsi="Arial"/>
          <w:sz w:val="17"/>
          <w:szCs w:val="17"/>
          <w:color w:val="0000FF"/>
        </w:rPr>
        <w:t>NY</w:t>
      </w:r>
      <w:r>
        <w:rPr>
          <w:sz w:val="20"/>
          <w:szCs w:val="20"/>
          <w:color w:val="auto"/>
        </w:rPr>
        <w:tab/>
      </w:r>
      <w:r>
        <w:rPr>
          <w:rFonts w:ascii="Arial" w:cs="Arial" w:eastAsia="Arial" w:hAnsi="Arial"/>
          <w:sz w:val="15"/>
          <w:szCs w:val="15"/>
          <w:color w:val="0000FF"/>
        </w:rPr>
        <w:t>10022</w:t>
      </w:r>
    </w:p>
    <w:p>
      <w:pPr>
        <w:sectPr>
          <w:pgSz w:w="11900" w:h="16838" w:orient="portrait"/>
          <w:cols w:equalWidth="0" w:num="1">
            <w:col w:w="11520"/>
          </w:cols>
          <w:pgMar w:left="240" w:top="223"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2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6"/>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3"/>
        </w:trPr>
        <w:tc>
          <w:tcPr>
            <w:tcW w:w="28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7"/>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gridSpan w:val="4"/>
          </w:tcPr>
          <w:p>
            <w:pPr>
              <w:spacing w:after="0" w:line="217" w:lineRule="exact"/>
              <w:rPr>
                <w:rFonts w:ascii="Arial" w:cs="Arial" w:eastAsia="Arial" w:hAnsi="Arial"/>
                <w:sz w:val="21"/>
                <w:szCs w:val="21"/>
                <w:color w:val="0000EE"/>
              </w:rPr>
            </w:pPr>
            <w:hyperlink r:id="rId15">
              <w:r>
                <w:rPr>
                  <w:rFonts w:ascii="Arial" w:cs="Arial" w:eastAsia="Arial" w:hAnsi="Arial"/>
                  <w:sz w:val="21"/>
                  <w:szCs w:val="21"/>
                  <w:color w:val="0000EE"/>
                </w:rPr>
                <w:t>OrbiMed Capital GP III LLC</w:t>
              </w:r>
            </w:hyperlink>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9"/>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9"/>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3"/>
          </w:tcPr>
          <w:p>
            <w:pPr>
              <w:ind w:left="28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3"/>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40" w:type="dxa"/>
            <w:vAlign w:val="bottom"/>
            <w:gridSpan w:val="6"/>
          </w:tcPr>
          <w:p>
            <w:pPr>
              <w:spacing w:after="0"/>
              <w:rPr>
                <w:sz w:val="20"/>
                <w:szCs w:val="20"/>
                <w:color w:val="auto"/>
              </w:rPr>
            </w:pPr>
            <w:r>
              <w:rPr>
                <w:rFonts w:ascii="Arial" w:cs="Arial" w:eastAsia="Arial" w:hAnsi="Arial"/>
                <w:sz w:val="17"/>
                <w:szCs w:val="17"/>
                <w:color w:val="0000FF"/>
              </w:rPr>
              <w:t>601 LEXINGTON AVENUE, 54TH FLOOR</w:t>
            </w:r>
          </w:p>
        </w:tc>
      </w:tr>
      <w:tr>
        <w:trPr>
          <w:trHeight w:val="204"/>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0"/>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3"/>
          </w:tcPr>
          <w:p>
            <w:pPr>
              <w:ind w:left="280"/>
              <w:spacing w:after="0"/>
              <w:rPr>
                <w:sz w:val="20"/>
                <w:szCs w:val="20"/>
                <w:color w:val="auto"/>
              </w:rPr>
            </w:pPr>
            <w:r>
              <w:rPr>
                <w:rFonts w:ascii="Arial" w:cs="Arial" w:eastAsia="Arial" w:hAnsi="Arial"/>
                <w:sz w:val="17"/>
                <w:szCs w:val="17"/>
                <w:color w:val="0000FF"/>
              </w:rPr>
              <w:t>NY</w:t>
            </w:r>
          </w:p>
        </w:tc>
        <w:tc>
          <w:tcPr>
            <w:tcW w:w="1640" w:type="dxa"/>
            <w:vAlign w:val="bottom"/>
          </w:tcPr>
          <w:p>
            <w:pPr>
              <w:ind w:left="22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9"/>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2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6"/>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3"/>
        </w:trPr>
        <w:tc>
          <w:tcPr>
            <w:tcW w:w="28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7"/>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gridSpan w:val="4"/>
          </w:tcPr>
          <w:p>
            <w:pPr>
              <w:spacing w:after="0" w:line="217" w:lineRule="exact"/>
              <w:rPr>
                <w:rFonts w:ascii="Arial" w:cs="Arial" w:eastAsia="Arial" w:hAnsi="Arial"/>
                <w:sz w:val="21"/>
                <w:szCs w:val="21"/>
                <w:color w:val="0000EE"/>
              </w:rPr>
            </w:pPr>
            <w:hyperlink r:id="rId16">
              <w:r>
                <w:rPr>
                  <w:rFonts w:ascii="Arial" w:cs="Arial" w:eastAsia="Arial" w:hAnsi="Arial"/>
                  <w:sz w:val="21"/>
                  <w:szCs w:val="21"/>
                  <w:color w:val="0000EE"/>
                </w:rPr>
                <w:t>ISALY SAMUEL D</w:t>
              </w:r>
            </w:hyperlink>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9"/>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9"/>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3"/>
          </w:tcPr>
          <w:p>
            <w:pPr>
              <w:ind w:left="28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3"/>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40" w:type="dxa"/>
            <w:vAlign w:val="bottom"/>
            <w:gridSpan w:val="6"/>
          </w:tcPr>
          <w:p>
            <w:pPr>
              <w:spacing w:after="0"/>
              <w:rPr>
                <w:sz w:val="20"/>
                <w:szCs w:val="20"/>
                <w:color w:val="auto"/>
              </w:rPr>
            </w:pPr>
            <w:r>
              <w:rPr>
                <w:rFonts w:ascii="Arial" w:cs="Arial" w:eastAsia="Arial" w:hAnsi="Arial"/>
                <w:sz w:val="17"/>
                <w:szCs w:val="17"/>
                <w:color w:val="0000FF"/>
              </w:rPr>
              <w:t>601 LEXINGTON AVENUE, 54TH FLOOR</w:t>
            </w:r>
          </w:p>
        </w:tc>
      </w:tr>
      <w:tr>
        <w:trPr>
          <w:trHeight w:val="204"/>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0"/>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3"/>
          </w:tcPr>
          <w:p>
            <w:pPr>
              <w:ind w:left="280"/>
              <w:spacing w:after="0"/>
              <w:rPr>
                <w:sz w:val="20"/>
                <w:szCs w:val="20"/>
                <w:color w:val="auto"/>
              </w:rPr>
            </w:pPr>
            <w:r>
              <w:rPr>
                <w:rFonts w:ascii="Arial" w:cs="Arial" w:eastAsia="Arial" w:hAnsi="Arial"/>
                <w:sz w:val="17"/>
                <w:szCs w:val="17"/>
                <w:color w:val="0000FF"/>
              </w:rPr>
              <w:t>NY</w:t>
            </w:r>
          </w:p>
        </w:tc>
        <w:tc>
          <w:tcPr>
            <w:tcW w:w="1640" w:type="dxa"/>
            <w:vAlign w:val="bottom"/>
          </w:tcPr>
          <w:p>
            <w:pPr>
              <w:ind w:left="22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9"/>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2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2921000" cy="3522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1000" cy="35223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20" w:right="60" w:firstLine="4"/>
        <w:spacing w:after="0" w:line="242"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reportable securities are owned directly by OrbiMed Associates III, LP ("Associates III"). OrbiMed Advisors LLC ("Advisors") is the general partner of Associates III. Samuel D. Isaly ("Isaly"), a natural person, is the managing member of and owner of a controlling interest in Advisors. By virtue of such relationships, Advisors and Isaly may be deemed to have voting and investment power over the securities held by Associates III and as a result may be deemed to have beneficial ownership over such securities.</w:t>
      </w:r>
    </w:p>
    <w:p>
      <w:pPr>
        <w:spacing w:after="0" w:line="31" w:lineRule="exact"/>
        <w:rPr>
          <w:rFonts w:ascii="Arial" w:cs="Arial" w:eastAsia="Arial" w:hAnsi="Arial"/>
          <w:sz w:val="13"/>
          <w:szCs w:val="13"/>
          <w:color w:val="008000"/>
        </w:rPr>
      </w:pPr>
    </w:p>
    <w:p>
      <w:pPr>
        <w:ind w:left="20" w:right="120" w:firstLine="4"/>
        <w:spacing w:after="0" w:line="242"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reportable securities are owned directly by OrbiMed Private Investments III, LP ("OPI III"). OrbiMed Capital GP III LLC ("GP III") is the general partner of OPI III, and Advisors is the managing member of GP III. Isaly is the managing member of and owner of a controlling interest in Advisors. By virtue of such relationships, GP III, Advisors and Isaly may be deemed to have voting and investment power over the securities held by OPI III and as a result may be deemed to have beneficial ownership over such securities.</w:t>
      </w:r>
    </w:p>
    <w:p>
      <w:pPr>
        <w:spacing w:after="0" w:line="31" w:lineRule="exact"/>
        <w:rPr>
          <w:rFonts w:ascii="Arial" w:cs="Arial" w:eastAsia="Arial" w:hAnsi="Arial"/>
          <w:sz w:val="13"/>
          <w:szCs w:val="13"/>
          <w:color w:val="008000"/>
        </w:rPr>
      </w:pPr>
    </w:p>
    <w:p>
      <w:pPr>
        <w:ind w:left="20" w:right="160" w:firstLine="4"/>
        <w:spacing w:after="0" w:line="254"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preferred stock is convertible at any time, at the holder's election and has no expiration date. The preferred stock automatically converted into common stock on a 1-for-1 basis upon the closing of the Issuer's initial public offering.</w:t>
      </w:r>
    </w:p>
    <w:p>
      <w:pPr>
        <w:spacing w:after="0" w:line="23" w:lineRule="exact"/>
        <w:rPr>
          <w:rFonts w:ascii="Arial" w:cs="Arial" w:eastAsia="Arial" w:hAnsi="Arial"/>
          <w:sz w:val="13"/>
          <w:szCs w:val="13"/>
          <w:color w:val="008000"/>
        </w:rPr>
      </w:pPr>
    </w:p>
    <w:p>
      <w:pPr>
        <w:ind w:left="20" w:right="140" w:firstLine="4"/>
        <w:spacing w:after="0" w:line="254"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Series E Convertible Preferred Stock is convertible at any time, at the holder's election and has no expiration date. The Series E Convertible Preferred Stock automatically converted into common stock on an approximately 1-for-1.550115 basis upon the closing of the Issuer's initial public offering.</w:t>
      </w:r>
    </w:p>
    <w:p>
      <w:pPr>
        <w:spacing w:after="0" w:line="23" w:lineRule="exact"/>
        <w:rPr>
          <w:rFonts w:ascii="Arial" w:cs="Arial" w:eastAsia="Arial" w:hAnsi="Arial"/>
          <w:sz w:val="13"/>
          <w:szCs w:val="13"/>
          <w:color w:val="008000"/>
        </w:rPr>
      </w:pPr>
    </w:p>
    <w:p>
      <w:pPr>
        <w:jc w:val="both"/>
        <w:ind w:left="20" w:firstLine="4"/>
        <w:spacing w:after="0" w:line="308" w:lineRule="auto"/>
        <w:tabs>
          <w:tab w:leader="none" w:pos="15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report on Form 4 is jointly filed by GP III, Advisors, and Isaly. Each of the Reporting Persons disclaims beneficial ownership of the securities reported herein for purposes of Rule 16a-1(a) under the Securities Exchange Act of 1934, as amended (the "Exchange Act"), except to the extent of its or his pecuniary interest therein, if any. The Reporting Persons have designated Dr. Carl Gordon, a member of Advisors, to serve on the Issuer's board of directors. This report shall not be deemed an admission that any of the Reporting Persons is a beneficial owner for the purpose of Section 16 of the Exchange Act, or for any other purpose.</w:t>
      </w:r>
    </w:p>
    <w:p>
      <w:pPr>
        <w:spacing w:after="0" w:line="6"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Samuel D. Isaly</w:t>
            </w:r>
          </w:p>
        </w:tc>
        <w:tc>
          <w:tcPr>
            <w:tcW w:w="10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06/29/2016</w:t>
            </w:r>
          </w:p>
        </w:tc>
      </w:tr>
      <w:tr>
        <w:trPr>
          <w:trHeight w:val="227"/>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20" w:right="3780" w:firstLine="4"/>
        <w:spacing w:after="0" w:line="313" w:lineRule="auto"/>
        <w:tabs>
          <w:tab w:leader="none" w:pos="15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30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055951" TargetMode="External"/><Relationship Id="rId13" Type="http://schemas.openxmlformats.org/officeDocument/2006/relationships/hyperlink" Target="http://www.sec.gov/cgi-bin/browse-edgar?action=getcompany&amp;CIK=0001453687" TargetMode="External"/><Relationship Id="rId15" Type="http://schemas.openxmlformats.org/officeDocument/2006/relationships/hyperlink" Target="http://www.sec.gov/cgi-bin/browse-edgar?action=getcompany&amp;CIK=0001432241" TargetMode="External"/><Relationship Id="rId16" Type="http://schemas.openxmlformats.org/officeDocument/2006/relationships/hyperlink" Target="http://www.sec.gov/cgi-bin/browse-edgar?action=getcompany&amp;CIK=00010559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2019-12-23T20:17:10Z</dcterms:created>
  <dcterms:modified xsi:type="dcterms:W3CDTF">2019-12-23T20:17:10Z</dcterms:modified>
</cp:coreProperties>
</file>