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295910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304800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79"/>
        <w:spacing w:after="0"/>
        <w:rPr>
          <w:sz w:val="20"/>
          <w:szCs w:val="20"/>
          <w:color w:val="auto"/>
        </w:rPr>
      </w:pPr>
      <w:r>
        <w:rPr>
          <w:rFonts w:ascii="Arial" w:cs="Arial" w:eastAsia="Arial" w:hAnsi="Arial"/>
          <w:sz w:val="40"/>
          <w:szCs w:val="40"/>
          <w:b w:val="1"/>
          <w:bCs w:val="1"/>
          <w:color w:val="auto"/>
        </w:rPr>
        <w:t>Selecta Biosciences, Inc.</w:t>
      </w:r>
    </w:p>
    <w:p>
      <w:pPr>
        <w:spacing w:after="0" w:line="3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Common Stock, $0.0001 par value per share</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816212104</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Mark A. Haddad</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Foley Hoag LLP</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155 Seaport Boulevard</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Boston, MA 02210</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Tel: (617) 832-1000</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Fax: (617) 832-7000</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August 20, 2019</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296545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6997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3" w:lineRule="exact"/>
        <w:rPr>
          <w:sz w:val="24"/>
          <w:szCs w:val="24"/>
          <w:color w:val="auto"/>
        </w:rPr>
      </w:pPr>
    </w:p>
    <w:p>
      <w:pPr>
        <w:ind w:right="26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 for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to whom copies are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6997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08" w:lineRule="exact"/>
        <w:rPr>
          <w:sz w:val="24"/>
          <w:szCs w:val="24"/>
          <w:color w:val="auto"/>
        </w:rPr>
      </w:pPr>
    </w:p>
    <w:p>
      <w:pPr>
        <w:ind w:left="440" w:hanging="436"/>
        <w:spacing w:after="0" w:line="308" w:lineRule="auto"/>
        <w:tabs>
          <w:tab w:leader="none" w:pos="44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7" w:lineRule="exact"/>
        <w:rPr>
          <w:sz w:val="24"/>
          <w:szCs w:val="24"/>
          <w:color w:val="auto"/>
        </w:rPr>
      </w:pPr>
    </w:p>
    <w:p>
      <w:pPr>
        <w:ind w:right="20"/>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149860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193040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960"/>
          </w:cols>
          <w:pgMar w:left="440" w:top="517" w:right="4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360" w:type="dxa"/>
            <w:vAlign w:val="bottom"/>
          </w:tcPr>
          <w:p>
            <w:pPr>
              <w:ind w:left="3660"/>
              <w:spacing w:after="0"/>
              <w:rPr>
                <w:sz w:val="20"/>
                <w:szCs w:val="20"/>
                <w:color w:val="auto"/>
              </w:rPr>
            </w:pPr>
            <w:r>
              <w:rPr>
                <w:rFonts w:ascii="Arial" w:cs="Arial" w:eastAsia="Arial" w:hAnsi="Arial"/>
                <w:sz w:val="18"/>
                <w:szCs w:val="18"/>
                <w:b w:val="1"/>
                <w:bCs w:val="1"/>
                <w:color w:val="auto"/>
              </w:rPr>
              <w:t>13D</w:t>
            </w:r>
          </w:p>
        </w:tc>
        <w:tc>
          <w:tcPr>
            <w:tcW w:w="0" w:type="dxa"/>
            <w:vAlign w:val="bottom"/>
          </w:tcPr>
          <w:p>
            <w:pPr>
              <w:spacing w:after="0"/>
              <w:rPr>
                <w:sz w:val="1"/>
                <w:szCs w:val="1"/>
                <w:color w:val="auto"/>
              </w:rPr>
            </w:pPr>
          </w:p>
        </w:tc>
      </w:tr>
      <w:tr>
        <w:trPr>
          <w:trHeight w:val="338"/>
        </w:trPr>
        <w:tc>
          <w:tcPr>
            <w:tcW w:w="1700" w:type="dxa"/>
            <w:vAlign w:val="bottom"/>
            <w:gridSpan w:val="6"/>
          </w:tcPr>
          <w:p>
            <w:pPr>
              <w:spacing w:after="0"/>
              <w:rPr>
                <w:sz w:val="20"/>
                <w:szCs w:val="20"/>
                <w:color w:val="auto"/>
              </w:rPr>
            </w:pPr>
            <w:r>
              <w:rPr>
                <w:rFonts w:ascii="Arial" w:cs="Arial" w:eastAsia="Arial" w:hAnsi="Arial"/>
                <w:sz w:val="18"/>
                <w:szCs w:val="18"/>
                <w:b w:val="1"/>
                <w:bCs w:val="1"/>
                <w:color w:val="auto"/>
                <w:w w:val="91"/>
              </w:rPr>
              <w:t>CUSIP No. 816212104</w:t>
            </w:r>
          </w:p>
        </w:tc>
        <w:tc>
          <w:tcPr>
            <w:tcW w:w="9360" w:type="dxa"/>
            <w:vAlign w:val="bottom"/>
          </w:tcPr>
          <w:p>
            <w:pPr>
              <w:ind w:left="8000"/>
              <w:spacing w:after="0"/>
              <w:rPr>
                <w:sz w:val="20"/>
                <w:szCs w:val="20"/>
                <w:color w:val="auto"/>
              </w:rPr>
            </w:pPr>
            <w:r>
              <w:rPr>
                <w:rFonts w:ascii="Arial" w:cs="Arial" w:eastAsia="Arial" w:hAnsi="Arial"/>
                <w:sz w:val="18"/>
                <w:szCs w:val="18"/>
                <w:b w:val="1"/>
                <w:bCs w:val="1"/>
                <w:color w:val="auto"/>
                <w:w w:val="86"/>
              </w:rPr>
              <w:t>Page 2 of 8 Pages</w:t>
            </w: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600" w:type="dxa"/>
            <w:vAlign w:val="bottom"/>
            <w:tcBorders>
              <w:bottom w:val="single" w:sz="8" w:color="auto"/>
            </w:tcBorders>
            <w:gridSpan w:val="4"/>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Timothy A. Springer</w:t>
            </w:r>
          </w:p>
        </w:tc>
        <w:tc>
          <w:tcPr>
            <w:tcW w:w="0" w:type="dxa"/>
            <w:vAlign w:val="bottom"/>
          </w:tcPr>
          <w:p>
            <w:pPr>
              <w:spacing w:after="0"/>
              <w:rPr>
                <w:sz w:val="1"/>
                <w:szCs w:val="1"/>
                <w:color w:val="auto"/>
              </w:rPr>
            </w:pPr>
          </w:p>
        </w:tc>
      </w:tr>
      <w:tr>
        <w:trPr>
          <w:trHeight w:val="169"/>
        </w:trPr>
        <w:tc>
          <w:tcPr>
            <w:tcW w:w="40" w:type="dxa"/>
            <w:vAlign w:val="bottom"/>
            <w:tcBorders>
              <w:right w:val="single" w:sz="8" w:color="auto"/>
            </w:tcBorders>
          </w:tcPr>
          <w:p>
            <w:pPr>
              <w:spacing w:after="0"/>
              <w:rPr>
                <w:sz w:val="14"/>
                <w:szCs w:val="14"/>
                <w:color w:val="auto"/>
              </w:rPr>
            </w:pPr>
          </w:p>
        </w:tc>
        <w:tc>
          <w:tcPr>
            <w:tcW w:w="36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60" w:type="dxa"/>
            <w:vAlign w:val="bottom"/>
            <w:tcBorders>
              <w:right w:val="single" w:sz="8" w:color="auto"/>
            </w:tcBorders>
          </w:tcPr>
          <w:p>
            <w:pPr>
              <w:spacing w:after="0"/>
              <w:rPr>
                <w:sz w:val="14"/>
                <w:szCs w:val="14"/>
                <w:color w:val="auto"/>
              </w:rPr>
            </w:pPr>
          </w:p>
        </w:tc>
        <w:tc>
          <w:tcPr>
            <w:tcW w:w="10600" w:type="dxa"/>
            <w:vAlign w:val="bottom"/>
            <w:tcBorders>
              <w:right w:val="single" w:sz="8" w:color="auto"/>
            </w:tcBorders>
            <w:gridSpan w:val="4"/>
          </w:tcPr>
          <w:p>
            <w:pPr>
              <w:ind w:left="8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74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860" w:type="dxa"/>
            <w:vAlign w:val="bottom"/>
            <w:tcBorders>
              <w:right w:val="single" w:sz="8" w:color="auto"/>
            </w:tcBorders>
            <w:gridSpan w:val="3"/>
          </w:tcPr>
          <w:p>
            <w:pPr>
              <w:ind w:left="1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vMerge w:val="restart"/>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tcBorders>
            <w:gridSpan w:val="3"/>
          </w:tcPr>
          <w:p>
            <w:pPr>
              <w:spacing w:after="0"/>
              <w:rPr>
                <w:sz w:val="20"/>
                <w:szCs w:val="20"/>
                <w:color w:val="auto"/>
              </w:rPr>
            </w:pPr>
          </w:p>
        </w:tc>
        <w:tc>
          <w:tcPr>
            <w:tcW w:w="9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right w:val="single" w:sz="8" w:color="auto"/>
            </w:tcBorders>
          </w:tcPr>
          <w:p>
            <w:pPr>
              <w:spacing w:after="0"/>
              <w:rPr>
                <w:sz w:val="19"/>
                <w:szCs w:val="19"/>
                <w:color w:val="auto"/>
              </w:rPr>
            </w:pPr>
          </w:p>
        </w:tc>
        <w:tc>
          <w:tcPr>
            <w:tcW w:w="1240" w:type="dxa"/>
            <w:vAlign w:val="bottom"/>
            <w:gridSpan w:val="3"/>
          </w:tcPr>
          <w:p>
            <w:pPr>
              <w:ind w:left="80"/>
              <w:spacing w:after="0"/>
              <w:rPr>
                <w:sz w:val="20"/>
                <w:szCs w:val="20"/>
                <w:color w:val="auto"/>
              </w:rPr>
            </w:pPr>
            <w:r>
              <w:rPr>
                <w:rFonts w:ascii="Arial" w:cs="Arial" w:eastAsia="Arial" w:hAnsi="Arial"/>
                <w:sz w:val="18"/>
                <w:szCs w:val="18"/>
                <w:color w:val="auto"/>
                <w:w w:val="98"/>
              </w:rPr>
              <w:t>SEC Use Only</w:t>
            </w:r>
          </w:p>
        </w:tc>
        <w:tc>
          <w:tcPr>
            <w:tcW w:w="9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vMerge w:val="restart"/>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0" w:type="dxa"/>
            <w:vAlign w:val="bottom"/>
            <w:tcBorders>
              <w:bottom w:val="single" w:sz="8" w:color="auto"/>
              <w:right w:val="single" w:sz="8" w:color="auto"/>
            </w:tcBorders>
          </w:tcPr>
          <w:p>
            <w:pPr>
              <w:spacing w:after="0"/>
              <w:rPr>
                <w:sz w:val="21"/>
                <w:szCs w:val="21"/>
                <w:color w:val="auto"/>
              </w:rPr>
            </w:pPr>
          </w:p>
        </w:tc>
        <w:tc>
          <w:tcPr>
            <w:tcW w:w="10600" w:type="dxa"/>
            <w:vAlign w:val="bottom"/>
            <w:tcBorders>
              <w:bottom w:val="single" w:sz="8" w:color="auto"/>
              <w:right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PF</w:t>
            </w: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vMerge w:val="restart"/>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0" w:type="dxa"/>
            <w:vAlign w:val="bottom"/>
            <w:tcBorders>
              <w:bottom w:val="single" w:sz="8" w:color="auto"/>
              <w:right w:val="single" w:sz="8" w:color="auto"/>
            </w:tcBorders>
          </w:tcPr>
          <w:p>
            <w:pPr>
              <w:spacing w:after="0"/>
              <w:rPr>
                <w:sz w:val="21"/>
                <w:szCs w:val="21"/>
                <w:color w:val="auto"/>
              </w:rPr>
            </w:pPr>
          </w:p>
        </w:tc>
        <w:tc>
          <w:tcPr>
            <w:tcW w:w="10600" w:type="dxa"/>
            <w:vAlign w:val="bottom"/>
            <w:tcBorders>
              <w:bottom w:val="single" w:sz="8" w:color="auto"/>
              <w:right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United States</w:t>
            </w:r>
          </w:p>
        </w:tc>
        <w:tc>
          <w:tcPr>
            <w:tcW w:w="9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0"/>
                <w:szCs w:val="20"/>
                <w:color w:val="auto"/>
              </w:rPr>
            </w:pPr>
          </w:p>
        </w:tc>
        <w:tc>
          <w:tcPr>
            <w:tcW w:w="9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4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2"/>
              </w:rPr>
              <w:t>Number of</w:t>
            </w:r>
          </w:p>
        </w:tc>
        <w:tc>
          <w:tcPr>
            <w:tcW w:w="44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9,030,789 shares</w:t>
            </w: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80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84"/>
              </w:rPr>
              <w:t>Shares</w:t>
            </w:r>
          </w:p>
        </w:tc>
        <w:tc>
          <w:tcPr>
            <w:tcW w:w="44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9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4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Borders>
              <w:right w:val="single" w:sz="8" w:color="auto"/>
            </w:tcBorders>
            <w:gridSpan w:val="2"/>
            <w:vMerge w:val="continue"/>
          </w:tcPr>
          <w:p>
            <w:pPr>
              <w:spacing w:after="0"/>
              <w:rPr>
                <w:sz w:val="11"/>
                <w:szCs w:val="11"/>
                <w:color w:val="auto"/>
              </w:rPr>
            </w:pPr>
          </w:p>
        </w:tc>
        <w:tc>
          <w:tcPr>
            <w:tcW w:w="44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1"/>
                <w:szCs w:val="11"/>
                <w:color w:val="auto"/>
              </w:rPr>
            </w:pPr>
          </w:p>
        </w:tc>
        <w:tc>
          <w:tcPr>
            <w:tcW w:w="9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40" w:type="dxa"/>
            <w:vAlign w:val="bottom"/>
            <w:tcBorders>
              <w:right w:val="single" w:sz="8" w:color="auto"/>
            </w:tcBorders>
          </w:tcPr>
          <w:p>
            <w:pPr>
              <w:spacing w:after="0"/>
              <w:rPr>
                <w:sz w:val="8"/>
                <w:szCs w:val="8"/>
                <w:color w:val="auto"/>
              </w:rPr>
            </w:pPr>
          </w:p>
        </w:tc>
        <w:tc>
          <w:tcPr>
            <w:tcW w:w="116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6"/>
              </w:rPr>
              <w:t>Beneficially</w:t>
            </w:r>
          </w:p>
        </w:tc>
        <w:tc>
          <w:tcPr>
            <w:tcW w:w="44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9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40" w:type="dxa"/>
            <w:vAlign w:val="bottom"/>
            <w:tcBorders>
              <w:right w:val="single" w:sz="8" w:color="auto"/>
            </w:tcBorders>
          </w:tcPr>
          <w:p>
            <w:pPr>
              <w:spacing w:after="0"/>
              <w:rPr>
                <w:sz w:val="10"/>
                <w:szCs w:val="10"/>
                <w:color w:val="auto"/>
              </w:rPr>
            </w:pPr>
          </w:p>
        </w:tc>
        <w:tc>
          <w:tcPr>
            <w:tcW w:w="1160" w:type="dxa"/>
            <w:vAlign w:val="bottom"/>
            <w:tcBorders>
              <w:right w:val="single" w:sz="8" w:color="auto"/>
            </w:tcBorders>
            <w:gridSpan w:val="3"/>
            <w:vMerge w:val="continue"/>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93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1"/>
              </w:rPr>
              <w:t>Owned by</w:t>
            </w:r>
          </w:p>
        </w:tc>
        <w:tc>
          <w:tcPr>
            <w:tcW w:w="4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16"/>
        </w:trPr>
        <w:tc>
          <w:tcPr>
            <w:tcW w:w="4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Borders>
              <w:right w:val="single" w:sz="8" w:color="auto"/>
            </w:tcBorders>
            <w:vMerge w:val="restart"/>
          </w:tcPr>
          <w:p>
            <w:pPr>
              <w:jc w:val="center"/>
              <w:ind w:right="210"/>
              <w:spacing w:after="0"/>
              <w:rPr>
                <w:sz w:val="20"/>
                <w:szCs w:val="20"/>
                <w:color w:val="auto"/>
              </w:rPr>
            </w:pPr>
            <w:r>
              <w:rPr>
                <w:rFonts w:ascii="Arial" w:cs="Arial" w:eastAsia="Arial" w:hAnsi="Arial"/>
                <w:sz w:val="18"/>
                <w:szCs w:val="18"/>
                <w:color w:val="auto"/>
                <w:w w:val="87"/>
              </w:rPr>
              <w:t>Each</w:t>
            </w:r>
          </w:p>
        </w:tc>
        <w:tc>
          <w:tcPr>
            <w:tcW w:w="440" w:type="dxa"/>
            <w:vAlign w:val="bottom"/>
            <w:tcBorders>
              <w:bottom w:val="single" w:sz="8" w:color="auto"/>
              <w:right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36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right w:val="single" w:sz="8" w:color="auto"/>
            </w:tcBorders>
            <w:vMerge w:val="continue"/>
          </w:tcPr>
          <w:p>
            <w:pPr>
              <w:spacing w:after="0"/>
              <w:rPr>
                <w:sz w:val="6"/>
                <w:szCs w:val="6"/>
                <w:color w:val="auto"/>
              </w:rPr>
            </w:pPr>
          </w:p>
        </w:tc>
        <w:tc>
          <w:tcPr>
            <w:tcW w:w="44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6"/>
                <w:szCs w:val="6"/>
                <w:color w:val="auto"/>
              </w:rPr>
            </w:pPr>
          </w:p>
        </w:tc>
        <w:tc>
          <w:tcPr>
            <w:tcW w:w="9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4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2"/>
              </w:rPr>
              <w:t>Reporting</w:t>
            </w:r>
          </w:p>
        </w:tc>
        <w:tc>
          <w:tcPr>
            <w:tcW w:w="440" w:type="dxa"/>
            <w:vAlign w:val="bottom"/>
            <w:tcBorders>
              <w:right w:val="single" w:sz="8" w:color="auto"/>
            </w:tcBorders>
            <w:vMerge w:val="continue"/>
          </w:tcPr>
          <w:p>
            <w:pPr>
              <w:spacing w:after="0"/>
              <w:rPr>
                <w:sz w:val="13"/>
                <w:szCs w:val="13"/>
                <w:color w:val="auto"/>
              </w:rPr>
            </w:pPr>
          </w:p>
        </w:tc>
        <w:tc>
          <w:tcPr>
            <w:tcW w:w="60" w:type="dxa"/>
            <w:vAlign w:val="bottom"/>
          </w:tcPr>
          <w:p>
            <w:pPr>
              <w:spacing w:after="0"/>
              <w:rPr>
                <w:sz w:val="13"/>
                <w:szCs w:val="13"/>
                <w:color w:val="auto"/>
              </w:rPr>
            </w:pPr>
          </w:p>
        </w:tc>
        <w:tc>
          <w:tcPr>
            <w:tcW w:w="93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40" w:type="dxa"/>
            <w:vAlign w:val="bottom"/>
            <w:tcBorders>
              <w:right w:val="single" w:sz="8" w:color="auto"/>
            </w:tcBorders>
          </w:tcPr>
          <w:p>
            <w:pPr>
              <w:spacing w:after="0"/>
              <w:rPr>
                <w:sz w:val="5"/>
                <w:szCs w:val="5"/>
                <w:color w:val="auto"/>
              </w:rPr>
            </w:pPr>
          </w:p>
        </w:tc>
        <w:tc>
          <w:tcPr>
            <w:tcW w:w="1160" w:type="dxa"/>
            <w:vAlign w:val="bottom"/>
            <w:tcBorders>
              <w:right w:val="single" w:sz="8" w:color="auto"/>
            </w:tcBorders>
            <w:gridSpan w:val="3"/>
            <w:vMerge w:val="continue"/>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9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Borders>
              <w:right w:val="single" w:sz="8" w:color="auto"/>
            </w:tcBorders>
            <w:gridSpan w:val="2"/>
          </w:tcPr>
          <w:p>
            <w:pPr>
              <w:jc w:val="center"/>
              <w:ind w:right="170"/>
              <w:spacing w:after="0"/>
              <w:rPr>
                <w:sz w:val="20"/>
                <w:szCs w:val="20"/>
                <w:color w:val="auto"/>
              </w:rPr>
            </w:pPr>
            <w:r>
              <w:rPr>
                <w:rFonts w:ascii="Arial" w:cs="Arial" w:eastAsia="Arial" w:hAnsi="Arial"/>
                <w:sz w:val="18"/>
                <w:szCs w:val="18"/>
                <w:color w:val="auto"/>
                <w:w w:val="87"/>
              </w:rPr>
              <w:t>Person</w:t>
            </w:r>
          </w:p>
        </w:tc>
        <w:tc>
          <w:tcPr>
            <w:tcW w:w="4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9,030,789 shares</w:t>
            </w:r>
          </w:p>
        </w:tc>
        <w:tc>
          <w:tcPr>
            <w:tcW w:w="0" w:type="dxa"/>
            <w:vAlign w:val="bottom"/>
          </w:tcPr>
          <w:p>
            <w:pPr>
              <w:spacing w:after="0"/>
              <w:rPr>
                <w:sz w:val="1"/>
                <w:szCs w:val="1"/>
                <w:color w:val="auto"/>
              </w:rPr>
            </w:pPr>
          </w:p>
        </w:tc>
      </w:tr>
      <w:tr>
        <w:trPr>
          <w:trHeight w:val="176"/>
        </w:trPr>
        <w:tc>
          <w:tcPr>
            <w:tcW w:w="40" w:type="dxa"/>
            <w:vAlign w:val="bottom"/>
            <w:tcBorders>
              <w:right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Borders>
              <w:right w:val="single" w:sz="8" w:color="auto"/>
            </w:tcBorders>
          </w:tcPr>
          <w:p>
            <w:pPr>
              <w:jc w:val="center"/>
              <w:ind w:right="230"/>
              <w:spacing w:after="0" w:line="157" w:lineRule="exact"/>
              <w:rPr>
                <w:sz w:val="20"/>
                <w:szCs w:val="20"/>
                <w:color w:val="auto"/>
              </w:rPr>
            </w:pPr>
            <w:r>
              <w:rPr>
                <w:rFonts w:ascii="Arial" w:cs="Arial" w:eastAsia="Arial" w:hAnsi="Arial"/>
                <w:sz w:val="18"/>
                <w:szCs w:val="18"/>
                <w:color w:val="auto"/>
                <w:w w:val="94"/>
              </w:rPr>
              <w:t>With</w:t>
            </w:r>
          </w:p>
        </w:tc>
        <w:tc>
          <w:tcPr>
            <w:tcW w:w="44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36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4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c>
          <w:tcPr>
            <w:tcW w:w="9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9,030,789 shares</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vMerge w:val="restart"/>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42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18.7%</w:t>
            </w: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IN, OO</w:t>
            </w: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40"/>
          </w:cols>
          <w:pgMar w:left="440" w:top="634"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 w:name="page3"/>
    <w:bookmarkEnd w:id="2"/>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380" w:type="dxa"/>
            <w:vAlign w:val="bottom"/>
          </w:tcPr>
          <w:p>
            <w:pPr>
              <w:ind w:left="3680"/>
              <w:spacing w:after="0"/>
              <w:rPr>
                <w:sz w:val="20"/>
                <w:szCs w:val="20"/>
                <w:color w:val="auto"/>
              </w:rPr>
            </w:pPr>
            <w:r>
              <w:rPr>
                <w:rFonts w:ascii="Arial" w:cs="Arial" w:eastAsia="Arial" w:hAnsi="Arial"/>
                <w:sz w:val="18"/>
                <w:szCs w:val="18"/>
                <w:b w:val="1"/>
                <w:bCs w:val="1"/>
                <w:color w:val="auto"/>
              </w:rPr>
              <w:t>13D</w:t>
            </w:r>
          </w:p>
        </w:tc>
        <w:tc>
          <w:tcPr>
            <w:tcW w:w="0" w:type="dxa"/>
            <w:vAlign w:val="bottom"/>
          </w:tcPr>
          <w:p>
            <w:pPr>
              <w:spacing w:after="0"/>
              <w:rPr>
                <w:sz w:val="1"/>
                <w:szCs w:val="1"/>
                <w:color w:val="auto"/>
              </w:rPr>
            </w:pPr>
          </w:p>
        </w:tc>
      </w:tr>
      <w:tr>
        <w:trPr>
          <w:trHeight w:val="338"/>
        </w:trPr>
        <w:tc>
          <w:tcPr>
            <w:tcW w:w="1680" w:type="dxa"/>
            <w:vAlign w:val="bottom"/>
            <w:gridSpan w:val="7"/>
          </w:tcPr>
          <w:p>
            <w:pPr>
              <w:spacing w:after="0"/>
              <w:rPr>
                <w:sz w:val="20"/>
                <w:szCs w:val="20"/>
                <w:color w:val="auto"/>
              </w:rPr>
            </w:pPr>
            <w:r>
              <w:rPr>
                <w:rFonts w:ascii="Arial" w:cs="Arial" w:eastAsia="Arial" w:hAnsi="Arial"/>
                <w:sz w:val="18"/>
                <w:szCs w:val="18"/>
                <w:b w:val="1"/>
                <w:bCs w:val="1"/>
                <w:color w:val="auto"/>
                <w:w w:val="92"/>
              </w:rPr>
              <w:t>CUSIP No.816212104</w:t>
            </w:r>
          </w:p>
        </w:tc>
        <w:tc>
          <w:tcPr>
            <w:tcW w:w="9380" w:type="dxa"/>
            <w:vAlign w:val="bottom"/>
          </w:tcPr>
          <w:p>
            <w:pPr>
              <w:ind w:left="8020"/>
              <w:spacing w:after="0"/>
              <w:rPr>
                <w:sz w:val="20"/>
                <w:szCs w:val="20"/>
                <w:color w:val="auto"/>
              </w:rPr>
            </w:pPr>
            <w:r>
              <w:rPr>
                <w:rFonts w:ascii="Arial" w:cs="Arial" w:eastAsia="Arial" w:hAnsi="Arial"/>
                <w:sz w:val="18"/>
                <w:szCs w:val="18"/>
                <w:b w:val="1"/>
                <w:bCs w:val="1"/>
                <w:color w:val="auto"/>
                <w:w w:val="86"/>
              </w:rPr>
              <w:t>Page 3 of 8 Pages</w:t>
            </w: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600" w:type="dxa"/>
            <w:vAlign w:val="bottom"/>
            <w:tcBorders>
              <w:bottom w:val="single" w:sz="8" w:color="auto"/>
            </w:tcBorders>
            <w:gridSpan w:val="5"/>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TAS Partners LLC</w:t>
            </w:r>
          </w:p>
        </w:tc>
        <w:tc>
          <w:tcPr>
            <w:tcW w:w="0" w:type="dxa"/>
            <w:vAlign w:val="bottom"/>
          </w:tcPr>
          <w:p>
            <w:pPr>
              <w:spacing w:after="0"/>
              <w:rPr>
                <w:sz w:val="1"/>
                <w:szCs w:val="1"/>
                <w:color w:val="auto"/>
              </w:rPr>
            </w:pPr>
          </w:p>
        </w:tc>
      </w:tr>
      <w:tr>
        <w:trPr>
          <w:trHeight w:val="169"/>
        </w:trPr>
        <w:tc>
          <w:tcPr>
            <w:tcW w:w="40" w:type="dxa"/>
            <w:vAlign w:val="bottom"/>
            <w:tcBorders>
              <w:right w:val="single" w:sz="8" w:color="auto"/>
            </w:tcBorders>
          </w:tcPr>
          <w:p>
            <w:pPr>
              <w:spacing w:after="0"/>
              <w:rPr>
                <w:sz w:val="14"/>
                <w:szCs w:val="14"/>
                <w:color w:val="auto"/>
              </w:rPr>
            </w:pPr>
          </w:p>
        </w:tc>
        <w:tc>
          <w:tcPr>
            <w:tcW w:w="36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60" w:type="dxa"/>
            <w:vAlign w:val="bottom"/>
            <w:tcBorders>
              <w:right w:val="single" w:sz="8" w:color="auto"/>
            </w:tcBorders>
          </w:tcPr>
          <w:p>
            <w:pPr>
              <w:spacing w:after="0"/>
              <w:rPr>
                <w:sz w:val="14"/>
                <w:szCs w:val="14"/>
                <w:color w:val="auto"/>
              </w:rPr>
            </w:pPr>
          </w:p>
        </w:tc>
        <w:tc>
          <w:tcPr>
            <w:tcW w:w="10600" w:type="dxa"/>
            <w:vAlign w:val="bottom"/>
            <w:tcBorders>
              <w:right w:val="single" w:sz="8" w:color="auto"/>
            </w:tcBorders>
            <w:gridSpan w:val="5"/>
          </w:tcPr>
          <w:p>
            <w:pPr>
              <w:ind w:left="8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800" w:type="dxa"/>
            <w:vAlign w:val="bottom"/>
            <w:gridSpan w:val="2"/>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800" w:type="dxa"/>
            <w:vAlign w:val="bottom"/>
            <w:tcBorders>
              <w:right w:val="single" w:sz="8" w:color="auto"/>
            </w:tcBorders>
            <w:gridSpan w:val="3"/>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vMerge w:val="restart"/>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gridSpan w:val="4"/>
          </w:tcPr>
          <w:p>
            <w:pPr>
              <w:spacing w:after="0"/>
              <w:rPr>
                <w:sz w:val="20"/>
                <w:szCs w:val="20"/>
                <w:color w:val="auto"/>
              </w:rPr>
            </w:pPr>
          </w:p>
        </w:tc>
        <w:tc>
          <w:tcPr>
            <w:tcW w:w="9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right w:val="single" w:sz="8" w:color="auto"/>
            </w:tcBorders>
          </w:tcPr>
          <w:p>
            <w:pPr>
              <w:spacing w:after="0"/>
              <w:rPr>
                <w:sz w:val="19"/>
                <w:szCs w:val="19"/>
                <w:color w:val="auto"/>
              </w:rPr>
            </w:pPr>
          </w:p>
        </w:tc>
        <w:tc>
          <w:tcPr>
            <w:tcW w:w="1220" w:type="dxa"/>
            <w:vAlign w:val="bottom"/>
            <w:gridSpan w:val="4"/>
          </w:tcPr>
          <w:p>
            <w:pPr>
              <w:ind w:left="80"/>
              <w:spacing w:after="0"/>
              <w:rPr>
                <w:sz w:val="20"/>
                <w:szCs w:val="20"/>
                <w:color w:val="auto"/>
              </w:rPr>
            </w:pPr>
            <w:r>
              <w:rPr>
                <w:rFonts w:ascii="Arial" w:cs="Arial" w:eastAsia="Arial" w:hAnsi="Arial"/>
                <w:sz w:val="18"/>
                <w:szCs w:val="18"/>
                <w:color w:val="auto"/>
                <w:w w:val="96"/>
              </w:rPr>
              <w:t>SEC Use Only</w:t>
            </w:r>
          </w:p>
        </w:tc>
        <w:tc>
          <w:tcPr>
            <w:tcW w:w="9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vMerge w:val="restart"/>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0" w:type="dxa"/>
            <w:vAlign w:val="bottom"/>
            <w:tcBorders>
              <w:bottom w:val="single" w:sz="8" w:color="auto"/>
              <w:right w:val="single" w:sz="8" w:color="auto"/>
            </w:tcBorders>
          </w:tcPr>
          <w:p>
            <w:pPr>
              <w:spacing w:after="0"/>
              <w:rPr>
                <w:sz w:val="21"/>
                <w:szCs w:val="21"/>
                <w:color w:val="auto"/>
              </w:rPr>
            </w:pPr>
          </w:p>
        </w:tc>
        <w:tc>
          <w:tcPr>
            <w:tcW w:w="10600" w:type="dxa"/>
            <w:vAlign w:val="bottom"/>
            <w:tcBorders>
              <w:bottom w:val="single" w:sz="8" w:color="auto"/>
              <w:right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OO</w:t>
            </w: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vMerge w:val="restart"/>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0" w:type="dxa"/>
            <w:vAlign w:val="bottom"/>
            <w:tcBorders>
              <w:bottom w:val="single" w:sz="8" w:color="auto"/>
              <w:right w:val="single" w:sz="8" w:color="auto"/>
            </w:tcBorders>
          </w:tcPr>
          <w:p>
            <w:pPr>
              <w:spacing w:after="0"/>
              <w:rPr>
                <w:sz w:val="21"/>
                <w:szCs w:val="21"/>
                <w:color w:val="auto"/>
              </w:rPr>
            </w:pPr>
          </w:p>
        </w:tc>
        <w:tc>
          <w:tcPr>
            <w:tcW w:w="10600" w:type="dxa"/>
            <w:vAlign w:val="bottom"/>
            <w:tcBorders>
              <w:bottom w:val="single" w:sz="8" w:color="auto"/>
              <w:right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2"/>
              </w:rPr>
              <w:t>Delaware</w:t>
            </w: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0"/>
                <w:szCs w:val="20"/>
                <w:color w:val="auto"/>
              </w:rPr>
            </w:pPr>
          </w:p>
        </w:tc>
        <w:tc>
          <w:tcPr>
            <w:tcW w:w="93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4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2"/>
              </w:rPr>
              <w:t>Number of</w:t>
            </w:r>
          </w:p>
        </w:tc>
        <w:tc>
          <w:tcPr>
            <w:tcW w:w="6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93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1,549,880 shares</w:t>
            </w: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80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84"/>
              </w:rPr>
              <w:t>Shares</w:t>
            </w:r>
          </w:p>
        </w:tc>
        <w:tc>
          <w:tcPr>
            <w:tcW w:w="60" w:type="dxa"/>
            <w:vAlign w:val="bottom"/>
            <w:tcBorders>
              <w:bottom w:val="single" w:sz="8" w:color="auto"/>
            </w:tcBorders>
          </w:tcPr>
          <w:p>
            <w:pPr>
              <w:spacing w:after="0"/>
              <w:rPr>
                <w:sz w:val="5"/>
                <w:szCs w:val="5"/>
                <w:color w:val="auto"/>
              </w:rPr>
            </w:pPr>
          </w:p>
        </w:tc>
        <w:tc>
          <w:tcPr>
            <w:tcW w:w="38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9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4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Borders>
              <w:right w:val="single" w:sz="8" w:color="auto"/>
            </w:tcBorders>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1"/>
                <w:szCs w:val="11"/>
                <w:color w:val="auto"/>
              </w:rPr>
            </w:pPr>
          </w:p>
        </w:tc>
        <w:tc>
          <w:tcPr>
            <w:tcW w:w="9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40" w:type="dxa"/>
            <w:vAlign w:val="bottom"/>
            <w:tcBorders>
              <w:right w:val="single" w:sz="8" w:color="auto"/>
            </w:tcBorders>
          </w:tcPr>
          <w:p>
            <w:pPr>
              <w:spacing w:after="0"/>
              <w:rPr>
                <w:sz w:val="8"/>
                <w:szCs w:val="8"/>
                <w:color w:val="auto"/>
              </w:rPr>
            </w:pPr>
          </w:p>
        </w:tc>
        <w:tc>
          <w:tcPr>
            <w:tcW w:w="116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6"/>
              </w:rPr>
              <w:t>Beneficially</w:t>
            </w:r>
          </w:p>
        </w:tc>
        <w:tc>
          <w:tcPr>
            <w:tcW w:w="60" w:type="dxa"/>
            <w:vAlign w:val="bottom"/>
          </w:tcPr>
          <w:p>
            <w:pPr>
              <w:spacing w:after="0"/>
              <w:rPr>
                <w:sz w:val="8"/>
                <w:szCs w:val="8"/>
                <w:color w:val="auto"/>
              </w:rPr>
            </w:pPr>
          </w:p>
        </w:tc>
        <w:tc>
          <w:tcPr>
            <w:tcW w:w="380" w:type="dxa"/>
            <w:vAlign w:val="bottom"/>
            <w:tcBorders>
              <w:right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93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40" w:type="dxa"/>
            <w:vAlign w:val="bottom"/>
            <w:tcBorders>
              <w:right w:val="single" w:sz="8" w:color="auto"/>
            </w:tcBorders>
          </w:tcPr>
          <w:p>
            <w:pPr>
              <w:spacing w:after="0"/>
              <w:rPr>
                <w:sz w:val="10"/>
                <w:szCs w:val="10"/>
                <w:color w:val="auto"/>
              </w:rPr>
            </w:pPr>
          </w:p>
        </w:tc>
        <w:tc>
          <w:tcPr>
            <w:tcW w:w="1160" w:type="dxa"/>
            <w:vAlign w:val="bottom"/>
            <w:tcBorders>
              <w:right w:val="single" w:sz="8" w:color="auto"/>
            </w:tcBorders>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93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1"/>
              </w:rPr>
              <w:t>Owned by</w:t>
            </w:r>
          </w:p>
        </w:tc>
        <w:tc>
          <w:tcPr>
            <w:tcW w:w="6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16"/>
        </w:trPr>
        <w:tc>
          <w:tcPr>
            <w:tcW w:w="4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Borders>
              <w:right w:val="single" w:sz="8" w:color="auto"/>
            </w:tcBorders>
            <w:vMerge w:val="restart"/>
          </w:tcPr>
          <w:p>
            <w:pPr>
              <w:jc w:val="center"/>
              <w:ind w:right="210"/>
              <w:spacing w:after="0"/>
              <w:rPr>
                <w:sz w:val="20"/>
                <w:szCs w:val="20"/>
                <w:color w:val="auto"/>
              </w:rPr>
            </w:pPr>
            <w:r>
              <w:rPr>
                <w:rFonts w:ascii="Arial" w:cs="Arial" w:eastAsia="Arial" w:hAnsi="Arial"/>
                <w:sz w:val="18"/>
                <w:szCs w:val="18"/>
                <w:color w:val="auto"/>
                <w:w w:val="87"/>
              </w:rPr>
              <w:t>Each</w:t>
            </w: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right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93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6"/>
                <w:szCs w:val="6"/>
                <w:color w:val="auto"/>
              </w:rPr>
            </w:pPr>
          </w:p>
        </w:tc>
        <w:tc>
          <w:tcPr>
            <w:tcW w:w="9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4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2"/>
              </w:rPr>
              <w:t>Reporting</w:t>
            </w:r>
          </w:p>
        </w:tc>
        <w:tc>
          <w:tcPr>
            <w:tcW w:w="60" w:type="dxa"/>
            <w:vAlign w:val="bottom"/>
          </w:tcPr>
          <w:p>
            <w:pPr>
              <w:spacing w:after="0"/>
              <w:rPr>
                <w:sz w:val="13"/>
                <w:szCs w:val="13"/>
                <w:color w:val="auto"/>
              </w:rPr>
            </w:pPr>
          </w:p>
        </w:tc>
        <w:tc>
          <w:tcPr>
            <w:tcW w:w="38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93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40" w:type="dxa"/>
            <w:vAlign w:val="bottom"/>
            <w:tcBorders>
              <w:right w:val="single" w:sz="8" w:color="auto"/>
            </w:tcBorders>
          </w:tcPr>
          <w:p>
            <w:pPr>
              <w:spacing w:after="0"/>
              <w:rPr>
                <w:sz w:val="5"/>
                <w:szCs w:val="5"/>
                <w:color w:val="auto"/>
              </w:rPr>
            </w:pPr>
          </w:p>
        </w:tc>
        <w:tc>
          <w:tcPr>
            <w:tcW w:w="1160" w:type="dxa"/>
            <w:vAlign w:val="bottom"/>
            <w:tcBorders>
              <w:right w:val="single" w:sz="8" w:color="auto"/>
            </w:tcBorders>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93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Borders>
              <w:right w:val="single" w:sz="8" w:color="auto"/>
            </w:tcBorders>
            <w:gridSpan w:val="2"/>
          </w:tcPr>
          <w:p>
            <w:pPr>
              <w:jc w:val="center"/>
              <w:ind w:right="170"/>
              <w:spacing w:after="0"/>
              <w:rPr>
                <w:sz w:val="20"/>
                <w:szCs w:val="20"/>
                <w:color w:val="auto"/>
              </w:rPr>
            </w:pPr>
            <w:r>
              <w:rPr>
                <w:rFonts w:ascii="Arial" w:cs="Arial" w:eastAsia="Arial" w:hAnsi="Arial"/>
                <w:sz w:val="18"/>
                <w:szCs w:val="18"/>
                <w:color w:val="auto"/>
                <w:w w:val="87"/>
              </w:rPr>
              <w:t>Person</w:t>
            </w:r>
          </w:p>
        </w:tc>
        <w:tc>
          <w:tcPr>
            <w:tcW w:w="6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1,549,880 shares</w:t>
            </w:r>
          </w:p>
        </w:tc>
        <w:tc>
          <w:tcPr>
            <w:tcW w:w="0" w:type="dxa"/>
            <w:vAlign w:val="bottom"/>
          </w:tcPr>
          <w:p>
            <w:pPr>
              <w:spacing w:after="0"/>
              <w:rPr>
                <w:sz w:val="1"/>
                <w:szCs w:val="1"/>
                <w:color w:val="auto"/>
              </w:rPr>
            </w:pPr>
          </w:p>
        </w:tc>
      </w:tr>
      <w:tr>
        <w:trPr>
          <w:trHeight w:val="176"/>
        </w:trPr>
        <w:tc>
          <w:tcPr>
            <w:tcW w:w="40" w:type="dxa"/>
            <w:vAlign w:val="bottom"/>
            <w:tcBorders>
              <w:right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Borders>
              <w:right w:val="single" w:sz="8" w:color="auto"/>
            </w:tcBorders>
          </w:tcPr>
          <w:p>
            <w:pPr>
              <w:jc w:val="center"/>
              <w:ind w:right="230"/>
              <w:spacing w:after="0" w:line="157" w:lineRule="exact"/>
              <w:rPr>
                <w:sz w:val="20"/>
                <w:szCs w:val="20"/>
                <w:color w:val="auto"/>
              </w:rPr>
            </w:pPr>
            <w:r>
              <w:rPr>
                <w:rFonts w:ascii="Arial" w:cs="Arial" w:eastAsia="Arial" w:hAnsi="Arial"/>
                <w:sz w:val="18"/>
                <w:szCs w:val="18"/>
                <w:color w:val="auto"/>
                <w:w w:val="94"/>
              </w:rPr>
              <w:t>With</w:t>
            </w:r>
          </w:p>
        </w:tc>
        <w:tc>
          <w:tcPr>
            <w:tcW w:w="60" w:type="dxa"/>
            <w:vAlign w:val="bottom"/>
            <w:tcBorders>
              <w:bottom w:val="single" w:sz="8" w:color="auto"/>
            </w:tcBorders>
          </w:tcPr>
          <w:p>
            <w:pPr>
              <w:spacing w:after="0"/>
              <w:rPr>
                <w:sz w:val="15"/>
                <w:szCs w:val="15"/>
                <w:color w:val="auto"/>
              </w:rPr>
            </w:pPr>
          </w:p>
        </w:tc>
        <w:tc>
          <w:tcPr>
            <w:tcW w:w="380" w:type="dxa"/>
            <w:vAlign w:val="bottom"/>
            <w:tcBorders>
              <w:bottom w:val="single" w:sz="8" w:color="auto"/>
              <w:right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3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w w:val="95"/>
              </w:rPr>
              <w:t>10.</w:t>
            </w:r>
          </w:p>
        </w:tc>
        <w:tc>
          <w:tcPr>
            <w:tcW w:w="40" w:type="dxa"/>
            <w:vAlign w:val="bottom"/>
          </w:tcPr>
          <w:p>
            <w:pPr>
              <w:spacing w:after="0"/>
              <w:rPr>
                <w:sz w:val="19"/>
                <w:szCs w:val="19"/>
                <w:color w:val="auto"/>
              </w:rPr>
            </w:pPr>
          </w:p>
        </w:tc>
        <w:tc>
          <w:tcPr>
            <w:tcW w:w="93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60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1,549,880 shares</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vMerge w:val="restart"/>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2"/>
          </w:tcPr>
          <w:p>
            <w:pPr>
              <w:spacing w:after="0"/>
              <w:rPr>
                <w:sz w:val="21"/>
                <w:szCs w:val="21"/>
                <w:color w:val="auto"/>
              </w:rPr>
            </w:pPr>
          </w:p>
        </w:tc>
        <w:tc>
          <w:tcPr>
            <w:tcW w:w="942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3.2%</w:t>
            </w: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OO</w:t>
            </w: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40"/>
          </w:cols>
          <w:pgMar w:left="440" w:top="634"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 w:name="page4"/>
    <w:bookmarkEnd w:id="3"/>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360" w:type="dxa"/>
            <w:vAlign w:val="bottom"/>
          </w:tcPr>
          <w:p>
            <w:pPr>
              <w:ind w:left="3660"/>
              <w:spacing w:after="0"/>
              <w:rPr>
                <w:sz w:val="20"/>
                <w:szCs w:val="20"/>
                <w:color w:val="auto"/>
              </w:rPr>
            </w:pPr>
            <w:r>
              <w:rPr>
                <w:rFonts w:ascii="Arial" w:cs="Arial" w:eastAsia="Arial" w:hAnsi="Arial"/>
                <w:sz w:val="18"/>
                <w:szCs w:val="18"/>
                <w:b w:val="1"/>
                <w:bCs w:val="1"/>
                <w:color w:val="auto"/>
              </w:rPr>
              <w:t>13D</w:t>
            </w:r>
          </w:p>
        </w:tc>
        <w:tc>
          <w:tcPr>
            <w:tcW w:w="0" w:type="dxa"/>
            <w:vAlign w:val="bottom"/>
          </w:tcPr>
          <w:p>
            <w:pPr>
              <w:spacing w:after="0"/>
              <w:rPr>
                <w:sz w:val="1"/>
                <w:szCs w:val="1"/>
                <w:color w:val="auto"/>
              </w:rPr>
            </w:pPr>
          </w:p>
        </w:tc>
      </w:tr>
      <w:tr>
        <w:trPr>
          <w:trHeight w:val="338"/>
        </w:trPr>
        <w:tc>
          <w:tcPr>
            <w:tcW w:w="1700" w:type="dxa"/>
            <w:vAlign w:val="bottom"/>
            <w:gridSpan w:val="7"/>
          </w:tcPr>
          <w:p>
            <w:pPr>
              <w:spacing w:after="0"/>
              <w:rPr>
                <w:sz w:val="20"/>
                <w:szCs w:val="20"/>
                <w:color w:val="auto"/>
              </w:rPr>
            </w:pPr>
            <w:r>
              <w:rPr>
                <w:rFonts w:ascii="Arial" w:cs="Arial" w:eastAsia="Arial" w:hAnsi="Arial"/>
                <w:sz w:val="18"/>
                <w:szCs w:val="18"/>
                <w:b w:val="1"/>
                <w:bCs w:val="1"/>
                <w:color w:val="auto"/>
                <w:w w:val="91"/>
              </w:rPr>
              <w:t>CUSIP No. 816212104</w:t>
            </w:r>
          </w:p>
        </w:tc>
        <w:tc>
          <w:tcPr>
            <w:tcW w:w="9360" w:type="dxa"/>
            <w:vAlign w:val="bottom"/>
          </w:tcPr>
          <w:p>
            <w:pPr>
              <w:ind w:left="8000"/>
              <w:spacing w:after="0"/>
              <w:rPr>
                <w:sz w:val="20"/>
                <w:szCs w:val="20"/>
                <w:color w:val="auto"/>
              </w:rPr>
            </w:pPr>
            <w:r>
              <w:rPr>
                <w:rFonts w:ascii="Arial" w:cs="Arial" w:eastAsia="Arial" w:hAnsi="Arial"/>
                <w:sz w:val="18"/>
                <w:szCs w:val="18"/>
                <w:b w:val="1"/>
                <w:bCs w:val="1"/>
                <w:color w:val="auto"/>
                <w:w w:val="86"/>
              </w:rPr>
              <w:t>Page 4 of 8 Pages</w:t>
            </w: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600" w:type="dxa"/>
            <w:vAlign w:val="bottom"/>
            <w:tcBorders>
              <w:bottom w:val="single" w:sz="8" w:color="auto"/>
            </w:tcBorders>
            <w:gridSpan w:val="5"/>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Leukon Investments, LP</w:t>
            </w:r>
          </w:p>
        </w:tc>
        <w:tc>
          <w:tcPr>
            <w:tcW w:w="0" w:type="dxa"/>
            <w:vAlign w:val="bottom"/>
          </w:tcPr>
          <w:p>
            <w:pPr>
              <w:spacing w:after="0"/>
              <w:rPr>
                <w:sz w:val="1"/>
                <w:szCs w:val="1"/>
                <w:color w:val="auto"/>
              </w:rPr>
            </w:pPr>
          </w:p>
        </w:tc>
      </w:tr>
      <w:tr>
        <w:trPr>
          <w:trHeight w:val="169"/>
        </w:trPr>
        <w:tc>
          <w:tcPr>
            <w:tcW w:w="40" w:type="dxa"/>
            <w:vAlign w:val="bottom"/>
            <w:tcBorders>
              <w:right w:val="single" w:sz="8" w:color="auto"/>
            </w:tcBorders>
          </w:tcPr>
          <w:p>
            <w:pPr>
              <w:spacing w:after="0"/>
              <w:rPr>
                <w:sz w:val="14"/>
                <w:szCs w:val="14"/>
                <w:color w:val="auto"/>
              </w:rPr>
            </w:pPr>
          </w:p>
        </w:tc>
        <w:tc>
          <w:tcPr>
            <w:tcW w:w="36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60" w:type="dxa"/>
            <w:vAlign w:val="bottom"/>
            <w:tcBorders>
              <w:right w:val="single" w:sz="8" w:color="auto"/>
            </w:tcBorders>
          </w:tcPr>
          <w:p>
            <w:pPr>
              <w:spacing w:after="0"/>
              <w:rPr>
                <w:sz w:val="14"/>
                <w:szCs w:val="14"/>
                <w:color w:val="auto"/>
              </w:rPr>
            </w:pPr>
          </w:p>
        </w:tc>
        <w:tc>
          <w:tcPr>
            <w:tcW w:w="10600" w:type="dxa"/>
            <w:vAlign w:val="bottom"/>
            <w:tcBorders>
              <w:right w:val="single" w:sz="8" w:color="auto"/>
            </w:tcBorders>
            <w:gridSpan w:val="5"/>
          </w:tcPr>
          <w:p>
            <w:pPr>
              <w:ind w:left="8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800" w:type="dxa"/>
            <w:vAlign w:val="bottom"/>
            <w:gridSpan w:val="2"/>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800" w:type="dxa"/>
            <w:vAlign w:val="bottom"/>
            <w:tcBorders>
              <w:right w:val="single" w:sz="8" w:color="auto"/>
            </w:tcBorders>
            <w:gridSpan w:val="3"/>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vMerge w:val="restart"/>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tcBorders>
            <w:gridSpan w:val="4"/>
          </w:tcPr>
          <w:p>
            <w:pPr>
              <w:spacing w:after="0"/>
              <w:rPr>
                <w:sz w:val="20"/>
                <w:szCs w:val="20"/>
                <w:color w:val="auto"/>
              </w:rPr>
            </w:pPr>
          </w:p>
        </w:tc>
        <w:tc>
          <w:tcPr>
            <w:tcW w:w="9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right w:val="single" w:sz="8" w:color="auto"/>
            </w:tcBorders>
          </w:tcPr>
          <w:p>
            <w:pPr>
              <w:spacing w:after="0"/>
              <w:rPr>
                <w:sz w:val="19"/>
                <w:szCs w:val="19"/>
                <w:color w:val="auto"/>
              </w:rPr>
            </w:pPr>
          </w:p>
        </w:tc>
        <w:tc>
          <w:tcPr>
            <w:tcW w:w="1240" w:type="dxa"/>
            <w:vAlign w:val="bottom"/>
            <w:gridSpan w:val="4"/>
          </w:tcPr>
          <w:p>
            <w:pPr>
              <w:ind w:left="80"/>
              <w:spacing w:after="0"/>
              <w:rPr>
                <w:sz w:val="20"/>
                <w:szCs w:val="20"/>
                <w:color w:val="auto"/>
              </w:rPr>
            </w:pPr>
            <w:r>
              <w:rPr>
                <w:rFonts w:ascii="Arial" w:cs="Arial" w:eastAsia="Arial" w:hAnsi="Arial"/>
                <w:sz w:val="18"/>
                <w:szCs w:val="18"/>
                <w:color w:val="auto"/>
                <w:w w:val="98"/>
              </w:rPr>
              <w:t>SEC Use Only</w:t>
            </w:r>
          </w:p>
        </w:tc>
        <w:tc>
          <w:tcPr>
            <w:tcW w:w="9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vMerge w:val="restart"/>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0" w:type="dxa"/>
            <w:vAlign w:val="bottom"/>
            <w:tcBorders>
              <w:bottom w:val="single" w:sz="8" w:color="auto"/>
              <w:right w:val="single" w:sz="8" w:color="auto"/>
            </w:tcBorders>
          </w:tcPr>
          <w:p>
            <w:pPr>
              <w:spacing w:after="0"/>
              <w:rPr>
                <w:sz w:val="21"/>
                <w:szCs w:val="21"/>
                <w:color w:val="auto"/>
              </w:rPr>
            </w:pPr>
          </w:p>
        </w:tc>
        <w:tc>
          <w:tcPr>
            <w:tcW w:w="10600" w:type="dxa"/>
            <w:vAlign w:val="bottom"/>
            <w:tcBorders>
              <w:bottom w:val="single" w:sz="8" w:color="auto"/>
              <w:right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OO</w:t>
            </w: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vMerge w:val="restart"/>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0" w:type="dxa"/>
            <w:vAlign w:val="bottom"/>
            <w:tcBorders>
              <w:bottom w:val="single" w:sz="8" w:color="auto"/>
              <w:right w:val="single" w:sz="8" w:color="auto"/>
            </w:tcBorders>
          </w:tcPr>
          <w:p>
            <w:pPr>
              <w:spacing w:after="0"/>
              <w:rPr>
                <w:sz w:val="21"/>
                <w:szCs w:val="21"/>
                <w:color w:val="auto"/>
              </w:rPr>
            </w:pPr>
          </w:p>
        </w:tc>
        <w:tc>
          <w:tcPr>
            <w:tcW w:w="10600" w:type="dxa"/>
            <w:vAlign w:val="bottom"/>
            <w:tcBorders>
              <w:bottom w:val="single" w:sz="8" w:color="auto"/>
              <w:right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2"/>
              </w:rPr>
              <w:t>Delaware</w:t>
            </w: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0"/>
                <w:szCs w:val="20"/>
                <w:color w:val="auto"/>
              </w:rPr>
            </w:pPr>
          </w:p>
        </w:tc>
        <w:tc>
          <w:tcPr>
            <w:tcW w:w="9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4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2"/>
              </w:rPr>
              <w:t>Number of</w:t>
            </w:r>
          </w:p>
        </w:tc>
        <w:tc>
          <w:tcPr>
            <w:tcW w:w="6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1,242,354 shares</w:t>
            </w: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80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84"/>
              </w:rPr>
              <w:t>Shares</w:t>
            </w:r>
          </w:p>
        </w:tc>
        <w:tc>
          <w:tcPr>
            <w:tcW w:w="60" w:type="dxa"/>
            <w:vAlign w:val="bottom"/>
            <w:tcBorders>
              <w:bottom w:val="single" w:sz="8" w:color="auto"/>
            </w:tcBorders>
          </w:tcPr>
          <w:p>
            <w:pPr>
              <w:spacing w:after="0"/>
              <w:rPr>
                <w:sz w:val="5"/>
                <w:szCs w:val="5"/>
                <w:color w:val="auto"/>
              </w:rPr>
            </w:pPr>
          </w:p>
        </w:tc>
        <w:tc>
          <w:tcPr>
            <w:tcW w:w="38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9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4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Borders>
              <w:right w:val="single" w:sz="8" w:color="auto"/>
            </w:tcBorders>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1"/>
                <w:szCs w:val="11"/>
                <w:color w:val="auto"/>
              </w:rPr>
            </w:pPr>
          </w:p>
        </w:tc>
        <w:tc>
          <w:tcPr>
            <w:tcW w:w="9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40" w:type="dxa"/>
            <w:vAlign w:val="bottom"/>
            <w:tcBorders>
              <w:right w:val="single" w:sz="8" w:color="auto"/>
            </w:tcBorders>
          </w:tcPr>
          <w:p>
            <w:pPr>
              <w:spacing w:after="0"/>
              <w:rPr>
                <w:sz w:val="8"/>
                <w:szCs w:val="8"/>
                <w:color w:val="auto"/>
              </w:rPr>
            </w:pPr>
          </w:p>
        </w:tc>
        <w:tc>
          <w:tcPr>
            <w:tcW w:w="116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6"/>
              </w:rPr>
              <w:t>Beneficially</w:t>
            </w:r>
          </w:p>
        </w:tc>
        <w:tc>
          <w:tcPr>
            <w:tcW w:w="60" w:type="dxa"/>
            <w:vAlign w:val="bottom"/>
          </w:tcPr>
          <w:p>
            <w:pPr>
              <w:spacing w:after="0"/>
              <w:rPr>
                <w:sz w:val="8"/>
                <w:szCs w:val="8"/>
                <w:color w:val="auto"/>
              </w:rPr>
            </w:pPr>
          </w:p>
        </w:tc>
        <w:tc>
          <w:tcPr>
            <w:tcW w:w="38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9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40" w:type="dxa"/>
            <w:vAlign w:val="bottom"/>
            <w:tcBorders>
              <w:right w:val="single" w:sz="8" w:color="auto"/>
            </w:tcBorders>
          </w:tcPr>
          <w:p>
            <w:pPr>
              <w:spacing w:after="0"/>
              <w:rPr>
                <w:sz w:val="10"/>
                <w:szCs w:val="10"/>
                <w:color w:val="auto"/>
              </w:rPr>
            </w:pPr>
          </w:p>
        </w:tc>
        <w:tc>
          <w:tcPr>
            <w:tcW w:w="1160" w:type="dxa"/>
            <w:vAlign w:val="bottom"/>
            <w:tcBorders>
              <w:right w:val="single" w:sz="8" w:color="auto"/>
            </w:tcBorders>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93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1"/>
              </w:rPr>
              <w:t>Owned by</w:t>
            </w:r>
          </w:p>
        </w:tc>
        <w:tc>
          <w:tcPr>
            <w:tcW w:w="6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16"/>
        </w:trPr>
        <w:tc>
          <w:tcPr>
            <w:tcW w:w="4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Borders>
              <w:right w:val="single" w:sz="8" w:color="auto"/>
            </w:tcBorders>
            <w:vMerge w:val="restart"/>
          </w:tcPr>
          <w:p>
            <w:pPr>
              <w:jc w:val="center"/>
              <w:ind w:right="210"/>
              <w:spacing w:after="0"/>
              <w:rPr>
                <w:sz w:val="20"/>
                <w:szCs w:val="20"/>
                <w:color w:val="auto"/>
              </w:rPr>
            </w:pPr>
            <w:r>
              <w:rPr>
                <w:rFonts w:ascii="Arial" w:cs="Arial" w:eastAsia="Arial" w:hAnsi="Arial"/>
                <w:sz w:val="18"/>
                <w:szCs w:val="18"/>
                <w:color w:val="auto"/>
                <w:w w:val="87"/>
              </w:rPr>
              <w:t>Each</w:t>
            </w: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right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36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6"/>
                <w:szCs w:val="6"/>
                <w:color w:val="auto"/>
              </w:rPr>
            </w:pPr>
          </w:p>
        </w:tc>
        <w:tc>
          <w:tcPr>
            <w:tcW w:w="9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4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2"/>
              </w:rPr>
              <w:t>Reporting</w:t>
            </w:r>
          </w:p>
        </w:tc>
        <w:tc>
          <w:tcPr>
            <w:tcW w:w="60" w:type="dxa"/>
            <w:vAlign w:val="bottom"/>
          </w:tcPr>
          <w:p>
            <w:pPr>
              <w:spacing w:after="0"/>
              <w:rPr>
                <w:sz w:val="13"/>
                <w:szCs w:val="13"/>
                <w:color w:val="auto"/>
              </w:rPr>
            </w:pPr>
          </w:p>
        </w:tc>
        <w:tc>
          <w:tcPr>
            <w:tcW w:w="380" w:type="dxa"/>
            <w:vAlign w:val="bottom"/>
            <w:tcBorders>
              <w:right w:val="single" w:sz="8" w:color="auto"/>
            </w:tcBorders>
            <w:vMerge w:val="continue"/>
          </w:tcPr>
          <w:p>
            <w:pPr>
              <w:spacing w:after="0"/>
              <w:rPr>
                <w:sz w:val="13"/>
                <w:szCs w:val="13"/>
                <w:color w:val="auto"/>
              </w:rPr>
            </w:pPr>
          </w:p>
        </w:tc>
        <w:tc>
          <w:tcPr>
            <w:tcW w:w="60" w:type="dxa"/>
            <w:vAlign w:val="bottom"/>
          </w:tcPr>
          <w:p>
            <w:pPr>
              <w:spacing w:after="0"/>
              <w:rPr>
                <w:sz w:val="13"/>
                <w:szCs w:val="13"/>
                <w:color w:val="auto"/>
              </w:rPr>
            </w:pPr>
          </w:p>
        </w:tc>
        <w:tc>
          <w:tcPr>
            <w:tcW w:w="93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40" w:type="dxa"/>
            <w:vAlign w:val="bottom"/>
            <w:tcBorders>
              <w:right w:val="single" w:sz="8" w:color="auto"/>
            </w:tcBorders>
          </w:tcPr>
          <w:p>
            <w:pPr>
              <w:spacing w:after="0"/>
              <w:rPr>
                <w:sz w:val="5"/>
                <w:szCs w:val="5"/>
                <w:color w:val="auto"/>
              </w:rPr>
            </w:pPr>
          </w:p>
        </w:tc>
        <w:tc>
          <w:tcPr>
            <w:tcW w:w="1160" w:type="dxa"/>
            <w:vAlign w:val="bottom"/>
            <w:tcBorders>
              <w:right w:val="single" w:sz="8" w:color="auto"/>
            </w:tcBorders>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9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Borders>
              <w:right w:val="single" w:sz="8" w:color="auto"/>
            </w:tcBorders>
            <w:gridSpan w:val="2"/>
          </w:tcPr>
          <w:p>
            <w:pPr>
              <w:jc w:val="center"/>
              <w:ind w:right="170"/>
              <w:spacing w:after="0"/>
              <w:rPr>
                <w:sz w:val="20"/>
                <w:szCs w:val="20"/>
                <w:color w:val="auto"/>
              </w:rPr>
            </w:pPr>
            <w:r>
              <w:rPr>
                <w:rFonts w:ascii="Arial" w:cs="Arial" w:eastAsia="Arial" w:hAnsi="Arial"/>
                <w:sz w:val="18"/>
                <w:szCs w:val="18"/>
                <w:color w:val="auto"/>
                <w:w w:val="87"/>
              </w:rPr>
              <w:t>Person</w:t>
            </w:r>
          </w:p>
        </w:tc>
        <w:tc>
          <w:tcPr>
            <w:tcW w:w="6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1,242,354 shares</w:t>
            </w:r>
          </w:p>
        </w:tc>
        <w:tc>
          <w:tcPr>
            <w:tcW w:w="0" w:type="dxa"/>
            <w:vAlign w:val="bottom"/>
          </w:tcPr>
          <w:p>
            <w:pPr>
              <w:spacing w:after="0"/>
              <w:rPr>
                <w:sz w:val="1"/>
                <w:szCs w:val="1"/>
                <w:color w:val="auto"/>
              </w:rPr>
            </w:pPr>
          </w:p>
        </w:tc>
      </w:tr>
      <w:tr>
        <w:trPr>
          <w:trHeight w:val="176"/>
        </w:trPr>
        <w:tc>
          <w:tcPr>
            <w:tcW w:w="40" w:type="dxa"/>
            <w:vAlign w:val="bottom"/>
            <w:tcBorders>
              <w:right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Borders>
              <w:right w:val="single" w:sz="8" w:color="auto"/>
            </w:tcBorders>
          </w:tcPr>
          <w:p>
            <w:pPr>
              <w:jc w:val="center"/>
              <w:ind w:right="230"/>
              <w:spacing w:after="0" w:line="157" w:lineRule="exact"/>
              <w:rPr>
                <w:sz w:val="20"/>
                <w:szCs w:val="20"/>
                <w:color w:val="auto"/>
              </w:rPr>
            </w:pPr>
            <w:r>
              <w:rPr>
                <w:rFonts w:ascii="Arial" w:cs="Arial" w:eastAsia="Arial" w:hAnsi="Arial"/>
                <w:sz w:val="18"/>
                <w:szCs w:val="18"/>
                <w:color w:val="auto"/>
                <w:w w:val="94"/>
              </w:rPr>
              <w:t>With</w:t>
            </w:r>
          </w:p>
        </w:tc>
        <w:tc>
          <w:tcPr>
            <w:tcW w:w="60" w:type="dxa"/>
            <w:vAlign w:val="bottom"/>
            <w:tcBorders>
              <w:bottom w:val="single" w:sz="8" w:color="auto"/>
            </w:tcBorders>
          </w:tcPr>
          <w:p>
            <w:pPr>
              <w:spacing w:after="0"/>
              <w:rPr>
                <w:sz w:val="15"/>
                <w:szCs w:val="15"/>
                <w:color w:val="auto"/>
              </w:rPr>
            </w:pPr>
          </w:p>
        </w:tc>
        <w:tc>
          <w:tcPr>
            <w:tcW w:w="38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36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w w:val="95"/>
              </w:rPr>
              <w:t>10.</w:t>
            </w:r>
          </w:p>
        </w:tc>
        <w:tc>
          <w:tcPr>
            <w:tcW w:w="60" w:type="dxa"/>
            <w:vAlign w:val="bottom"/>
          </w:tcPr>
          <w:p>
            <w:pPr>
              <w:spacing w:after="0"/>
              <w:rPr>
                <w:sz w:val="19"/>
                <w:szCs w:val="19"/>
                <w:color w:val="auto"/>
              </w:rPr>
            </w:pPr>
          </w:p>
        </w:tc>
        <w:tc>
          <w:tcPr>
            <w:tcW w:w="9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60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1,242,354 shares</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vMerge w:val="restart"/>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2"/>
          </w:tcPr>
          <w:p>
            <w:pPr>
              <w:spacing w:after="0"/>
              <w:rPr>
                <w:sz w:val="21"/>
                <w:szCs w:val="21"/>
                <w:color w:val="auto"/>
              </w:rPr>
            </w:pPr>
          </w:p>
        </w:tc>
        <w:tc>
          <w:tcPr>
            <w:tcW w:w="942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2.6%</w:t>
            </w: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PN</w:t>
            </w: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40"/>
          </w:cols>
          <w:pgMar w:left="440" w:top="634"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360" w:type="dxa"/>
            <w:vAlign w:val="bottom"/>
          </w:tcPr>
          <w:p>
            <w:pPr>
              <w:ind w:left="3660"/>
              <w:spacing w:after="0"/>
              <w:rPr>
                <w:sz w:val="20"/>
                <w:szCs w:val="20"/>
                <w:color w:val="auto"/>
              </w:rPr>
            </w:pPr>
            <w:r>
              <w:rPr>
                <w:rFonts w:ascii="Arial" w:cs="Arial" w:eastAsia="Arial" w:hAnsi="Arial"/>
                <w:sz w:val="18"/>
                <w:szCs w:val="18"/>
                <w:b w:val="1"/>
                <w:bCs w:val="1"/>
                <w:color w:val="auto"/>
              </w:rPr>
              <w:t>13D</w:t>
            </w:r>
          </w:p>
        </w:tc>
        <w:tc>
          <w:tcPr>
            <w:tcW w:w="0" w:type="dxa"/>
            <w:vAlign w:val="bottom"/>
          </w:tcPr>
          <w:p>
            <w:pPr>
              <w:spacing w:after="0"/>
              <w:rPr>
                <w:sz w:val="1"/>
                <w:szCs w:val="1"/>
                <w:color w:val="auto"/>
              </w:rPr>
            </w:pPr>
          </w:p>
        </w:tc>
      </w:tr>
      <w:tr>
        <w:trPr>
          <w:trHeight w:val="338"/>
        </w:trPr>
        <w:tc>
          <w:tcPr>
            <w:tcW w:w="1700" w:type="dxa"/>
            <w:vAlign w:val="bottom"/>
            <w:gridSpan w:val="6"/>
          </w:tcPr>
          <w:p>
            <w:pPr>
              <w:spacing w:after="0"/>
              <w:rPr>
                <w:sz w:val="20"/>
                <w:szCs w:val="20"/>
                <w:color w:val="auto"/>
              </w:rPr>
            </w:pPr>
            <w:r>
              <w:rPr>
                <w:rFonts w:ascii="Arial" w:cs="Arial" w:eastAsia="Arial" w:hAnsi="Arial"/>
                <w:sz w:val="18"/>
                <w:szCs w:val="18"/>
                <w:b w:val="1"/>
                <w:bCs w:val="1"/>
                <w:color w:val="auto"/>
                <w:w w:val="91"/>
              </w:rPr>
              <w:t>CUSIP No. 816212104</w:t>
            </w:r>
          </w:p>
        </w:tc>
        <w:tc>
          <w:tcPr>
            <w:tcW w:w="9360" w:type="dxa"/>
            <w:vAlign w:val="bottom"/>
          </w:tcPr>
          <w:p>
            <w:pPr>
              <w:ind w:left="8000"/>
              <w:spacing w:after="0"/>
              <w:rPr>
                <w:sz w:val="20"/>
                <w:szCs w:val="20"/>
                <w:color w:val="auto"/>
              </w:rPr>
            </w:pPr>
            <w:r>
              <w:rPr>
                <w:rFonts w:ascii="Arial" w:cs="Arial" w:eastAsia="Arial" w:hAnsi="Arial"/>
                <w:sz w:val="18"/>
                <w:szCs w:val="18"/>
                <w:b w:val="1"/>
                <w:bCs w:val="1"/>
                <w:color w:val="auto"/>
                <w:w w:val="86"/>
              </w:rPr>
              <w:t>Page 5 of 8 Pages</w:t>
            </w: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600" w:type="dxa"/>
            <w:vAlign w:val="bottom"/>
            <w:tcBorders>
              <w:bottom w:val="single" w:sz="8" w:color="auto"/>
            </w:tcBorders>
            <w:gridSpan w:val="4"/>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Chafen Lu</w:t>
            </w:r>
          </w:p>
        </w:tc>
        <w:tc>
          <w:tcPr>
            <w:tcW w:w="9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 w:type="dxa"/>
            <w:vAlign w:val="bottom"/>
            <w:tcBorders>
              <w:right w:val="single" w:sz="8" w:color="auto"/>
            </w:tcBorders>
          </w:tcPr>
          <w:p>
            <w:pPr>
              <w:spacing w:after="0"/>
              <w:rPr>
                <w:sz w:val="14"/>
                <w:szCs w:val="14"/>
                <w:color w:val="auto"/>
              </w:rPr>
            </w:pPr>
          </w:p>
        </w:tc>
        <w:tc>
          <w:tcPr>
            <w:tcW w:w="36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60" w:type="dxa"/>
            <w:vAlign w:val="bottom"/>
            <w:tcBorders>
              <w:right w:val="single" w:sz="8" w:color="auto"/>
            </w:tcBorders>
          </w:tcPr>
          <w:p>
            <w:pPr>
              <w:spacing w:after="0"/>
              <w:rPr>
                <w:sz w:val="14"/>
                <w:szCs w:val="14"/>
                <w:color w:val="auto"/>
              </w:rPr>
            </w:pPr>
          </w:p>
        </w:tc>
        <w:tc>
          <w:tcPr>
            <w:tcW w:w="10600" w:type="dxa"/>
            <w:vAlign w:val="bottom"/>
            <w:tcBorders>
              <w:right w:val="single" w:sz="8" w:color="auto"/>
            </w:tcBorders>
            <w:gridSpan w:val="4"/>
          </w:tcPr>
          <w:p>
            <w:pPr>
              <w:ind w:left="8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74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860" w:type="dxa"/>
            <w:vAlign w:val="bottom"/>
            <w:tcBorders>
              <w:right w:val="single" w:sz="8" w:color="auto"/>
            </w:tcBorders>
            <w:gridSpan w:val="3"/>
          </w:tcPr>
          <w:p>
            <w:pPr>
              <w:ind w:left="1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vMerge w:val="restart"/>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tcBorders>
            <w:gridSpan w:val="3"/>
          </w:tcPr>
          <w:p>
            <w:pPr>
              <w:spacing w:after="0"/>
              <w:rPr>
                <w:sz w:val="20"/>
                <w:szCs w:val="20"/>
                <w:color w:val="auto"/>
              </w:rPr>
            </w:pPr>
          </w:p>
        </w:tc>
        <w:tc>
          <w:tcPr>
            <w:tcW w:w="9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right w:val="single" w:sz="8" w:color="auto"/>
            </w:tcBorders>
          </w:tcPr>
          <w:p>
            <w:pPr>
              <w:spacing w:after="0"/>
              <w:rPr>
                <w:sz w:val="19"/>
                <w:szCs w:val="19"/>
                <w:color w:val="auto"/>
              </w:rPr>
            </w:pPr>
          </w:p>
        </w:tc>
        <w:tc>
          <w:tcPr>
            <w:tcW w:w="1240" w:type="dxa"/>
            <w:vAlign w:val="bottom"/>
            <w:gridSpan w:val="3"/>
          </w:tcPr>
          <w:p>
            <w:pPr>
              <w:ind w:left="80"/>
              <w:spacing w:after="0"/>
              <w:rPr>
                <w:sz w:val="20"/>
                <w:szCs w:val="20"/>
                <w:color w:val="auto"/>
              </w:rPr>
            </w:pPr>
            <w:r>
              <w:rPr>
                <w:rFonts w:ascii="Arial" w:cs="Arial" w:eastAsia="Arial" w:hAnsi="Arial"/>
                <w:sz w:val="18"/>
                <w:szCs w:val="18"/>
                <w:color w:val="auto"/>
                <w:w w:val="98"/>
              </w:rPr>
              <w:t>SEC Use Only</w:t>
            </w:r>
          </w:p>
        </w:tc>
        <w:tc>
          <w:tcPr>
            <w:tcW w:w="9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vMerge w:val="restart"/>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0" w:type="dxa"/>
            <w:vAlign w:val="bottom"/>
            <w:tcBorders>
              <w:bottom w:val="single" w:sz="8" w:color="auto"/>
              <w:right w:val="single" w:sz="8" w:color="auto"/>
            </w:tcBorders>
          </w:tcPr>
          <w:p>
            <w:pPr>
              <w:spacing w:after="0"/>
              <w:rPr>
                <w:sz w:val="21"/>
                <w:szCs w:val="21"/>
                <w:color w:val="auto"/>
              </w:rPr>
            </w:pPr>
          </w:p>
        </w:tc>
        <w:tc>
          <w:tcPr>
            <w:tcW w:w="10600" w:type="dxa"/>
            <w:vAlign w:val="bottom"/>
            <w:tcBorders>
              <w:bottom w:val="single" w:sz="8" w:color="auto"/>
              <w:right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PF</w:t>
            </w: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vMerge w:val="restart"/>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0" w:type="dxa"/>
            <w:vAlign w:val="bottom"/>
            <w:tcBorders>
              <w:bottom w:val="single" w:sz="8" w:color="auto"/>
              <w:right w:val="single" w:sz="8" w:color="auto"/>
            </w:tcBorders>
          </w:tcPr>
          <w:p>
            <w:pPr>
              <w:spacing w:after="0"/>
              <w:rPr>
                <w:sz w:val="21"/>
                <w:szCs w:val="21"/>
                <w:color w:val="auto"/>
              </w:rPr>
            </w:pPr>
          </w:p>
        </w:tc>
        <w:tc>
          <w:tcPr>
            <w:tcW w:w="10600" w:type="dxa"/>
            <w:vAlign w:val="bottom"/>
            <w:tcBorders>
              <w:bottom w:val="single" w:sz="8" w:color="auto"/>
              <w:right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United States</w:t>
            </w:r>
          </w:p>
        </w:tc>
        <w:tc>
          <w:tcPr>
            <w:tcW w:w="9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0"/>
                <w:szCs w:val="20"/>
                <w:color w:val="auto"/>
              </w:rPr>
            </w:pPr>
          </w:p>
        </w:tc>
        <w:tc>
          <w:tcPr>
            <w:tcW w:w="9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4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2"/>
              </w:rPr>
              <w:t>Number of</w:t>
            </w:r>
          </w:p>
        </w:tc>
        <w:tc>
          <w:tcPr>
            <w:tcW w:w="44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86,418 shares</w:t>
            </w: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80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84"/>
              </w:rPr>
              <w:t>Shares</w:t>
            </w:r>
          </w:p>
        </w:tc>
        <w:tc>
          <w:tcPr>
            <w:tcW w:w="44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9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4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Borders>
              <w:right w:val="single" w:sz="8" w:color="auto"/>
            </w:tcBorders>
            <w:gridSpan w:val="2"/>
            <w:vMerge w:val="continue"/>
          </w:tcPr>
          <w:p>
            <w:pPr>
              <w:spacing w:after="0"/>
              <w:rPr>
                <w:sz w:val="11"/>
                <w:szCs w:val="11"/>
                <w:color w:val="auto"/>
              </w:rPr>
            </w:pPr>
          </w:p>
        </w:tc>
        <w:tc>
          <w:tcPr>
            <w:tcW w:w="44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1"/>
                <w:szCs w:val="11"/>
                <w:color w:val="auto"/>
              </w:rPr>
            </w:pPr>
          </w:p>
        </w:tc>
        <w:tc>
          <w:tcPr>
            <w:tcW w:w="9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40" w:type="dxa"/>
            <w:vAlign w:val="bottom"/>
            <w:tcBorders>
              <w:right w:val="single" w:sz="8" w:color="auto"/>
            </w:tcBorders>
          </w:tcPr>
          <w:p>
            <w:pPr>
              <w:spacing w:after="0"/>
              <w:rPr>
                <w:sz w:val="8"/>
                <w:szCs w:val="8"/>
                <w:color w:val="auto"/>
              </w:rPr>
            </w:pPr>
          </w:p>
        </w:tc>
        <w:tc>
          <w:tcPr>
            <w:tcW w:w="116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6"/>
              </w:rPr>
              <w:t>Beneficially</w:t>
            </w:r>
          </w:p>
        </w:tc>
        <w:tc>
          <w:tcPr>
            <w:tcW w:w="44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9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40" w:type="dxa"/>
            <w:vAlign w:val="bottom"/>
            <w:tcBorders>
              <w:right w:val="single" w:sz="8" w:color="auto"/>
            </w:tcBorders>
          </w:tcPr>
          <w:p>
            <w:pPr>
              <w:spacing w:after="0"/>
              <w:rPr>
                <w:sz w:val="10"/>
                <w:szCs w:val="10"/>
                <w:color w:val="auto"/>
              </w:rPr>
            </w:pPr>
          </w:p>
        </w:tc>
        <w:tc>
          <w:tcPr>
            <w:tcW w:w="1160" w:type="dxa"/>
            <w:vAlign w:val="bottom"/>
            <w:tcBorders>
              <w:right w:val="single" w:sz="8" w:color="auto"/>
            </w:tcBorders>
            <w:gridSpan w:val="3"/>
            <w:vMerge w:val="continue"/>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93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1"/>
              </w:rPr>
              <w:t>Owned by</w:t>
            </w:r>
          </w:p>
        </w:tc>
        <w:tc>
          <w:tcPr>
            <w:tcW w:w="4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16"/>
        </w:trPr>
        <w:tc>
          <w:tcPr>
            <w:tcW w:w="4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Borders>
              <w:right w:val="single" w:sz="8" w:color="auto"/>
            </w:tcBorders>
            <w:vMerge w:val="restart"/>
          </w:tcPr>
          <w:p>
            <w:pPr>
              <w:jc w:val="center"/>
              <w:ind w:right="210"/>
              <w:spacing w:after="0"/>
              <w:rPr>
                <w:sz w:val="20"/>
                <w:szCs w:val="20"/>
                <w:color w:val="auto"/>
              </w:rPr>
            </w:pPr>
            <w:r>
              <w:rPr>
                <w:rFonts w:ascii="Arial" w:cs="Arial" w:eastAsia="Arial" w:hAnsi="Arial"/>
                <w:sz w:val="18"/>
                <w:szCs w:val="18"/>
                <w:color w:val="auto"/>
                <w:w w:val="87"/>
              </w:rPr>
              <w:t>Each</w:t>
            </w:r>
          </w:p>
        </w:tc>
        <w:tc>
          <w:tcPr>
            <w:tcW w:w="440" w:type="dxa"/>
            <w:vAlign w:val="bottom"/>
            <w:tcBorders>
              <w:bottom w:val="single" w:sz="8" w:color="auto"/>
              <w:right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36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right w:val="single" w:sz="8" w:color="auto"/>
            </w:tcBorders>
            <w:vMerge w:val="continue"/>
          </w:tcPr>
          <w:p>
            <w:pPr>
              <w:spacing w:after="0"/>
              <w:rPr>
                <w:sz w:val="6"/>
                <w:szCs w:val="6"/>
                <w:color w:val="auto"/>
              </w:rPr>
            </w:pPr>
          </w:p>
        </w:tc>
        <w:tc>
          <w:tcPr>
            <w:tcW w:w="44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6"/>
                <w:szCs w:val="6"/>
                <w:color w:val="auto"/>
              </w:rPr>
            </w:pPr>
          </w:p>
        </w:tc>
        <w:tc>
          <w:tcPr>
            <w:tcW w:w="9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4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2"/>
              </w:rPr>
              <w:t>Reporting</w:t>
            </w:r>
          </w:p>
        </w:tc>
        <w:tc>
          <w:tcPr>
            <w:tcW w:w="440" w:type="dxa"/>
            <w:vAlign w:val="bottom"/>
            <w:tcBorders>
              <w:right w:val="single" w:sz="8" w:color="auto"/>
            </w:tcBorders>
            <w:vMerge w:val="continue"/>
          </w:tcPr>
          <w:p>
            <w:pPr>
              <w:spacing w:after="0"/>
              <w:rPr>
                <w:sz w:val="13"/>
                <w:szCs w:val="13"/>
                <w:color w:val="auto"/>
              </w:rPr>
            </w:pPr>
          </w:p>
        </w:tc>
        <w:tc>
          <w:tcPr>
            <w:tcW w:w="60" w:type="dxa"/>
            <w:vAlign w:val="bottom"/>
          </w:tcPr>
          <w:p>
            <w:pPr>
              <w:spacing w:after="0"/>
              <w:rPr>
                <w:sz w:val="13"/>
                <w:szCs w:val="13"/>
                <w:color w:val="auto"/>
              </w:rPr>
            </w:pPr>
          </w:p>
        </w:tc>
        <w:tc>
          <w:tcPr>
            <w:tcW w:w="93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40" w:type="dxa"/>
            <w:vAlign w:val="bottom"/>
            <w:tcBorders>
              <w:right w:val="single" w:sz="8" w:color="auto"/>
            </w:tcBorders>
          </w:tcPr>
          <w:p>
            <w:pPr>
              <w:spacing w:after="0"/>
              <w:rPr>
                <w:sz w:val="5"/>
                <w:szCs w:val="5"/>
                <w:color w:val="auto"/>
              </w:rPr>
            </w:pPr>
          </w:p>
        </w:tc>
        <w:tc>
          <w:tcPr>
            <w:tcW w:w="1160" w:type="dxa"/>
            <w:vAlign w:val="bottom"/>
            <w:tcBorders>
              <w:right w:val="single" w:sz="8" w:color="auto"/>
            </w:tcBorders>
            <w:gridSpan w:val="3"/>
            <w:vMerge w:val="continue"/>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9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Borders>
              <w:right w:val="single" w:sz="8" w:color="auto"/>
            </w:tcBorders>
            <w:gridSpan w:val="2"/>
          </w:tcPr>
          <w:p>
            <w:pPr>
              <w:jc w:val="center"/>
              <w:ind w:right="170"/>
              <w:spacing w:after="0"/>
              <w:rPr>
                <w:sz w:val="20"/>
                <w:szCs w:val="20"/>
                <w:color w:val="auto"/>
              </w:rPr>
            </w:pPr>
            <w:r>
              <w:rPr>
                <w:rFonts w:ascii="Arial" w:cs="Arial" w:eastAsia="Arial" w:hAnsi="Arial"/>
                <w:sz w:val="18"/>
                <w:szCs w:val="18"/>
                <w:color w:val="auto"/>
                <w:w w:val="87"/>
              </w:rPr>
              <w:t>Person</w:t>
            </w:r>
          </w:p>
        </w:tc>
        <w:tc>
          <w:tcPr>
            <w:tcW w:w="4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86,418 shares</w:t>
            </w:r>
          </w:p>
        </w:tc>
        <w:tc>
          <w:tcPr>
            <w:tcW w:w="0" w:type="dxa"/>
            <w:vAlign w:val="bottom"/>
          </w:tcPr>
          <w:p>
            <w:pPr>
              <w:spacing w:after="0"/>
              <w:rPr>
                <w:sz w:val="1"/>
                <w:szCs w:val="1"/>
                <w:color w:val="auto"/>
              </w:rPr>
            </w:pPr>
          </w:p>
        </w:tc>
      </w:tr>
      <w:tr>
        <w:trPr>
          <w:trHeight w:val="176"/>
        </w:trPr>
        <w:tc>
          <w:tcPr>
            <w:tcW w:w="40" w:type="dxa"/>
            <w:vAlign w:val="bottom"/>
            <w:tcBorders>
              <w:right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Borders>
              <w:right w:val="single" w:sz="8" w:color="auto"/>
            </w:tcBorders>
          </w:tcPr>
          <w:p>
            <w:pPr>
              <w:jc w:val="center"/>
              <w:ind w:right="230"/>
              <w:spacing w:after="0" w:line="157" w:lineRule="exact"/>
              <w:rPr>
                <w:sz w:val="20"/>
                <w:szCs w:val="20"/>
                <w:color w:val="auto"/>
              </w:rPr>
            </w:pPr>
            <w:r>
              <w:rPr>
                <w:rFonts w:ascii="Arial" w:cs="Arial" w:eastAsia="Arial" w:hAnsi="Arial"/>
                <w:sz w:val="18"/>
                <w:szCs w:val="18"/>
                <w:color w:val="auto"/>
                <w:w w:val="94"/>
              </w:rPr>
              <w:t>With</w:t>
            </w:r>
          </w:p>
        </w:tc>
        <w:tc>
          <w:tcPr>
            <w:tcW w:w="44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36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4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c>
          <w:tcPr>
            <w:tcW w:w="9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w w:val="99"/>
              </w:rPr>
              <w:t>86,418 shares</w:t>
            </w:r>
          </w:p>
        </w:tc>
        <w:tc>
          <w:tcPr>
            <w:tcW w:w="9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vMerge w:val="restart"/>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42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0.2%</w:t>
            </w: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IN, OO</w:t>
            </w: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40"/>
          </w:cols>
          <w:pgMar w:left="440" w:top="634"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 w:name="page6"/>
    <w:bookmarkEnd w:id="5"/>
    <w:p>
      <w:pPr>
        <w:spacing w:after="0"/>
        <w:tabs>
          <w:tab w:leader="none" w:pos="96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29251M106</w:t>
      </w:r>
      <w:r>
        <w:rPr>
          <w:sz w:val="20"/>
          <w:szCs w:val="20"/>
          <w:color w:val="auto"/>
        </w:rPr>
        <w:tab/>
      </w:r>
      <w:r>
        <w:rPr>
          <w:rFonts w:ascii="Arial" w:cs="Arial" w:eastAsia="Arial" w:hAnsi="Arial"/>
          <w:sz w:val="15"/>
          <w:szCs w:val="15"/>
          <w:b w:val="1"/>
          <w:bCs w:val="1"/>
          <w:color w:val="auto"/>
        </w:rPr>
        <w:t>Page 6 of 8 Pages</w:t>
      </w:r>
    </w:p>
    <w:p>
      <w:pPr>
        <w:spacing w:after="0" w:line="1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This Amendment No. 1 to the statement on Schedule 13D (this “Statement”) with respect to the shares of common stock, par value $0.0001 per share (the “Shares”), of Selecta Biosciences, Inc., a Delaware corporation (the “Issuer”), filed by Timothy A. Springer (“Dr. Springer”), TAS Partners LLC (“TAS”), Leukon Investments, LP (“Leukon”) and Chafen Lu (“Dr. Lu” and, collectively, the “Reporting Persons”) on March 27, 2019 (such statement, as amended herein, the “Schedule 13D”), amends the Schedule 13D as set forth below.</w:t>
      </w:r>
    </w:p>
    <w:p>
      <w:pPr>
        <w:spacing w:after="0" w:line="18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All capitalized terms contained herein but not otherwise defined shall have the meanings ascribed to such terms in the Schedule 13D. Except as specifically amended by this Amendment No. 1, items in the Schedule 13D are unchanged.</w:t>
      </w:r>
    </w:p>
    <w:p>
      <w:pPr>
        <w:spacing w:after="0" w:line="31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u w:val="single" w:color="auto"/>
          <w:color w:val="auto"/>
        </w:rPr>
        <w:t>Source and Amount of Funds or Other Consideration</w:t>
      </w:r>
      <w:r>
        <w:rPr>
          <w:rFonts w:ascii="Arial" w:cs="Arial" w:eastAsia="Arial" w:hAnsi="Arial"/>
          <w:sz w:val="16"/>
          <w:szCs w:val="16"/>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Item 3 of the Schedule 13D is hereby amended to be supplemented by the following:</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August 20, 2019, Dr. Springer and TAS purchased from the Issuer, pursuant to a stock purchase agreement by and among the Issuer, Dr. Springer, TAS, and other investors (the “Stock Purchase Agreement”), 1,600,000 Shares and 1,100,000 Shares, respectively, each at a price of $1.81 per share, which was equal to the most recent consolidated closing bid price on the Nasdaq Global Market on August 20, 2019, for an aggregate purchase price of approximately $2.9 million and approximately $2.0 million, respectively. Dr. Springer used personal funds and TAS drew from its investment capital for such acquisitions.</w:t>
      </w:r>
    </w:p>
    <w:p>
      <w:pPr>
        <w:spacing w:after="0" w:line="18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On August 14, 2019, Dr. Lu purchased 10,000 Shares on the open market at a weighted average price of $1.7415 per share for an aggregate purchase price of approximately $17,000 (excluding commissions). Dr. Lu used personal funds for such acquisition.</w:t>
      </w:r>
    </w:p>
    <w:p>
      <w:pPr>
        <w:spacing w:after="0" w:line="17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Dr. Springer is the beneficial owner of an additional 16,410 Shares underlying options, of which 6,410 were granted on June 16, 2017 with an exercise price of $17.47 per share, and 10,000 were granted on June 22, 2018 with an exercise price of $12.75 per share (together, the “Options”), each of which were fully exercisable as of August 20, 2019. The Options were awarded as compensation for Dr. Springer’s service as a member of the board of directors for the Issuer and Dr. Springer paid no consideration for the Options. The Options each have a term of ten years from the respective date of grant. Dr. Springer has not exercised any portion of any of the Options as of the date hereof.</w:t>
      </w:r>
    </w:p>
    <w:p>
      <w:pPr>
        <w:spacing w:after="0" w:line="321"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Interest in Securities of the Issuer</w:t>
      </w:r>
      <w:r>
        <w:rPr>
          <w:rFonts w:ascii="Arial" w:cs="Arial" w:eastAsia="Arial" w:hAnsi="Arial"/>
          <w:sz w:val="16"/>
          <w:szCs w:val="16"/>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Item 5 of Schedule 13 is hereby amended and restated in full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under Item 3 and the cover page of the Schedule 13D is incorporated herein by reference into this Item 5.</w:t>
      </w:r>
    </w:p>
    <w:p>
      <w:pPr>
        <w:spacing w:after="0" w:line="225" w:lineRule="exact"/>
        <w:rPr>
          <w:sz w:val="20"/>
          <w:szCs w:val="20"/>
          <w:color w:val="auto"/>
        </w:rPr>
      </w:pPr>
    </w:p>
    <w:p>
      <w:pPr>
        <w:jc w:val="both"/>
        <w:ind w:right="140" w:firstLine="444"/>
        <w:spacing w:after="0" w:line="286" w:lineRule="auto"/>
        <w:tabs>
          <w:tab w:leader="none" w:pos="685"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percentages of beneficial ownership reported in this Item 5, and on each Reporting Person’s cover page to this Statement, are based on a total of 48,141,125 Shares issued and outstanding as of August 20, 2019, which includes 44,962,951 Shares issued and outstanding on August 2, 2019, as reported on the Issuer’s Quarterly Report on Form 10-Q, dated August 8, 2019, as well as an additional 3,178,174 Shares issued to certain investors, including Dr. Springer and TAS, on August 20, 2019 pursuant to the Stock Purchase Agreement, as reported on the Issuer’s Current Report on Form</w:t>
      </w:r>
    </w:p>
    <w:p>
      <w:pPr>
        <w:spacing w:after="0" w:line="1" w:lineRule="exact"/>
        <w:rPr>
          <w:rFonts w:ascii="Arial" w:cs="Arial" w:eastAsia="Arial" w:hAnsi="Arial"/>
          <w:sz w:val="16"/>
          <w:szCs w:val="16"/>
          <w:color w:val="auto"/>
        </w:rPr>
      </w:pPr>
    </w:p>
    <w:p>
      <w:pPr>
        <w:ind w:right="20"/>
        <w:spacing w:after="0" w:line="261" w:lineRule="auto"/>
        <w:rPr>
          <w:rFonts w:ascii="Arial" w:cs="Arial" w:eastAsia="Arial" w:hAnsi="Arial"/>
          <w:sz w:val="16"/>
          <w:szCs w:val="16"/>
          <w:color w:val="auto"/>
        </w:rPr>
      </w:pPr>
      <w:r>
        <w:rPr>
          <w:rFonts w:ascii="Arial" w:cs="Arial" w:eastAsia="Arial" w:hAnsi="Arial"/>
          <w:sz w:val="18"/>
          <w:szCs w:val="18"/>
          <w:color w:val="auto"/>
        </w:rPr>
        <w:t>8-K, dated August 20, 2019. All of the Share numbers reported below, and on each Reporting Person’s cover page to this Statement, are as of August 20, 2019.</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Reporting Persons, in the aggregate, beneficially own 9,030,789 Shares, representing approximately 18.7% of such class of securities.</w:t>
      </w:r>
    </w:p>
    <w:p>
      <w:pPr>
        <w:spacing w:after="0" w:line="23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Dr. Springer is the beneficial owner of a total of 9,030,789 Shares, representing approximately 18.7% of the outstanding Shares and consisting of (i) 6,056,597 Shares held directly, (ii) 79,130 Shares underlying warrants exercisable within 60 days of August 20, 2019 held directly, (iii) 16,410 Shares issuable upon exercise of outstanding options within 60 days of August 20, 2019 and held directly, (iv) 1,545,576 Shares held by TAS, (v) 4,304 Shares underlying warrants exercisable within 60 days of August , 2019 held by TAS, (vi) 1,237,028 Shares held by Leukon, (vii) 5,326 Shares underlying warrants exercisable within 60 days of August 20, 2019 held by Leukon, and (viii) 86,418 Shares held by Dr. Lu.</w:t>
      </w:r>
    </w:p>
    <w:p>
      <w:pPr>
        <w:sectPr>
          <w:pgSz w:w="11900" w:h="16838" w:orient="portrait"/>
          <w:cols w:equalWidth="0" w:num="1">
            <w:col w:w="11020"/>
          </w:cols>
          <w:pgMar w:left="440" w:top="270" w:right="439" w:bottom="1440" w:gutter="0" w:footer="0" w:header="0"/>
        </w:sectPr>
      </w:pPr>
    </w:p>
    <w:bookmarkStart w:id="6" w:name="page7"/>
    <w:bookmarkEnd w:id="6"/>
    <w:p>
      <w:pPr>
        <w:spacing w:after="0"/>
        <w:tabs>
          <w:tab w:leader="none" w:pos="96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29251M106</w:t>
      </w:r>
      <w:r>
        <w:rPr>
          <w:sz w:val="20"/>
          <w:szCs w:val="20"/>
          <w:color w:val="auto"/>
        </w:rPr>
        <w:tab/>
      </w:r>
      <w:r>
        <w:rPr>
          <w:rFonts w:ascii="Arial" w:cs="Arial" w:eastAsia="Arial" w:hAnsi="Arial"/>
          <w:sz w:val="15"/>
          <w:szCs w:val="15"/>
          <w:b w:val="1"/>
          <w:bCs w:val="1"/>
          <w:color w:val="auto"/>
        </w:rPr>
        <w:t>Page 7 of 8 Pages</w:t>
      </w:r>
    </w:p>
    <w:p>
      <w:pPr>
        <w:spacing w:after="0" w:line="16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TAS is the beneficial owner of a total of 1,549,880 Shares, representing approximately 3.2% of the outstanding Shares and consisting of (i) 1,545,576 Shares and (ii) 4,304 Shares underlying warrants exercisable within 60 days of August 20, 2019. TAS holds all such Shares directly. Dr. Springer is the sole managing member of TAS.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Leukon is the beneficial owner of a total of 1,242,354 Shares, representing approximately 2.6% of the outstanding Shares and consisting of (i) 1,237,028 Shares and (ii) 5,326 Shares underlying warrants exercisable within 60 days of August 20, 2019. Leukon holds all such Shares directly. LKST, Inc. is the general partner of Leukon and Dr. Springer is the president of LKST, Inc.</w:t>
      </w:r>
    </w:p>
    <w:p>
      <w:pPr>
        <w:spacing w:after="0" w:line="1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Dr. Lu is the beneficial owner of a total of 86,418 Shares, representing approximately 0.2% of the outstanding Shares. Dr. Lu holds all such Shares directly. Dr. Lu is the spouse of Dr. Springer.</w:t>
      </w:r>
    </w:p>
    <w:p>
      <w:pPr>
        <w:spacing w:after="0" w:line="62" w:lineRule="exact"/>
        <w:rPr>
          <w:sz w:val="20"/>
          <w:szCs w:val="20"/>
          <w:color w:val="auto"/>
        </w:rPr>
      </w:pPr>
    </w:p>
    <w:p>
      <w:pPr>
        <w:ind w:right="40" w:firstLine="444"/>
        <w:spacing w:after="0" w:line="264" w:lineRule="auto"/>
        <w:tabs>
          <w:tab w:leader="none" w:pos="696" w:val="left"/>
        </w:tabs>
        <w:numPr>
          <w:ilvl w:val="0"/>
          <w:numId w:val="3"/>
        </w:numPr>
        <w:rPr>
          <w:rFonts w:ascii="Arial" w:cs="Arial" w:eastAsia="Arial" w:hAnsi="Arial"/>
          <w:sz w:val="18"/>
          <w:szCs w:val="18"/>
          <w:color w:val="auto"/>
        </w:rPr>
      </w:pPr>
      <w:r>
        <w:rPr>
          <w:rFonts w:ascii="Arial" w:cs="Arial" w:eastAsia="Arial" w:hAnsi="Arial"/>
          <w:sz w:val="18"/>
          <w:szCs w:val="18"/>
          <w:color w:val="auto"/>
        </w:rPr>
        <w:t>Dr. Springer exercises sole voting and dispositive power over the Shares held by him directly and the Shares held by each of TAS and Leukon. Dr. Springer disclaims beneficial ownership of the Shares held by TAS and Leukon, except to the extent of his pecuniary interest therein. Dr. Lu exercises sole voting and dispositive power over the Shares held by her directly.</w:t>
      </w:r>
    </w:p>
    <w:p>
      <w:pPr>
        <w:spacing w:after="0" w:line="73" w:lineRule="exact"/>
        <w:rPr>
          <w:rFonts w:ascii="Arial" w:cs="Arial" w:eastAsia="Arial" w:hAnsi="Arial"/>
          <w:sz w:val="18"/>
          <w:szCs w:val="18"/>
          <w:color w:val="auto"/>
        </w:rPr>
      </w:pPr>
    </w:p>
    <w:p>
      <w:pPr>
        <w:ind w:right="100" w:firstLine="444"/>
        <w:spacing w:after="0" w:line="277" w:lineRule="auto"/>
        <w:tabs>
          <w:tab w:leader="none" w:pos="68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Reporting Persons have not engaged in any transactions with respect to the Shares during the 60 days before the date of this filing, except as described in Item 3 above.</w:t>
      </w:r>
    </w:p>
    <w:p>
      <w:pPr>
        <w:spacing w:after="0" w:line="62" w:lineRule="exact"/>
        <w:rPr>
          <w:rFonts w:ascii="Arial" w:cs="Arial" w:eastAsia="Arial" w:hAnsi="Arial"/>
          <w:sz w:val="18"/>
          <w:szCs w:val="18"/>
          <w:color w:val="auto"/>
        </w:rPr>
      </w:pPr>
    </w:p>
    <w:p>
      <w:pPr>
        <w:ind w:right="260" w:firstLine="444"/>
        <w:spacing w:after="0" w:line="277" w:lineRule="auto"/>
        <w:tabs>
          <w:tab w:leader="none" w:pos="696"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person other than the Reporting Persons is known to have the right to receive or the power to direct the receipt of dividends from, or the proceeds from the sale of, the Shares.</w:t>
      </w:r>
    </w:p>
    <w:p>
      <w:pPr>
        <w:spacing w:after="0" w:line="62" w:lineRule="exact"/>
        <w:rPr>
          <w:rFonts w:ascii="Arial" w:cs="Arial" w:eastAsia="Arial" w:hAnsi="Arial"/>
          <w:sz w:val="18"/>
          <w:szCs w:val="18"/>
          <w:color w:val="auto"/>
        </w:rPr>
      </w:pPr>
    </w:p>
    <w:p>
      <w:pPr>
        <w:ind w:left="680" w:hanging="236"/>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7. </w:t>
      </w:r>
      <w:r>
        <w:rPr>
          <w:rFonts w:ascii="Arial" w:cs="Arial" w:eastAsia="Arial" w:hAnsi="Arial"/>
          <w:sz w:val="18"/>
          <w:szCs w:val="18"/>
          <w:u w:val="single" w:color="auto"/>
          <w:color w:val="auto"/>
        </w:rPr>
        <w:t>Material to be Filed as Exhibits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Item 7 of the Schedule 13D is hereby amended to be supplemented by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7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5880" w:type="dxa"/>
            <w:vAlign w:val="bottom"/>
            <w:gridSpan w:val="4"/>
          </w:tcPr>
          <w:p>
            <w:pPr>
              <w:ind w:left="1020"/>
              <w:spacing w:after="0"/>
              <w:rPr>
                <w:sz w:val="20"/>
                <w:szCs w:val="20"/>
                <w:color w:val="auto"/>
              </w:rPr>
            </w:pPr>
            <w:r>
              <w:rPr>
                <w:rFonts w:ascii="Arial" w:cs="Arial" w:eastAsia="Arial" w:hAnsi="Arial"/>
                <w:sz w:val="14"/>
                <w:szCs w:val="14"/>
                <w:b w:val="1"/>
                <w:bCs w:val="1"/>
                <w:color w:val="auto"/>
              </w:rPr>
              <w:t>Exhibit</w:t>
            </w:r>
          </w:p>
        </w:tc>
      </w:tr>
      <w:tr>
        <w:trPr>
          <w:trHeight w:val="20"/>
        </w:trPr>
        <w:tc>
          <w:tcPr>
            <w:tcW w:w="7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77"/>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740" w:type="dxa"/>
            <w:vAlign w:val="bottom"/>
          </w:tcPr>
          <w:p>
            <w:pPr>
              <w:spacing w:after="0"/>
              <w:rPr>
                <w:sz w:val="24"/>
                <w:szCs w:val="24"/>
                <w:color w:val="auto"/>
              </w:rPr>
            </w:pPr>
          </w:p>
        </w:tc>
        <w:tc>
          <w:tcPr>
            <w:tcW w:w="9420" w:type="dxa"/>
            <w:vAlign w:val="bottom"/>
            <w:gridSpan w:val="5"/>
          </w:tcPr>
          <w:p>
            <w:pPr>
              <w:spacing w:after="0"/>
              <w:rPr>
                <w:rFonts w:ascii="Arial" w:cs="Arial" w:eastAsia="Arial" w:hAnsi="Arial"/>
                <w:sz w:val="18"/>
                <w:szCs w:val="18"/>
                <w:color w:val="0000EE"/>
                <w:w w:val="91"/>
              </w:rPr>
            </w:pPr>
            <w:hyperlink r:id="rId23">
              <w:r>
                <w:rPr>
                  <w:rFonts w:ascii="Arial" w:cs="Arial" w:eastAsia="Arial" w:hAnsi="Arial"/>
                  <w:sz w:val="18"/>
                  <w:szCs w:val="18"/>
                  <w:color w:val="0000EE"/>
                  <w:w w:val="91"/>
                </w:rPr>
                <w:t>Stock Purchase Agreement, dated August 19, 2019, by and among Selecta Biosciences, Inc. and the individuals identified on the</w:t>
              </w:r>
            </w:hyperlink>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540" w:type="dxa"/>
            <w:vAlign w:val="bottom"/>
            <w:shd w:val="clear" w:color="auto" w:fill="0000EE"/>
          </w:tcPr>
          <w:p>
            <w:pPr>
              <w:spacing w:after="0" w:line="20" w:lineRule="exact"/>
              <w:rPr>
                <w:sz w:val="1"/>
                <w:szCs w:val="1"/>
                <w:color w:val="auto"/>
              </w:rPr>
            </w:pPr>
          </w:p>
        </w:tc>
        <w:tc>
          <w:tcPr>
            <w:tcW w:w="576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2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23">
              <w:r>
                <w:rPr>
                  <w:rFonts w:ascii="Arial" w:cs="Arial" w:eastAsia="Arial" w:hAnsi="Arial"/>
                  <w:sz w:val="18"/>
                  <w:szCs w:val="18"/>
                  <w:color w:val="0000EE"/>
                  <w:w w:val="90"/>
                </w:rPr>
                <w:t>signature pages thereto (incorporated by reference to Exhibit 10.1 to the Report on Form 8-K filed by the Issuer with the Securities</w:t>
              </w:r>
            </w:hyperlink>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20" w:type="dxa"/>
            <w:vAlign w:val="bottom"/>
            <w:gridSpan w:val="5"/>
          </w:tcPr>
          <w:p>
            <w:pPr>
              <w:spacing w:after="0" w:line="196" w:lineRule="exact"/>
              <w:rPr>
                <w:rFonts w:ascii="Arial" w:cs="Arial" w:eastAsia="Arial" w:hAnsi="Arial"/>
                <w:sz w:val="18"/>
                <w:szCs w:val="18"/>
                <w:color w:val="0000EE"/>
              </w:rPr>
            </w:pPr>
            <w:hyperlink r:id="rId23">
              <w:r>
                <w:rPr>
                  <w:rFonts w:ascii="Arial" w:cs="Arial" w:eastAsia="Arial" w:hAnsi="Arial"/>
                  <w:sz w:val="18"/>
                  <w:szCs w:val="18"/>
                  <w:color w:val="0000EE"/>
                </w:rPr>
                <w:t>and Exchange Commission on August 20, 2019).</w:t>
              </w:r>
            </w:hyperlink>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540" w:type="dxa"/>
            <w:vAlign w:val="bottom"/>
            <w:shd w:val="clear" w:color="auto" w:fill="0000EE"/>
          </w:tcPr>
          <w:p>
            <w:pPr>
              <w:spacing w:after="0" w:line="20" w:lineRule="exact"/>
              <w:rPr>
                <w:sz w:val="1"/>
                <w:szCs w:val="1"/>
                <w:color w:val="auto"/>
              </w:rPr>
            </w:pPr>
          </w:p>
        </w:tc>
        <w:tc>
          <w:tcPr>
            <w:tcW w:w="5880" w:type="dxa"/>
            <w:vAlign w:val="bottom"/>
            <w:gridSpan w:val="4"/>
          </w:tcPr>
          <w:p>
            <w:pPr>
              <w:spacing w:after="0" w:line="20" w:lineRule="exact"/>
              <w:rPr>
                <w:sz w:val="1"/>
                <w:szCs w:val="1"/>
                <w:color w:val="auto"/>
              </w:rPr>
            </w:pPr>
          </w:p>
        </w:tc>
      </w:tr>
      <w:tr>
        <w:trPr>
          <w:trHeight w:val="453"/>
        </w:trPr>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20" w:type="dxa"/>
            <w:vAlign w:val="bottom"/>
            <w:gridSpan w:val="5"/>
          </w:tcPr>
          <w:p>
            <w:pPr>
              <w:ind w:left="3160"/>
              <w:spacing w:after="0"/>
              <w:rPr>
                <w:sz w:val="20"/>
                <w:szCs w:val="20"/>
                <w:color w:val="auto"/>
              </w:rPr>
            </w:pPr>
            <w:r>
              <w:rPr>
                <w:rFonts w:ascii="Arial" w:cs="Arial" w:eastAsia="Arial" w:hAnsi="Arial"/>
                <w:sz w:val="18"/>
                <w:szCs w:val="18"/>
                <w:i w:val="1"/>
                <w:iCs w:val="1"/>
                <w:color w:val="auto"/>
              </w:rPr>
              <w:t>[signature page follows]</w:t>
            </w:r>
          </w:p>
        </w:tc>
      </w:tr>
    </w:tbl>
    <w:p>
      <w:pPr>
        <w:sectPr>
          <w:pgSz w:w="11900" w:h="16838" w:orient="portrait"/>
          <w:cols w:equalWidth="0" w:num="1">
            <w:col w:w="11020"/>
          </w:cols>
          <w:pgMar w:left="440" w:top="270" w:right="439" w:bottom="1440" w:gutter="0" w:footer="0" w:header="0"/>
        </w:sectPr>
      </w:pPr>
    </w:p>
    <w:bookmarkStart w:id="7" w:name="page8"/>
    <w:bookmarkEnd w:id="7"/>
    <w:p>
      <w:pPr>
        <w:spacing w:after="0"/>
        <w:tabs>
          <w:tab w:leader="none" w:pos="96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29251M106</w:t>
      </w:r>
      <w:r>
        <w:rPr>
          <w:sz w:val="20"/>
          <w:szCs w:val="20"/>
          <w:color w:val="auto"/>
        </w:rPr>
        <w:tab/>
      </w:r>
      <w:r>
        <w:rPr>
          <w:rFonts w:ascii="Arial" w:cs="Arial" w:eastAsia="Arial" w:hAnsi="Arial"/>
          <w:sz w:val="15"/>
          <w:szCs w:val="15"/>
          <w:b w:val="1"/>
          <w:bCs w:val="1"/>
          <w:color w:val="auto"/>
        </w:rPr>
        <w:t>Page 8 of 8 Pages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ind w:right="580" w:firstLine="992"/>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August 23, 2019</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Timothy A. Springer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Timothy A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-130810</wp:posOffset>
            </wp:positionV>
            <wp:extent cx="27959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3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Chafen Lu</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Chafen 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-130810</wp:posOffset>
            </wp:positionV>
            <wp:extent cx="27959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31"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TAS Partners LLC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Timothy A.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4543425</wp:posOffset>
            </wp:positionH>
            <wp:positionV relativeFrom="paragraph">
              <wp:posOffset>14605</wp:posOffset>
            </wp:positionV>
            <wp:extent cx="24612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0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Timothy A. Springer</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Manager</w:t>
      </w:r>
    </w:p>
    <w:p>
      <w:pPr>
        <w:spacing w:after="0" w:line="25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Leukon Investments, LP</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By: LKST Inc., its General Partner</w:t>
      </w:r>
    </w:p>
    <w:p>
      <w:pPr>
        <w:spacing w:after="0" w:line="224"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Timothy A.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4543425</wp:posOffset>
            </wp:positionH>
            <wp:positionV relativeFrom="paragraph">
              <wp:posOffset>14605</wp:posOffset>
            </wp:positionV>
            <wp:extent cx="24612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0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Timothy A. Springer</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President</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3" Type="http://schemas.openxmlformats.org/officeDocument/2006/relationships/hyperlink" Target="http://www.sec.gov/Archives/edgar/data/1453687/000141057819000832/tv527995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2019-11-29T22:01:42Z</dcterms:created>
  <dcterms:modified xsi:type="dcterms:W3CDTF">2019-11-29T22:01:42Z</dcterms:modified>
</cp:coreProperties>
</file>