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Carsten Brunn, Ph.D.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Cartesian Therapeutics,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704 Quince Orchard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Gaithersburg, MD 20878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Cartesian Therapeutics,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9, 2024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333-281204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Carsten Brunn Ph.D.: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526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 following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S-1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Overview, page 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 and reissue in part. Please revise your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 to define the term "durable clinical benefit" as used here and</w:t>
      </w:r>
    </w:p>
    <w:p>
      <w:pPr>
        <w:ind w:right="25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throughout the prospectus. In your revisions, please also briefly discuss the objective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underlying your conclusion that you observed a "durable clinical benefit" in</w:t>
      </w:r>
    </w:p>
    <w:p>
      <w:pPr>
        <w:ind w:right="27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Phase 2 clinical trial in patients with myasthenia gravis. Risk Factors</w:t>
      </w:r>
    </w:p>
    <w:p>
      <w:pPr>
        <w:ind w:right="21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Anti-takeover provisions in our charter documents and under Delaware law..., page 34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 and reissue in part. Please further revise this</w:t>
      </w:r>
    </w:p>
    <w:p>
      <w:pPr>
        <w:ind w:right="20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 to clearly state whether this provision applies to actions arising under the</w:t>
      </w:r>
    </w:p>
    <w:p>
      <w:pPr>
        <w:ind w:right="23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 If this provision does not apply to actions arising under</w:t>
      </w:r>
    </w:p>
    <w:p>
      <w:pPr>
        <w:ind w:right="8139" w:firstLine="105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2024 Page 2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 or Exchange Act, please also ensure that the exclusive forum provision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governing documents states this clearly, or tell us how you will inform investors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future filings that the provision does not apply to any actions arising under the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</w:t>
      </w:r>
    </w:p>
    <w:p>
      <w:pPr>
        <w:ind w:right="23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42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read your response to prior comment three. Please address the following points:</w:t>
      </w:r>
    </w:p>
    <w:p>
      <w:pPr>
        <w:ind w:right="1919" w:firstLine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requested in the prior comment, please expand your disclosure of research and</w:t>
      </w:r>
    </w:p>
    <w:p>
      <w:pPr>
        <w:ind w:right="2119" w:firstLine="1053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expenses that you do not track by program to provide a breakdown by</w:t>
      </w:r>
    </w:p>
    <w:p>
      <w:pPr>
        <w:ind w:left="10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type or nature of expense for each period presented.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6120" w:type="dxa"/>
            <w:vAlign w:val="bottom"/>
            <w:gridSpan w:val="2"/>
          </w:tcPr>
          <w:p>
            <w:pPr>
              <w:ind w:left="11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indicate in your response that the phrase</w:t>
            </w:r>
          </w:p>
        </w:tc>
        <w:tc>
          <w:tcPr>
            <w:tcW w:w="2200" w:type="dxa"/>
            <w:vAlign w:val="bottom"/>
          </w:tcPr>
          <w:p>
            <w:pPr>
              <w:ind w:left="2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strategic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reprioritization,</w:t>
            </w:r>
          </w:p>
        </w:tc>
        <w:tc>
          <w:tcPr>
            <w:tcW w:w="4160" w:type="dxa"/>
            <w:vAlign w:val="bottom"/>
          </w:tcPr>
          <w:p>
            <w:pPr>
              <w:ind w:left="2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on page 45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3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of the Amended Registration Statement, is being used to describe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shift in the</w:t>
            </w:r>
          </w:p>
        </w:tc>
        <w:tc>
          <w:tcPr>
            <w:tcW w:w="63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focus following the Merger to devote substantially all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6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its financial</w:t>
            </w:r>
          </w:p>
        </w:tc>
        <w:tc>
          <w:tcPr>
            <w:tcW w:w="4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1919" w:firstLine="1053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resources and efforts to developing its mRNA-based therapies for the treatment of</w:t>
      </w:r>
    </w:p>
    <w:p>
      <w:pPr>
        <w:sectPr>
          <w:pgSz w:w="11900" w:h="16973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2119" w:firstLine="1053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autoimmune diseases. Please expand your disclosure here to include this information.</w:t>
      </w:r>
    </w:p>
    <w:p>
      <w:pPr>
        <w:ind w:right="2019" w:firstLine="115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Confirm in your response that, to the extent you do track expenses by program in the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future, you will separately disclose the amount of such expenses 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Clinical Development, page 62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57" w:lineRule="auto"/>
        <w:tabs>
          <w:tab w:leader="none" w:pos="737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disclosure in this section stating that adverse events observed in your clinical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 of Descartes-08 were "transient and mostly mild." We also note that the table on page</w:t>
      </w:r>
    </w:p>
    <w:p>
      <w:pPr>
        <w:ind w:right="19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64 indicates that three of the adverse events observed were reported as Serious Adverse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Events. Please revise the narrative disclosure appearing in this section to clearly disclose</w:t>
      </w:r>
    </w:p>
    <w:p>
      <w:pPr>
        <w:ind w:right="181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number of Serious Adverse Events observed in your clinical trials of Descartes-08.</w:t>
      </w:r>
    </w:p>
    <w:p>
      <w:pPr>
        <w:ind w:right="265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Tracie Mariner at 202-551-3744 or Kevin Vaughn at 202-551-3494 if you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Tyler Howes at 202-551-3370 or Tim Buchmiller at 202-551-3635 with any other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Sarah C. Griffiths, Esq.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2024-10-30T23:12:21Z</dcterms:created>
  <dcterms:modified xsi:type="dcterms:W3CDTF">2024-10-30T23:12:21Z</dcterms:modified>
</cp:coreProperties>
</file>