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31, 2023</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65 Grove Street, Watertown, MA 02472</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 March 31, 2023, Selecta Biosciences, Inc. (the “Company”) entered into a Fourth Amendment to Loan and Security Agreement (the “Fourth Amendment”),which amended that certain Loan and Security Agreement, dated August 31, 2020, between the Company, Oxford Finance LLC, as collateral agent and as a lender, and Silicon Valley Bank, a division of First-Citizens Bank &amp; Trust Company (successor by purchase to the Federal Deposit Insurance Corporation as Receiver for Silicon Valley Bridge Bank, N.A. (as successor to Silicon Valley Bank)) (“Silicon Valley Bank”) as a lender (as amended by that certain First Amendment to Loan and Security Agreement, dated September 7, 2021, that certain Second Amendment to Loan and Security Agreement, dated March 21, 2022, that certain Third Amendment to Loan and Security Agreement, dated September 20, 2022, and as further amended by the Fourth Amendment, the “Loan Agreement”).</w:t>
      </w:r>
    </w:p>
    <w:p>
      <w:pPr>
        <w:spacing w:after="0" w:line="67" w:lineRule="exact"/>
        <w:rPr>
          <w:sz w:val="20"/>
          <w:szCs w:val="20"/>
          <w:color w:val="auto"/>
        </w:rPr>
      </w:pPr>
    </w:p>
    <w:p>
      <w:pPr>
        <w:ind w:right="160" w:firstLine="324"/>
        <w:spacing w:after="0" w:line="245" w:lineRule="auto"/>
        <w:rPr>
          <w:sz w:val="20"/>
          <w:szCs w:val="20"/>
          <w:color w:val="auto"/>
        </w:rPr>
      </w:pPr>
      <w:r>
        <w:rPr>
          <w:rFonts w:ascii="Times New Roman" w:cs="Times New Roman" w:eastAsia="Times New Roman" w:hAnsi="Times New Roman"/>
          <w:sz w:val="18"/>
          <w:szCs w:val="18"/>
          <w:color w:val="auto"/>
        </w:rPr>
        <w:t>The Fourth Amendment, among other things, relieves the Company of the requirement to maintain all Collateral Accounts (as such term is defined in the Loan Agreement) with Silicon Valley Bank, and instead requires the Company to hold an amount equal to the lesser of (i) 100% of the Company’s consolidated cash and (ii) 150% of the then-outstanding Obligations (as such term is defined in the Loan Agreement) in Collateral Accounts with Silicon Valley Bank that are subject to a Control Agreement (as such term is defined in the Loan Agreement) in favor of Silicon Valley Bank.</w:t>
      </w:r>
    </w:p>
    <w:p>
      <w:pPr>
        <w:spacing w:after="0" w:line="86"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Fourth Amendment is a summary thereof, and is qualified in its entirety by reference to the full text of the Fourth Amendment, which is filed herewith as Exhibit 10.1, and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980" w:type="dxa"/>
            <w:vAlign w:val="bottom"/>
            <w:gridSpan w:val="4"/>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6980" w:type="dxa"/>
            <w:vAlign w:val="bottom"/>
            <w:tcBorders>
              <w:bottom w:val="single" w:sz="8" w:color="auto"/>
            </w:tcBorders>
            <w:gridSpan w:val="4"/>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Fourth Amendment to Loan and Security Agreement, dated March 31, 2023, between Selecta Biosciences, Inc., Oxford Finance</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2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8"/>
              </w:rPr>
              <w:t>LLC, as Collateral Agent and as a lender, and Silicon Valley Bank, a division of First-Citizens Bank &amp; Trust Company (successor</w:t>
            </w:r>
          </w:p>
        </w:tc>
        <w:tc>
          <w:tcPr>
            <w:tcW w:w="120" w:type="dxa"/>
            <w:vAlign w:val="bottom"/>
            <w:tcBorders>
              <w:bottom w:val="single" w:sz="8" w:color="0000FF"/>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by purchase to the Federal Deposit Insurance Corporation as Receiver for Silicon Valley Bridge Bank, N.A. (as successor to</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Silicon Valley Bank)), as a lender.</w:t>
            </w:r>
          </w:p>
        </w:tc>
        <w:tc>
          <w:tcPr>
            <w:tcW w:w="5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0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65"/>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7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SELECTA BIOSCIENCES, INC.</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4, 2023</w:t>
            </w: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FOURTH AMENDMENT TO LOAN AND SECURITY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FOURTH AMENDMENT to Loan and Security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as of March 31, 2023, by and among</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OXFORD FINANCE LLC, a Delaware limited liability company with an office located at 115 South Union Street, Suite 300, Alexandria, Virginia 22314 (“</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as collateral agent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the Lenders listed on Schedule 1.1 to the Loan Agreement (as defined below) or otherwise a party thereto from time to time including Oxford in its capacity as a Lender and SILICON VALLEY BANK, a division of First-Citizens Bank</w:t>
      </w:r>
    </w:p>
    <w:p>
      <w:pPr>
        <w:spacing w:after="0" w:line="2" w:lineRule="exact"/>
        <w:rPr>
          <w:sz w:val="20"/>
          <w:szCs w:val="20"/>
          <w:color w:val="auto"/>
        </w:rPr>
      </w:pPr>
    </w:p>
    <w:p>
      <w:pPr>
        <w:jc w:val="both"/>
        <w:ind w:firstLine="8"/>
        <w:spacing w:after="0" w:line="218" w:lineRule="auto"/>
        <w:tabs>
          <w:tab w:leader="none" w:pos="1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(successor by purchase to the Federal Deposit Insurance Corporation as Receiver for Silicon Valley Bridge Bank, N.A. (as successor to Silicon Valley Bank)) with an office located at 3003 Tasman Drive, Santa Clara, CA 95054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SVB</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SELECTA BIOSCIENCES, INC., a Delaware corporation with offices located at 65 Grove Street, Suite 101, Watertown, MA 02472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Collateral Agent, Borrower and Lenders have entered into that certain Loan and Security Agreement dated as of August 31, 2020 (as amended by that certain First Amendment to Loan and Security Agreement dated as of September 7, 2021, as amended by that certain Second Amendment to Loan and Security Agreement dated as of March 21, 2022, as amended by that certain Third Amendment to Loan and Security Agreement dated as of September 20, 2022 and as further amended,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pursuant to which Lenders have provided to Borrower certain loans in accordance with the terms and conditions thereof.</w:t>
      </w:r>
    </w:p>
    <w:p>
      <w:pPr>
        <w:spacing w:after="0" w:line="171" w:lineRule="exact"/>
        <w:rPr>
          <w:rFonts w:ascii="Times New Roman" w:cs="Times New Roman" w:eastAsia="Times New Roman" w:hAnsi="Times New Roman"/>
          <w:sz w:val="18"/>
          <w:szCs w:val="18"/>
          <w:color w:val="auto"/>
        </w:rPr>
      </w:pPr>
    </w:p>
    <w:p>
      <w:pPr>
        <w:ind w:firstLine="656"/>
        <w:spacing w:after="0" w:line="237" w:lineRule="auto"/>
        <w:tabs>
          <w:tab w:leader="none" w:pos="108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Borrower, the Lenders party to this Amendment (constituting the Required Lenders) and Collateral Agent desire to amend certain provisions of the Loan Agreement as provided herein and subject to the terms and conditions set forth herein.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2" w:lineRule="exact"/>
        <w:rPr>
          <w:sz w:val="20"/>
          <w:szCs w:val="20"/>
          <w:color w:val="auto"/>
        </w:rPr>
      </w:pPr>
    </w:p>
    <w:p>
      <w:pPr>
        <w:ind w:firstLine="258"/>
        <w:spacing w:after="0" w:line="237" w:lineRule="auto"/>
        <w:rPr>
          <w:sz w:val="20"/>
          <w:szCs w:val="20"/>
          <w:color w:val="auto"/>
        </w:rPr>
      </w:pPr>
      <w:r>
        <w:rPr>
          <w:rFonts w:ascii="Times New Roman" w:cs="Times New Roman" w:eastAsia="Times New Roman" w:hAnsi="Times New Roman"/>
          <w:sz w:val="18"/>
          <w:szCs w:val="18"/>
          <w:color w:val="auto"/>
        </w:rPr>
        <w:t>NOW, THEREFORE, in consideration of the promises, covenants and agreements contained herein, and other good and valuable consideration, the receipt and adequacy of which are hereby acknowledged, Borrower, Lenders and Collateral Agent hereby agree as follows:</w:t>
      </w:r>
    </w:p>
    <w:p>
      <w:pPr>
        <w:spacing w:after="0" w:line="154"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but not defined in this Amendment shall have the meanings given to them in the Loan Agreement.</w:t>
      </w:r>
    </w:p>
    <w:p>
      <w:pPr>
        <w:spacing w:after="0" w:line="198"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Loan Agreement.</w:t>
      </w:r>
    </w:p>
    <w:p>
      <w:pPr>
        <w:spacing w:after="0" w:line="184" w:lineRule="exact"/>
        <w:rPr>
          <w:rFonts w:ascii="Times New Roman" w:cs="Times New Roman" w:eastAsia="Times New Roman" w:hAnsi="Times New Roman"/>
          <w:sz w:val="18"/>
          <w:szCs w:val="18"/>
          <w:b w:val="1"/>
          <w:bCs w:val="1"/>
          <w:color w:val="auto"/>
        </w:rPr>
      </w:pPr>
    </w:p>
    <w:p>
      <w:pPr>
        <w:ind w:left="660" w:right="1660"/>
        <w:spacing w:after="0" w:line="4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 Section 6.6 (Operating Accounts)</w:t>
      </w:r>
      <w:r>
        <w:rPr>
          <w:rFonts w:ascii="Times New Roman" w:cs="Times New Roman" w:eastAsia="Times New Roman" w:hAnsi="Times New Roman"/>
          <w:sz w:val="18"/>
          <w:szCs w:val="18"/>
          <w:color w:val="auto"/>
        </w:rPr>
        <w:t>. Section 6.6 of the Loan Agreement is hereby amended and restated as follows: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[Reserved].</w:t>
      </w:r>
    </w:p>
    <w:p>
      <w:pPr>
        <w:jc w:val="both"/>
        <w:ind w:firstLine="656"/>
        <w:spacing w:after="0" w:line="217" w:lineRule="auto"/>
        <w:tabs>
          <w:tab w:leader="none" w:pos="10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March 16, 2023 and thereafter, Borrower (individually and not on a consolidated basis) shall, at all times, have on deposit in operating, depository and securities Collateral Accounts maintained with Bank or Bank's Affiliates, in Collateral Accounts which are subject to a Control Agreement in favor of Collateral Agent, cash in an amount equal to the lesser of (i) one hundred percent (100.0%) of the Dollar value of all of Borrower’s consolidated cash, including any Subsidiaries’, Affiliates’, or related entities’ (excluding Selecta Russia) cash, in the aggregate, at all financial institutions, and (ii) one hundred fifty percent (150.0%) of the Dollar amount of the then-outstanding Obligations. Bank may, upon consultation with Collateral Agent and the Required Lenders, restrict withdrawals or transfers by or on behalf of Borrower from any Collateral Account maintained with Bank or Bank’s Affiliates that would violate this Section 6.6(b), regardless of whether an Event of Default exists.</w:t>
      </w:r>
    </w:p>
    <w:p>
      <w:pPr>
        <w:spacing w:after="0" w:line="161" w:lineRule="exact"/>
        <w:rPr>
          <w:rFonts w:ascii="Times New Roman" w:cs="Times New Roman" w:eastAsia="Times New Roman" w:hAnsi="Times New Roman"/>
          <w:sz w:val="18"/>
          <w:szCs w:val="18"/>
          <w:color w:val="auto"/>
        </w:rPr>
      </w:pPr>
    </w:p>
    <w:p>
      <w:pPr>
        <w:jc w:val="both"/>
        <w:ind w:firstLine="656"/>
        <w:spacing w:after="0" w:line="214" w:lineRule="auto"/>
        <w:tabs>
          <w:tab w:leader="none" w:pos="113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provide Collateral Agent five (5) days’ prior written notice before Borrower or any of its Subsidiaries establishes any Collateral Account at or with any Person other than Bank or its Affiliates. In addition, for each Collateral Account that Borrower or any of its Subsidiaries (other than MSC and Selecta Russia),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 without prior written consent of Collateral Agent or upon the satisfaction in full in cash of the Obligations (other than inchoate indemnity obligations). The provisions of the previous sentence shall not apply to deposit accounts exclusively used for payroll, payroll taxes and other employee wage and benefit payments to or for the benefit of Borrower’s, or any of its Subsidiaries’, employees or deposit accounts exclusively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0" w:right="339" w:bottom="1440" w:gutter="0" w:footer="0" w:header="0"/>
        </w:sectPr>
      </w:pPr>
    </w:p>
    <w:bookmarkStart w:id="4" w:name="page5"/>
    <w:bookmarkEnd w:id="4"/>
    <w:p>
      <w:pPr>
        <w:spacing w:after="0" w:line="237" w:lineRule="auto"/>
        <w:rPr>
          <w:sz w:val="20"/>
          <w:szCs w:val="20"/>
          <w:color w:val="auto"/>
        </w:rPr>
      </w:pPr>
      <w:r>
        <w:rPr>
          <w:rFonts w:ascii="Times New Roman" w:cs="Times New Roman" w:eastAsia="Times New Roman" w:hAnsi="Times New Roman"/>
          <w:sz w:val="18"/>
          <w:szCs w:val="18"/>
          <w:color w:val="auto"/>
        </w:rPr>
        <w:t>used as cash collateral to secure letters of credit permitted by clause (l) of the definition of “Permitted Liens”, in each case identified to Collateral Agent by Borrower as such in the Perfection Certificates.</w:t>
      </w:r>
    </w:p>
    <w:p>
      <w:pPr>
        <w:spacing w:after="0" w:line="172" w:lineRule="exact"/>
        <w:rPr>
          <w:sz w:val="20"/>
          <w:szCs w:val="20"/>
          <w:color w:val="auto"/>
        </w:rPr>
      </w:pPr>
    </w:p>
    <w:p>
      <w:pPr>
        <w:ind w:firstLine="656"/>
        <w:spacing w:after="0" w:line="237" w:lineRule="auto"/>
        <w:tabs>
          <w:tab w:leader="none" w:pos="10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of its Subsidiaries shall maintain any Collateral Accounts except Collateral Accounts maintained in accordance with Section 6.6.”</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Silicon Valley Bank</w:t>
      </w:r>
      <w:r>
        <w:rPr>
          <w:rFonts w:ascii="Times New Roman" w:cs="Times New Roman" w:eastAsia="Times New Roman" w:hAnsi="Times New Roman"/>
          <w:sz w:val="18"/>
          <w:szCs w:val="18"/>
          <w:color w:val="auto"/>
        </w:rPr>
        <w:t>. The references in the Loan Agreement to “Silicon Valley Bank” in Section 10, Section 12.11 and Schedule 1.1 are</w:t>
      </w:r>
    </w:p>
    <w:p>
      <w:pPr>
        <w:spacing w:after="0" w:line="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hereby replaced with Silicon Valley Bank, a division of First-Citizens Bank &amp; Trust Company (successor by purchase to the Federal Deposit Insurance Corporation as Receiver for Silicon Valley Bridge Bank, N.A. (as successor to Silicon Valley Bank)).</w:t>
      </w:r>
    </w:p>
    <w:p>
      <w:pPr>
        <w:spacing w:after="0" w:line="15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Amendment.</w:t>
      </w:r>
    </w:p>
    <w:p>
      <w:pPr>
        <w:spacing w:after="0" w:line="19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The amendments set forth above are effective for the purposes set forth herein and shall be limited precisely as written and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(a) be a consent to any amendment, waiver or modification of any other term or condition of any Loan Document, or (b) otherwise prejudice any right, remedy or obligation which Lenders or Borrower may now have or may have in the future under or in connection with any Loan Document, 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hereby.</w:t>
      </w:r>
    </w:p>
    <w:p>
      <w:pPr>
        <w:spacing w:after="0" w:line="16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This Amendment shall be construed in connection with and as part of the Loan Documents and all terms, conditions,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covenants and agreements set forth in the Loan Documents are hereby ratified and confirmed and shall remain in full force and effect.</w:t>
      </w:r>
    </w:p>
    <w:p>
      <w:pPr>
        <w:spacing w:after="0" w:line="168" w:lineRule="exact"/>
        <w:rPr>
          <w:sz w:val="20"/>
          <w:szCs w:val="20"/>
          <w:color w:val="auto"/>
        </w:rPr>
      </w:pPr>
    </w:p>
    <w:p>
      <w:pPr>
        <w:ind w:firstLine="8"/>
        <w:spacing w:after="0" w:line="239" w:lineRule="auto"/>
        <w:tabs>
          <w:tab w:leader="none" w:pos="64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To induce Collateral Agent and Lenders to enter into this Amendment, Borrower hereby represents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to Collateral Agent and Lenders as follows: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color w:val="auto"/>
        </w:rPr>
        <w:t>Immediately after giving effect to this Amendment (a) the representations and warranties contained in the Loan Documents are true,</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53"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color w:val="auto"/>
        </w:rPr>
        <w:t>Borrower has the power and due authority to execute and deliver this Amendment and to perform its obligations under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amended by this Amendment;</w:t>
      </w:r>
    </w:p>
    <w:p>
      <w:pPr>
        <w:spacing w:after="0" w:line="14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color w:val="auto"/>
        </w:rPr>
        <w:t>The organizational documents of Borrower delivered to Collateral Agent on the Effective Date, and updated pursuant to subsequent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deliveries by or on behalf of the Borrower to the Collateral Agent, remain true, accurate and complete and have not been amended, supplemented or</w:t>
      </w:r>
    </w:p>
    <w:p>
      <w:pPr>
        <w:spacing w:after="0"/>
        <w:rPr>
          <w:sz w:val="20"/>
          <w:szCs w:val="20"/>
          <w:color w:val="auto"/>
        </w:rPr>
      </w:pPr>
      <w:r>
        <w:rPr>
          <w:rFonts w:ascii="Times New Roman" w:cs="Times New Roman" w:eastAsia="Times New Roman" w:hAnsi="Times New Roman"/>
          <w:sz w:val="18"/>
          <w:szCs w:val="18"/>
          <w:color w:val="auto"/>
        </w:rPr>
        <w:t>restated and are and continue to be in full force and effect;</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color w:val="auto"/>
        </w:rPr>
        <w:t>The execution and delivery by Borrower of this Amendment and the performance by Borrower of its obligations under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amended by this Amendment, do not contravene (i) any material law or regulation binding on or affecting Borrower, (ii) any material</w:t>
      </w:r>
    </w:p>
    <w:p>
      <w:pPr>
        <w:jc w:val="both"/>
        <w:spacing w:after="0" w:line="226" w:lineRule="auto"/>
        <w:rPr>
          <w:sz w:val="20"/>
          <w:szCs w:val="20"/>
          <w:color w:val="auto"/>
        </w:rPr>
      </w:pPr>
      <w:r>
        <w:rPr>
          <w:rFonts w:ascii="Times New Roman" w:cs="Times New Roman" w:eastAsia="Times New Roman" w:hAnsi="Times New Roman"/>
          <w:sz w:val="18"/>
          <w:szCs w:val="18"/>
          <w:color w:val="auto"/>
        </w:rPr>
        <w:t>contractual restriction with a Person binding on Borrower, (iii) any material order, judgment or decree of any court or other governmental or public body or authority, or subdivision thereof, binding on Borrower, or (iv) the organizational documents of Borrower;</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color w:val="auto"/>
        </w:rPr>
        <w:t>The execution and delivery by Borrower of this Amendment and the performance by Borrower of its obligations under the Loan</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w:t>
      </w:r>
    </w:p>
    <w:p>
      <w:pPr>
        <w:spacing w:after="0" w:line="16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color w:val="auto"/>
        </w:rPr>
        <w:t>This Amendment has been duly executed and delivered by Borrower and is the binding obligation of Borrower, enforceable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55" w:lineRule="exact"/>
        <w:rPr>
          <w:sz w:val="20"/>
          <w:szCs w:val="20"/>
          <w:color w:val="auto"/>
        </w:rPr>
      </w:pPr>
    </w:p>
    <w:p>
      <w:pPr>
        <w:jc w:val="both"/>
        <w:ind w:firstLine="8"/>
        <w:spacing w:after="0" w:line="224" w:lineRule="auto"/>
        <w:tabs>
          <w:tab w:leader="none" w:pos="64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Post-Closing. </w:t>
      </w:r>
      <w:r>
        <w:rPr>
          <w:rFonts w:ascii="Times New Roman" w:cs="Times New Roman" w:eastAsia="Times New Roman" w:hAnsi="Times New Roman"/>
          <w:sz w:val="18"/>
          <w:szCs w:val="18"/>
          <w:color w:val="auto"/>
        </w:rPr>
        <w:t>Notwithstanding anything in the Loan Agreement to the contrary, Collateral Agent and Required Lenders hereby agree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shall have (a) for any Collateral Account (other than Collateral Accounts not required to be subject to a Control Agreement pursuant to Section 6.6(c)) opened by Borrower with a financial institution other than Bank prior to the date of this Amendment, thirty (30) days from the date such Collateral Account is opened (or such later date as the Agent and the Required Lenders may agree in their sole discretion) to deliver a fully-executed Control Agreement with respect to such Collateral Account and (b) for any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4" w:right="339" w:bottom="1440" w:gutter="0" w:footer="0" w:header="0"/>
        </w:sectPr>
      </w:pPr>
    </w:p>
    <w:bookmarkStart w:id="5" w:name="page6"/>
    <w:bookmarkEnd w:id="5"/>
    <w:p>
      <w:pPr>
        <w:spacing w:after="0" w:line="222" w:lineRule="auto"/>
        <w:rPr>
          <w:sz w:val="20"/>
          <w:szCs w:val="20"/>
          <w:color w:val="auto"/>
        </w:rPr>
      </w:pPr>
      <w:r>
        <w:rPr>
          <w:rFonts w:ascii="Times New Roman" w:cs="Times New Roman" w:eastAsia="Times New Roman" w:hAnsi="Times New Roman"/>
          <w:sz w:val="18"/>
          <w:szCs w:val="18"/>
          <w:color w:val="auto"/>
        </w:rPr>
        <w:t>Collateral Account (other than Collateral Accounts not required to be subject to a Control Agreement pursuant to Section 6.6(c)) opened within sixty (60) days after the date of this Amendment, thirty (30) days from the date such Collateral Account is opened to deliver a fully-executed Control Agreement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such Collateral Account.</w:t>
      </w:r>
    </w:p>
    <w:p>
      <w:pPr>
        <w:spacing w:after="0" w:line="161"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RELEASE BY BORROWER.</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FOR GOOD AND VALUABLE CONSIDERATION</w:t>
      </w:r>
      <w:r>
        <w:rPr>
          <w:rFonts w:ascii="Times New Roman" w:cs="Times New Roman" w:eastAsia="Times New Roman" w:hAnsi="Times New Roman"/>
          <w:sz w:val="18"/>
          <w:szCs w:val="18"/>
          <w:color w:val="auto"/>
        </w:rPr>
        <w:t>, Borrower hereby forever relieves, releases, and discharges Collateral Agent and</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each Lender and their respective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whatsoever connected with or related to facts, circumstances, issues, controversies or claims existing or arising from the beginning of time through and including the date of execution of this Amendment solely to the extent such claims arise out of or are in any manner whatsoever connected with or related to the Loan Documents, the Recitals hereto, any instruments, agreements or documents executed in connection with any of the foregoing or the origination,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negotiation, administration, servicing and/or enforcement of any of the foregoing (collectively “</w:t>
      </w:r>
      <w:r>
        <w:rPr>
          <w:rFonts w:ascii="Times New Roman" w:cs="Times New Roman" w:eastAsia="Times New Roman" w:hAnsi="Times New Roman"/>
          <w:sz w:val="18"/>
          <w:szCs w:val="18"/>
          <w:b w:val="1"/>
          <w:bCs w:val="1"/>
          <w:color w:val="auto"/>
        </w:rPr>
        <w:t>Released Claims</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color w:val="auto"/>
        </w:rPr>
        <w:t>In furtherance of this release, Borrower expressly acknowledges and waives the provisions of California Civil Code Section 1542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similar provision under the laws of any state), which states:</w:t>
      </w:r>
    </w:p>
    <w:p>
      <w:pPr>
        <w:spacing w:after="0" w:line="172" w:lineRule="exact"/>
        <w:rPr>
          <w:sz w:val="20"/>
          <w:szCs w:val="20"/>
          <w:color w:val="auto"/>
        </w:rPr>
      </w:pPr>
    </w:p>
    <w:p>
      <w:pPr>
        <w:jc w:val="both"/>
        <w:ind w:left="660" w:right="660"/>
        <w:spacing w:after="0" w:line="216"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RELEASED PARTY.”</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color w:val="auto"/>
        </w:rPr>
        <w:t>By entering into this release, Borrower recognizes that no facts or representations are ever absolutely certain and it may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 facts in addition to or different from those which it presently knows or believes to be true, but that it is the intention of Borrower hereby to fully,</w:t>
      </w:r>
    </w:p>
    <w:p>
      <w:pPr>
        <w:jc w:val="both"/>
        <w:spacing w:after="0" w:line="208" w:lineRule="auto"/>
        <w:rPr>
          <w:sz w:val="20"/>
          <w:szCs w:val="20"/>
          <w:color w:val="auto"/>
        </w:rPr>
      </w:pPr>
      <w:r>
        <w:rPr>
          <w:rFonts w:ascii="Times New Roman" w:cs="Times New Roman" w:eastAsia="Times New Roman" w:hAnsi="Times New Roman"/>
          <w:sz w:val="18"/>
          <w:szCs w:val="18"/>
          <w:color w:val="auto"/>
        </w:rPr>
        <w:t>finally and forever settle and release all matters, disputes and differences, known or unknown, suspected or unsuspected in relation to the Released Claims;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other circumstances whatsoever. Borrower acknowledges that it is not relying upon and has not relied upon any representation or statement made by Collateral Agent or Lenders with respect to the facts underlying this release or with regard to any of such party’s rights or asserted rights.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color w:val="auto"/>
        </w:rPr>
        <w:t>This release may be pleaded as a full and complete defense and/or as a cross-complaint or counterclaim against any action, suit, or other</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proceeding that may be instituted, prosecuted or attempted in breach of this release. Borrower acknowledges that the release contained herein constitutes a material inducement to Collateral Agent and the Lenders to enter into this Amendment, and that Collateral Agent and the Lenders would not have done so but for Collateral Agent’s and the Lenders’ expectation that such release is valid and enforceable in all events.</w:t>
      </w:r>
    </w:p>
    <w:p>
      <w:pPr>
        <w:spacing w:after="0" w:line="168"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Effectiveness. </w:t>
      </w:r>
      <w:r>
        <w:rPr>
          <w:rFonts w:ascii="Times New Roman" w:cs="Times New Roman" w:eastAsia="Times New Roman" w:hAnsi="Times New Roman"/>
          <w:sz w:val="18"/>
          <w:szCs w:val="18"/>
          <w:color w:val="auto"/>
        </w:rPr>
        <w:t>This Amendment shall be deemed effective as of the date hereof upon the due execution of this Amendment by the parties thereto.</w:t>
      </w:r>
    </w:p>
    <w:p>
      <w:pPr>
        <w:spacing w:after="0" w:line="184" w:lineRule="exact"/>
        <w:rPr>
          <w:rFonts w:ascii="Times New Roman" w:cs="Times New Roman" w:eastAsia="Times New Roman" w:hAnsi="Times New Roman"/>
          <w:sz w:val="18"/>
          <w:szCs w:val="18"/>
          <w:b w:val="1"/>
          <w:bCs w:val="1"/>
          <w:color w:val="auto"/>
        </w:rPr>
      </w:pPr>
    </w:p>
    <w:p>
      <w:pPr>
        <w:jc w:val="both"/>
        <w:ind w:firstLine="8"/>
        <w:spacing w:after="0" w:line="232" w:lineRule="auto"/>
        <w:tabs>
          <w:tab w:leader="none" w:pos="64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Amendment may be executed in any number of counterparts, each of which shall be deemed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together, shall constitute one and the same instrument. Delivery by electronic transmission (e.g. “.pdf”) of an executed counterpart of this Amendment shall be effective as a manually executed counterpart signature thereof.</w:t>
      </w:r>
    </w:p>
    <w:p>
      <w:pPr>
        <w:spacing w:after="0" w:line="155" w:lineRule="exact"/>
        <w:rPr>
          <w:rFonts w:ascii="Times New Roman" w:cs="Times New Roman" w:eastAsia="Times New Roman" w:hAnsi="Times New Roman"/>
          <w:sz w:val="18"/>
          <w:szCs w:val="18"/>
          <w:b w:val="1"/>
          <w:bCs w:val="1"/>
          <w:color w:val="auto"/>
        </w:rPr>
      </w:pPr>
    </w:p>
    <w:p>
      <w:pPr>
        <w:ind w:firstLine="8"/>
        <w:spacing w:after="0" w:line="239" w:lineRule="auto"/>
        <w:tabs>
          <w:tab w:leader="none" w:pos="64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Amendment and the rights and obligations of the parties hereto shall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California.</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4" w:right="339" w:bottom="1440" w:gutter="0" w:footer="0" w:header="0"/>
        </w:sectPr>
      </w:pPr>
    </w:p>
    <w:bookmarkStart w:id="6" w:name="page7"/>
    <w:bookmarkEnd w:id="6"/>
    <w:p>
      <w:pPr>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Fourth Amendment to Loan and Security Agreement to be executed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set forth above.</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Carsten Brunn, Ph.D.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Carsten Brunn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COLLATERAL AGENT:</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Colette H. Featherly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Colette H. Featherly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OXFORD FINANCE FUNDING XIII, LLC</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Colette H. Featherly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Colette H. Featherly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43" w:lineRule="exact"/>
        <w:rPr>
          <w:sz w:val="20"/>
          <w:szCs w:val="20"/>
          <w:color w:val="auto"/>
        </w:rPr>
      </w:pPr>
    </w:p>
    <w:p>
      <w:pPr>
        <w:ind w:left="20" w:right="400"/>
        <w:spacing w:after="0" w:line="250" w:lineRule="auto"/>
        <w:rPr>
          <w:sz w:val="20"/>
          <w:szCs w:val="20"/>
          <w:color w:val="auto"/>
        </w:rPr>
      </w:pPr>
      <w:r>
        <w:rPr>
          <w:rFonts w:ascii="Times New Roman" w:cs="Times New Roman" w:eastAsia="Times New Roman" w:hAnsi="Times New Roman"/>
          <w:sz w:val="18"/>
          <w:szCs w:val="18"/>
          <w:color w:val="auto"/>
        </w:rPr>
        <w:t>FIRST-CITIZENS BANK &amp; TRUST COMPANY (successor by purchase to the Federal Deposit Insurance Corporation as Receiver for Silicon Valley Bridge Bank, N.A. (as successor to Silicon Valley Bank))</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Jameson Whiteley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Jameson Whiteley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Fourth Amendment to Loan and Security Agreement</w:t>
      </w:r>
      <w:r>
        <w:rPr>
          <w:rFonts w:ascii="Times New Roman" w:cs="Times New Roman" w:eastAsia="Times New Roman" w:hAnsi="Times New Roman"/>
          <w:sz w:val="18"/>
          <w:szCs w:val="18"/>
          <w:b w:val="1"/>
          <w:bCs w:val="1"/>
          <w:color w:val="auto"/>
        </w:rPr>
        <w:t>]</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amp;"/>
      <w:numFmt w:val="bullet"/>
      <w:start w:val="1"/>
    </w:lvl>
    <w:lvl w:ilvl="1">
      <w:lvlJc w:val="left"/>
      <w:lvlText w:val="%2."/>
      <w:numFmt w:val="upperLetter"/>
      <w:start w:val="1"/>
    </w:lvl>
  </w:abstractNum>
  <w:abstractNum w:abstractNumId="2">
    <w:nsid w:val="507ED7AB"/>
    <w:multiLevelType w:val="hybridMultilevel"/>
    <w:lvl w:ilvl="0">
      <w:lvlJc w:val="left"/>
      <w:lvlText w:val="%1."/>
      <w:numFmt w:val="decimal"/>
      <w:start w:val="1"/>
    </w:lvl>
    <w:lvl w:ilvl="1">
      <w:lvlJc w:val="left"/>
      <w:lvlText w:val="(%2)"/>
      <w:numFmt w:val="lowerLetter"/>
      <w:start w:val="2"/>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2023-04-04T15:27:57Z</dcterms:created>
  <dcterms:modified xsi:type="dcterms:W3CDTF">2023-04-04T15:27:57Z</dcterms:modified>
</cp:coreProperties>
</file>