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7"/>
          <w:szCs w:val="27"/>
          <w:b w:val="1"/>
          <w:bCs w:val="1"/>
          <w:color w:val="auto"/>
        </w:rPr>
        <w:t>UNITED STATES</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FORM 8-K</w:t>
      </w:r>
    </w:p>
    <w:p>
      <w:pPr>
        <w:spacing w:after="0" w:line="36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18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Date of report (Date of earliest event reported): October 22, 2018</w:t>
      </w:r>
    </w:p>
    <w:p>
      <w:pPr>
        <w:spacing w:after="0" w:line="34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SELECTA BIOSCIENCES, INC.</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(Exact name of registrant as specified in its charter)</w:t>
      </w:r>
    </w:p>
    <w:p>
      <w:pPr>
        <w:spacing w:after="0" w:line="122" w:lineRule="exact"/>
        <w:rPr>
          <w:sz w:val="24"/>
          <w:szCs w:val="24"/>
          <w:color w:val="auto"/>
        </w:rPr>
      </w:pPr>
    </w:p>
    <w:tbl>
      <w:tblPr>
        <w:tblLayout w:type="fixed"/>
        <w:tblInd w:w="840" w:type="dxa"/>
        <w:tblCellMar>
          <w:top w:w="0" w:type="dxa"/>
          <w:left w:w="0" w:type="dxa"/>
          <w:bottom w:w="0" w:type="dxa"/>
          <w:right w:w="0" w:type="dxa"/>
        </w:tblCellMar>
      </w:tblPr>
      <w:tr>
        <w:trPr>
          <w:trHeight w:val="192"/>
        </w:trPr>
        <w:tc>
          <w:tcPr>
            <w:tcW w:w="2600" w:type="dxa"/>
            <w:vAlign w:val="bottom"/>
          </w:tcPr>
          <w:p>
            <w:pPr>
              <w:jc w:val="center"/>
              <w:ind w:right="746"/>
              <w:spacing w:after="0"/>
              <w:rPr>
                <w:sz w:val="20"/>
                <w:szCs w:val="20"/>
                <w:color w:val="auto"/>
              </w:rPr>
            </w:pPr>
            <w:r>
              <w:rPr>
                <w:rFonts w:ascii="Arial" w:cs="Arial" w:eastAsia="Arial" w:hAnsi="Arial"/>
                <w:sz w:val="15"/>
                <w:szCs w:val="15"/>
                <w:b w:val="1"/>
                <w:bCs w:val="1"/>
                <w:color w:val="auto"/>
                <w:w w:val="87"/>
              </w:rPr>
              <w:t>Delaware</w:t>
            </w: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001-37798</w:t>
            </w:r>
          </w:p>
        </w:tc>
        <w:tc>
          <w:tcPr>
            <w:tcW w:w="2020" w:type="dxa"/>
            <w:vAlign w:val="bottom"/>
          </w:tcPr>
          <w:p>
            <w:pPr>
              <w:jc w:val="center"/>
              <w:ind w:left="846"/>
              <w:spacing w:after="0"/>
              <w:rPr>
                <w:sz w:val="20"/>
                <w:szCs w:val="20"/>
                <w:color w:val="auto"/>
              </w:rPr>
            </w:pPr>
            <w:r>
              <w:rPr>
                <w:rFonts w:ascii="Arial" w:cs="Arial" w:eastAsia="Arial" w:hAnsi="Arial"/>
                <w:sz w:val="15"/>
                <w:szCs w:val="15"/>
                <w:b w:val="1"/>
                <w:bCs w:val="1"/>
                <w:color w:val="auto"/>
                <w:w w:val="87"/>
              </w:rPr>
              <w:t>26-1622110</w:t>
            </w:r>
          </w:p>
        </w:tc>
      </w:tr>
      <w:tr>
        <w:trPr>
          <w:trHeight w:val="212"/>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0"/>
              </w:rPr>
              <w:t>(State or other jurisdiction of</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1"/>
              </w:rPr>
              <w:t>(Commission</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2"/>
              </w:rPr>
              <w:t>(I.R.S. Employer</w:t>
            </w:r>
          </w:p>
        </w:tc>
      </w:tr>
      <w:tr>
        <w:trPr>
          <w:trHeight w:val="188"/>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1"/>
              </w:rPr>
              <w:t>incorporation or organization)</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2"/>
              </w:rPr>
              <w:t>File Number)</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4"/>
              </w:rPr>
              <w:t>Identification No.)</w:t>
            </w:r>
          </w:p>
        </w:tc>
      </w:tr>
      <w:tr>
        <w:trPr>
          <w:trHeight w:val="363"/>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0"/>
              </w:rPr>
              <w:t>480 Arsenal Way</w:t>
            </w:r>
          </w:p>
        </w:tc>
        <w:tc>
          <w:tcPr>
            <w:tcW w:w="2020" w:type="dxa"/>
            <w:vAlign w:val="bottom"/>
          </w:tcPr>
          <w:p>
            <w:pPr>
              <w:spacing w:after="0"/>
              <w:rPr>
                <w:sz w:val="24"/>
                <w:szCs w:val="24"/>
                <w:color w:val="auto"/>
              </w:rPr>
            </w:pPr>
          </w:p>
        </w:tc>
      </w:tr>
      <w:tr>
        <w:trPr>
          <w:trHeight w:val="182"/>
        </w:trPr>
        <w:tc>
          <w:tcPr>
            <w:tcW w:w="2600" w:type="dxa"/>
            <w:vAlign w:val="bottom"/>
          </w:tcPr>
          <w:p>
            <w:pPr>
              <w:spacing w:after="0"/>
              <w:rPr>
                <w:sz w:val="15"/>
                <w:szCs w:val="15"/>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3"/>
              </w:rPr>
              <w:t>Watertown, MA 02472</w:t>
            </w:r>
          </w:p>
        </w:tc>
        <w:tc>
          <w:tcPr>
            <w:tcW w:w="2020" w:type="dxa"/>
            <w:vAlign w:val="bottom"/>
          </w:tcPr>
          <w:p>
            <w:pPr>
              <w:spacing w:after="0"/>
              <w:rPr>
                <w:sz w:val="15"/>
                <w:szCs w:val="15"/>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ind w:left="880"/>
              <w:spacing w:after="0"/>
              <w:rPr>
                <w:sz w:val="20"/>
                <w:szCs w:val="20"/>
                <w:color w:val="auto"/>
              </w:rPr>
            </w:pPr>
            <w:r>
              <w:rPr>
                <w:rFonts w:ascii="Arial" w:cs="Arial" w:eastAsia="Arial" w:hAnsi="Arial"/>
                <w:sz w:val="15"/>
                <w:szCs w:val="15"/>
                <w:color w:val="auto"/>
              </w:rPr>
              <w:t>(Address of principal executive offices) (Zip Code)</w:t>
            </w:r>
          </w:p>
        </w:tc>
        <w:tc>
          <w:tcPr>
            <w:tcW w:w="2020" w:type="dxa"/>
            <w:vAlign w:val="bottom"/>
          </w:tcPr>
          <w:p>
            <w:pPr>
              <w:spacing w:after="0"/>
              <w:rPr>
                <w:sz w:val="16"/>
                <w:szCs w:val="16"/>
                <w:color w:val="auto"/>
              </w:rPr>
            </w:pPr>
          </w:p>
        </w:tc>
      </w:tr>
      <w:tr>
        <w:trPr>
          <w:trHeight w:val="345"/>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(617) 923-1400</w:t>
            </w:r>
          </w:p>
        </w:tc>
        <w:tc>
          <w:tcPr>
            <w:tcW w:w="2020" w:type="dxa"/>
            <w:vAlign w:val="bottom"/>
          </w:tcPr>
          <w:p>
            <w:pPr>
              <w:spacing w:after="0"/>
              <w:rPr>
                <w:sz w:val="24"/>
                <w:szCs w:val="24"/>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jc w:val="center"/>
              <w:ind w:right="126"/>
              <w:spacing w:after="0"/>
              <w:rPr>
                <w:sz w:val="20"/>
                <w:szCs w:val="20"/>
                <w:color w:val="auto"/>
              </w:rPr>
            </w:pPr>
            <w:r>
              <w:rPr>
                <w:rFonts w:ascii="Arial" w:cs="Arial" w:eastAsia="Arial" w:hAnsi="Arial"/>
                <w:sz w:val="15"/>
                <w:szCs w:val="15"/>
                <w:color w:val="auto"/>
                <w:w w:val="87"/>
              </w:rPr>
              <w:t>(Registrant’s telephone number, include area code)</w:t>
            </w:r>
          </w:p>
        </w:tc>
        <w:tc>
          <w:tcPr>
            <w:tcW w:w="2020" w:type="dxa"/>
            <w:vAlign w:val="bottom"/>
          </w:tcPr>
          <w:p>
            <w:pPr>
              <w:spacing w:after="0"/>
              <w:rPr>
                <w:sz w:val="16"/>
                <w:szCs w:val="16"/>
                <w:color w:val="auto"/>
              </w:rPr>
            </w:pPr>
          </w:p>
        </w:tc>
      </w:tr>
    </w:tbl>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N/A</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35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x</w:t>
      </w:r>
    </w:p>
    <w:p>
      <w:pPr>
        <w:spacing w:after="0" w:line="183" w:lineRule="exact"/>
        <w:rPr>
          <w:sz w:val="24"/>
          <w:szCs w:val="24"/>
          <w:color w:val="auto"/>
        </w:rPr>
      </w:pPr>
    </w:p>
    <w:p>
      <w:pPr>
        <w:ind w:right="240"/>
        <w:spacing w:after="0" w:line="26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00"/>
          </w:cols>
          <w:pgMar w:left="220" w:top="582" w:right="4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7"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On October 22, 2018, Selecta Biosciences, Inc. (the “Company”) announced new data from its ongoing Phase 2 Company-sponsored trial of SEL-212, for the treatment of chronic severe gout, which is assessing single ascending dose safety, pharmacokinetics and pharmacodynamics of SEL-212 in patients with elevated uric acid levels.</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The Company will present the presentation poster furnished as Exhibit 99.1 to this Current Report on Form 8-K, which contains new data from patients receiving up to 0.15 mg/kg of SVP-Rapamycin with 0.2 or 0.4 mg/kg of pegadricase (formerly known as pegsiticase) from the Phase 2 trial, at the 2018 American College of Rheumatology (ACR)/Association for Rheumatology Health Professionals (ARHP) Annual Meeting in Chicago on October 22, 2018.</w:t>
      </w:r>
    </w:p>
    <w:p>
      <w:pPr>
        <w:spacing w:after="0" w:line="156"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The information furnished under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On October 22, 2018, in connection with distribution of the Poster, the Company announced new data from patients in its Phase 2 trial of SEL-212 receiving five monthly combination doses of SEL-212, consisting of up to 0.15 mg/kg of SVP-Rapamycin in combination with 0.2 or 0.4 mg/kg of pegadricase. Pegadricase is the new United States Adopted Name (USAN) for pegsiticase. Approximately 29% of evaluable patients experienced flares during the first month after treatment and continued reduction was observed during months two through five. In addition, 96% of gout flares experienced by patients in the trial were mild or moderate in severity, and no new patient experienced a flare after the second month. Gout flares represented 13% of the total number of treatment-emergent adverse events reported up to October 9, 2018 (708 days of follow up from the start of the study). No gout flares were classified as serious adverse events nor resulted in study discontinuations.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Company plans to initiate its Phase 3 program for SEL-212 in 2018 with proposed dose regimens based on the Company’s Phase 2 data, subject to the Company’s end-of-Phase 2 discussion with FDA. The Company also plans to initiate a head-to-head clinical trial of SEL-212 compared to the current FDA-approved uricase therapy in parallel with the Phase 3 program, while accelerating its commercialization plans for SEL-212.</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 Disclaimer</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expectations surrounding the initiation of our Phase 3 program for SEL-212 and a head-to-head clinical trial of SEL-212 compared to the current FDA-approved uricase therapy, and our expectations surrounding acceleration of our commercialization plans for SEL-212.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our dependence on our ability to retain key executives and to attract, retain and motivate qualified personnel;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August 8, 2018,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ectPr>
          <w:pgSz w:w="11900" w:h="16838" w:orient="portrait"/>
          <w:cols w:equalWidth="0" w:num="1">
            <w:col w:w="11460"/>
          </w:cols>
          <w:pgMar w:left="220" w:top="680" w:right="219" w:bottom="1440" w:gutter="0" w:footer="0" w:header="0"/>
        </w:sectPr>
      </w:pPr>
    </w:p>
    <w:bookmarkStart w:id="2" w:name="page3"/>
    <w:bookmarkEnd w:id="2"/>
    <w:p>
      <w:pPr>
        <w:ind w:left="20"/>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 Exhibits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80" w:type="dxa"/>
            <w:vAlign w:val="bottom"/>
            <w:gridSpan w:val="3"/>
          </w:tcPr>
          <w:p>
            <w:pPr>
              <w:ind w:left="3800"/>
              <w:spacing w:after="0"/>
              <w:rPr>
                <w:sz w:val="20"/>
                <w:szCs w:val="20"/>
                <w:color w:val="auto"/>
              </w:rPr>
            </w:pPr>
            <w:r>
              <w:rPr>
                <w:rFonts w:ascii="Arial" w:cs="Arial" w:eastAsia="Arial" w:hAnsi="Arial"/>
                <w:sz w:val="12"/>
                <w:szCs w:val="12"/>
                <w:b w:val="1"/>
                <w:bCs w:val="1"/>
                <w:color w:val="auto"/>
              </w:rPr>
              <w:t>Description</w:t>
            </w:r>
          </w:p>
        </w:tc>
      </w:tr>
      <w:tr>
        <w:trPr>
          <w:trHeight w:val="263"/>
        </w:trPr>
        <w:tc>
          <w:tcPr>
            <w:tcW w:w="1600" w:type="dxa"/>
            <w:vAlign w:val="bottom"/>
            <w:tcBorders>
              <w:top w:val="single" w:sz="8" w:color="auto"/>
            </w:tcBorders>
            <w:gridSpan w:val="3"/>
          </w:tcPr>
          <w:p>
            <w:pPr>
              <w:jc w:val="right"/>
              <w:ind w:right="460"/>
              <w:spacing w:after="0"/>
              <w:rPr>
                <w:rFonts w:ascii="Arial" w:cs="Arial" w:eastAsia="Arial" w:hAnsi="Arial"/>
                <w:sz w:val="15"/>
                <w:szCs w:val="15"/>
                <w:color w:val="0000FF"/>
              </w:rPr>
            </w:pPr>
            <w:hyperlink w:anchor="page5">
              <w:r>
                <w:rPr>
                  <w:rFonts w:ascii="Arial" w:cs="Arial" w:eastAsia="Arial" w:hAnsi="Arial"/>
                  <w:sz w:val="15"/>
                  <w:szCs w:val="15"/>
                  <w:color w:val="0000FF"/>
                </w:rPr>
                <w:t>99.</w:t>
              </w:r>
              <w:r>
                <w:rPr>
                  <w:rFonts w:ascii="Arial" w:cs="Arial" w:eastAsia="Arial" w:hAnsi="Arial"/>
                  <w:sz w:val="15"/>
                  <w:szCs w:val="15"/>
                  <w:u w:val="single" w:color="auto"/>
                  <w:color w:val="0000FF"/>
                </w:rPr>
                <w:t>1</w:t>
              </w:r>
            </w:hyperlink>
          </w:p>
        </w:tc>
        <w:tc>
          <w:tcPr>
            <w:tcW w:w="2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560" w:type="dxa"/>
            <w:vAlign w:val="bottom"/>
            <w:tcBorders>
              <w:top w:val="single" w:sz="8" w:color="auto"/>
            </w:tcBorders>
            <w:gridSpan w:val="4"/>
          </w:tcPr>
          <w:p>
            <w:pPr>
              <w:spacing w:after="0"/>
              <w:rPr>
                <w:rFonts w:ascii="Arial" w:cs="Arial" w:eastAsia="Arial" w:hAnsi="Arial"/>
                <w:sz w:val="15"/>
                <w:szCs w:val="15"/>
                <w:color w:val="0000FF"/>
                <w:w w:val="91"/>
              </w:rPr>
            </w:pPr>
            <w:hyperlink w:anchor="page5">
              <w:r>
                <w:rPr>
                  <w:rFonts w:ascii="Arial" w:cs="Arial" w:eastAsia="Arial" w:hAnsi="Arial"/>
                  <w:sz w:val="15"/>
                  <w:szCs w:val="15"/>
                  <w:color w:val="0000FF"/>
                  <w:w w:val="91"/>
                </w:rPr>
                <w:t>2018 American College of Rheumatology (ACR)/Association for Rheumatology Health Professionals (ARHP) Presentation Poster: Initial Phase 2 Clinical Data</w:t>
              </w:r>
            </w:hyperlink>
          </w:p>
        </w:tc>
      </w:tr>
      <w:tr>
        <w:trPr>
          <w:trHeight w:val="158"/>
        </w:trPr>
        <w:tc>
          <w:tcPr>
            <w:tcW w:w="8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
          </w:tcPr>
          <w:p>
            <w:pPr>
              <w:spacing w:after="0" w:line="158" w:lineRule="exact"/>
              <w:rPr>
                <w:rFonts w:ascii="Arial" w:cs="Arial" w:eastAsia="Arial" w:hAnsi="Arial"/>
                <w:sz w:val="15"/>
                <w:szCs w:val="15"/>
                <w:color w:val="0000FF"/>
                <w:w w:val="90"/>
              </w:rPr>
            </w:pPr>
            <w:hyperlink w:anchor="page5">
              <w:r>
                <w:rPr>
                  <w:rFonts w:ascii="Arial" w:cs="Arial" w:eastAsia="Arial" w:hAnsi="Arial"/>
                  <w:sz w:val="15"/>
                  <w:szCs w:val="15"/>
                  <w:color w:val="0000FF"/>
                  <w:w w:val="90"/>
                </w:rPr>
                <w:t>of SEL-212 in Symptomatic Gout Patients: Monthly Dosing of a Pegylated Uricase (pegadricase) with SVP-Rapamycin Enables Sustained Reduction of Acute</w:t>
              </w:r>
            </w:hyperlink>
          </w:p>
        </w:tc>
        <w:tc>
          <w:tcPr>
            <w:tcW w:w="80" w:type="dxa"/>
            <w:vAlign w:val="bottom"/>
          </w:tcPr>
          <w:p>
            <w:pPr>
              <w:spacing w:after="0"/>
              <w:rPr>
                <w:sz w:val="13"/>
                <w:szCs w:val="13"/>
                <w:color w:val="auto"/>
              </w:rPr>
            </w:pPr>
          </w:p>
        </w:tc>
      </w:tr>
      <w:tr>
        <w:trPr>
          <w:trHeight w:val="158"/>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
          </w:tcPr>
          <w:p>
            <w:pPr>
              <w:spacing w:after="0" w:line="158" w:lineRule="exact"/>
              <w:rPr>
                <w:rFonts w:ascii="Arial" w:cs="Arial" w:eastAsia="Arial" w:hAnsi="Arial"/>
                <w:sz w:val="15"/>
                <w:szCs w:val="15"/>
                <w:color w:val="0000FF"/>
              </w:rPr>
            </w:pPr>
            <w:hyperlink w:anchor="page5">
              <w:r>
                <w:rPr>
                  <w:rFonts w:ascii="Arial" w:cs="Arial" w:eastAsia="Arial" w:hAnsi="Arial"/>
                  <w:sz w:val="15"/>
                  <w:szCs w:val="15"/>
                  <w:color w:val="0000FF"/>
                </w:rPr>
                <w:t>Gout Flares</w:t>
              </w:r>
            </w:hyperlink>
          </w:p>
        </w:tc>
        <w:tc>
          <w:tcPr>
            <w:tcW w:w="16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50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7980" w:type="dxa"/>
            <w:vAlign w:val="bottom"/>
            <w:gridSpan w:val="2"/>
          </w:tcPr>
          <w:p>
            <w:pPr>
              <w:ind w:left="2060"/>
              <w:spacing w:after="0"/>
              <w:rPr>
                <w:sz w:val="20"/>
                <w:szCs w:val="20"/>
                <w:color w:val="auto"/>
              </w:rPr>
            </w:pPr>
            <w:r>
              <w:rPr>
                <w:rFonts w:ascii="Arial" w:cs="Arial" w:eastAsia="Arial" w:hAnsi="Arial"/>
                <w:sz w:val="15"/>
                <w:szCs w:val="15"/>
                <w:color w:val="auto"/>
              </w:rPr>
              <w:t>SELECTA BIOSCIENCES, INC.</w:t>
            </w:r>
          </w:p>
        </w:tc>
      </w:tr>
      <w:tr>
        <w:trPr>
          <w:trHeight w:val="666"/>
        </w:trPr>
        <w:tc>
          <w:tcPr>
            <w:tcW w:w="3440" w:type="dxa"/>
            <w:vAlign w:val="bottom"/>
          </w:tcPr>
          <w:p>
            <w:pPr>
              <w:spacing w:after="0"/>
              <w:rPr>
                <w:sz w:val="20"/>
                <w:szCs w:val="20"/>
                <w:color w:val="auto"/>
              </w:rPr>
            </w:pPr>
            <w:r>
              <w:rPr>
                <w:rFonts w:ascii="Arial" w:cs="Arial" w:eastAsia="Arial" w:hAnsi="Arial"/>
                <w:sz w:val="15"/>
                <w:szCs w:val="15"/>
                <w:color w:val="auto"/>
              </w:rPr>
              <w:t>Date: October 22, 2018</w:t>
            </w:r>
          </w:p>
        </w:tc>
        <w:tc>
          <w:tcPr>
            <w:tcW w:w="2720" w:type="dxa"/>
            <w:vAlign w:val="bottom"/>
          </w:tcPr>
          <w:p>
            <w:pPr>
              <w:ind w:left="2060"/>
              <w:spacing w:after="0"/>
              <w:rPr>
                <w:sz w:val="20"/>
                <w:szCs w:val="20"/>
                <w:color w:val="auto"/>
              </w:rPr>
            </w:pPr>
            <w:r>
              <w:rPr>
                <w:rFonts w:ascii="Arial" w:cs="Arial" w:eastAsia="Arial" w:hAnsi="Arial"/>
                <w:sz w:val="15"/>
                <w:szCs w:val="15"/>
                <w:color w:val="auto"/>
              </w:rPr>
              <w:t>By:</w:t>
            </w:r>
          </w:p>
        </w:tc>
        <w:tc>
          <w:tcPr>
            <w:tcW w:w="5260" w:type="dxa"/>
            <w:vAlign w:val="bottom"/>
          </w:tcPr>
          <w:p>
            <w:pPr>
              <w:ind w:left="20"/>
              <w:spacing w:after="0"/>
              <w:rPr>
                <w:sz w:val="20"/>
                <w:szCs w:val="20"/>
                <w:color w:val="auto"/>
              </w:rPr>
            </w:pPr>
            <w:r>
              <w:rPr>
                <w:rFonts w:ascii="Arial" w:cs="Arial" w:eastAsia="Arial" w:hAnsi="Arial"/>
                <w:sz w:val="15"/>
                <w:szCs w:val="15"/>
                <w:color w:val="auto"/>
              </w:rPr>
              <w:t>/s/ Werner Cautreels, Ph.D.</w:t>
            </w:r>
          </w:p>
        </w:tc>
      </w:tr>
      <w:tr>
        <w:trPr>
          <w:trHeight w:val="23"/>
        </w:trPr>
        <w:tc>
          <w:tcPr>
            <w:tcW w:w="3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190"/>
        </w:trPr>
        <w:tc>
          <w:tcPr>
            <w:tcW w:w="3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Werner Cautreels, Ph.D.</w:t>
            </w:r>
          </w:p>
        </w:tc>
      </w:tr>
      <w:tr>
        <w:trPr>
          <w:trHeight w:val="222"/>
        </w:trPr>
        <w:tc>
          <w:tcPr>
            <w:tcW w:w="34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ectPr>
          <w:pgSz w:w="11900" w:h="16838" w:orient="portrait"/>
          <w:cols w:equalWidth="0" w:num="1">
            <w:col w:w="11460"/>
          </w:cols>
          <w:pgMar w:left="220" w:top="680" w:right="2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328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3286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2019-12-28T19:04:51Z</dcterms:created>
  <dcterms:modified xsi:type="dcterms:W3CDTF">2019-12-28T19:04:51Z</dcterms:modified>
</cp:coreProperties>
</file>