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62"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65 Grove Street, Watertown, MA 02472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923-1400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On August 17, 2023, Selecta Biosciences, Inc. announced its financial results for the quarter ended June 30, 2023. The full text of the press release issued in connection with the announcement is furnished as Exhibit 99.1 to this Current Report on Form 8-K.</w:t>
      </w:r>
    </w:p>
    <w:p>
      <w:pPr>
        <w:spacing w:after="0" w:line="17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issued on August 17, 2023</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Carsten Brunn,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88465"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846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Selecta Biosciences Reports Second Quarter 2023 Financial Results and Updates on Strategic Initiative Designed to Maximize Stockholder Value Associated with SEL-212 Economics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 Company to continue focusing on advancement of SEL-212, a potential treatment for chronic refractory gout; Biologics License Application (BLA)</w:t>
      </w:r>
    </w:p>
    <w:p>
      <w:pPr>
        <w:spacing w:after="0" w:line="46"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filing on track for 1H 2024 –</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Company to suspend further investment in majority of pipeline; evaluating potential licensing and corporate development initiatives for pipeline</w:t>
      </w:r>
    </w:p>
    <w:p>
      <w:pPr>
        <w:spacing w:after="0" w:line="46"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assets –</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Cash, cash equivalents, restricted cash, and marketable securities of $115.0 million as of June 30, 2023 expected to fund operations into 2027 –</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Selecta to host conference call today at 8:30 AM ET –</w:t>
      </w:r>
    </w:p>
    <w:p>
      <w:pPr>
        <w:spacing w:after="0" w:line="225"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WATERTOWN, Mass., August 17, 2023 (GLOBE NEWSWIRE) – Selecta Biosciences, Inc. (NASDAQ: SELB), a biotechnology company leveraging its clinically validated ImmTOR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to develop tolerogenic therapies for autoimmune diseases and gene therapies, today reported financial results for the second quarter ended June 30, 2023 and provided a business update.</w:t>
      </w:r>
    </w:p>
    <w:p>
      <w:pPr>
        <w:spacing w:after="0" w:line="20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also provided an update on its ongoing strategic initiative to maximize stockholder value related to its economic interests in SEL-212, which is being developed for the treatment of chronic refractory gout, which Selecta will continue to support. In order to preserve capital, the Company plans to suspend further investment in its pipeline assets, including ImmTOR-IL, and instead focus on maximizing the value of its pipeline through potential licensing and corporate development activities. These initiatives are expected to extend its cash runway into 2027.</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“At Selecta, we remain committed to SEL-212, a potentially unique and differentiated once monthly uricase based treatment option for patients with chronic refractory gout, which we believe has the potential to exceed $700 million in peak sales in the U.S.,” said Carsten Brunn, Ph.D., President and Chief Executive Officer of Selecta. “Our actions today will allow us to preserve capital and maintain our stockholders’ interest in this asset without the dilution that would have been required to support the development of our pipeline assets over the long term. While we believe that our pipeline programs represent great potential, we intend to pursue partnership opportunities to advance the balance of our portfolio and maximize their value.”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Initiative Overview:</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Following a comprehensive review of its portfolio and capital resources, Selecta, in consultation with the Company’s Board of Directors, plans to halt further investments in its pipeline programs outside of SEL-212 and stop or discontinue non-essential activities. As part of this initiative, the Company plans to:</w:t>
      </w:r>
    </w:p>
    <w:p>
      <w:pPr>
        <w:spacing w:after="0" w:line="180"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Continue to Advance SEL-212 in Patients with Chronic Refractory Gout in Partnership with Sobi. </w:t>
      </w:r>
      <w:r>
        <w:rPr>
          <w:rFonts w:ascii="Arial" w:cs="Arial" w:eastAsia="Arial" w:hAnsi="Arial"/>
          <w:sz w:val="18"/>
          <w:szCs w:val="18"/>
          <w:color w:val="auto"/>
        </w:rPr>
        <w:t>Selecta plans to continue working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Swedish Orphan Biovitrum AB (publ.) (Sobi), its SEL-212 development</w:t>
      </w:r>
    </w:p>
    <w:p>
      <w:pPr>
        <w:sectPr>
          <w:pgSz w:w="11900" w:h="16838" w:orient="portrait"/>
          <w:cols w:equalWidth="0" w:num="1">
            <w:col w:w="11020"/>
          </w:cols>
          <w:pgMar w:left="440" w:top="121" w:right="439" w:bottom="1440" w:gutter="0" w:footer="0" w:header="0"/>
        </w:sectPr>
      </w:pPr>
    </w:p>
    <w:bookmarkStart w:id="4" w:name="page5"/>
    <w:bookmarkEnd w:id="4"/>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6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26110"/>
                    </a:xfrm>
                    <a:prstGeom prst="rect">
                      <a:avLst/>
                    </a:prstGeom>
                    <a:noFill/>
                  </pic:spPr>
                </pic:pic>
              </a:graphicData>
            </a:graphic>
          </wp:anchor>
        </w:drawing>
        <w:t>partner, to advance SEL-212 for the treatment of patients with chronic refractory gout. A BLA submission remains on track for the first half of 2024. Under the 2020 agreement with Sobi, Selecta is eligible to receive up to $615.0 million in remaining regulatory and commercial milestone payments and tiered double-digit royalties on net sales of SEL-212. In May 2023, Selecta presented positive data from the Phase 3 DISSOLVE program of SEL-212 in patients with chronic refractory gout at the European Alliance of Associations of Rheumatology (EULAR) 2023 European Congress of Rheumatology.</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Advance the Combination of ImmTOR and Company’s Proprietary Treg-Selective IL-2 (ImmTOR-IL) Through Potential Partnerships. </w:t>
      </w:r>
      <w:r>
        <w:rPr>
          <w:rFonts w:ascii="Arial" w:cs="Arial" w:eastAsia="Arial" w:hAnsi="Arial"/>
          <w:sz w:val="18"/>
          <w:szCs w:val="18"/>
          <w:color w:val="auto"/>
        </w:rPr>
        <w:t>Selecta</w:t>
      </w:r>
      <w:r>
        <w:rPr>
          <w:rFonts w:ascii="Arial" w:cs="Arial" w:eastAsia="Arial" w:hAnsi="Arial"/>
          <w:sz w:val="18"/>
          <w:szCs w:val="18"/>
          <w:b w:val="1"/>
          <w:bCs w:val="1"/>
          <w:color w:val="auto"/>
        </w:rPr>
        <w:t xml:space="preserve"> </w:t>
      </w:r>
      <w:r>
        <w:rPr>
          <w:rFonts w:ascii="Arial" w:cs="Arial" w:eastAsia="Arial" w:hAnsi="Arial"/>
          <w:sz w:val="18"/>
          <w:szCs w:val="18"/>
          <w:color w:val="auto"/>
        </w:rPr>
        <w:t>will pause further investments in, and development of, its combination ImmTOR-IL program, including the Investigational New Drug-enabling studies that were anticipated later this year. The Company is currently assessing ways to support the development of this program through potential partnerships.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Continue the Development of SEL-018 IgG Protease (Xork) for LOPD in Connection with its Partnership with Astellas Gene Therapies. </w:t>
      </w:r>
      <w:r>
        <w:rPr>
          <w:rFonts w:ascii="Arial" w:cs="Arial" w:eastAsia="Arial" w:hAnsi="Arial"/>
          <w:sz w:val="18"/>
          <w:szCs w:val="18"/>
          <w:color w:val="auto"/>
        </w:rPr>
        <w:t>Selecta</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continue the development activities of IdeXork (Xork) under its January 2023 licensing and development agreement with Astellas Gene Therapies (Astellas). Xork is a next-generation immunoglobulin G (IgG) protease being developed for use with AT845, Astellas’ investigational adeno-associated virus (AAV)-based treatment for Late-Onset Pompe disease (LOPD) in adults. Xork is designed to be differentiated by its low-cross reactivity to pre-existing antibodies in human serum, which the Company believes has the potential to expand access to life-changing gene therapies for more patients.</w:t>
      </w:r>
    </w:p>
    <w:p>
      <w:pPr>
        <w:spacing w:after="0" w:line="18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Maximizing Potential of Additional Pipeline Assets. </w:t>
      </w:r>
      <w:r>
        <w:rPr>
          <w:rFonts w:ascii="Arial" w:cs="Arial" w:eastAsia="Arial" w:hAnsi="Arial"/>
          <w:sz w:val="18"/>
          <w:szCs w:val="18"/>
          <w:color w:val="auto"/>
        </w:rPr>
        <w:t>The Company is also assessing ways to maximize value and support further development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other pipeline programs through potential partnerships. This includes SEL-302, an AAV gene therapy combined with ImmTOR for the treatment of methylmalonic acidemia; ImmTOR, which can be combined with a variety of therapeutic approaches to reduce immunogenicity across a range of indications; Xork, its proprietary IgG protease, for the mitigation of pre-existing anti-AAV antibodies; and the next generation Immunoglobulin A (IgA) protease for IgA nephropathy.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Results:</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Selecta had $115.0 million in cash, cash equivalents, restricted cash, and marketable securities as of June 30, 2023, as compared to cash,</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restricted cash, and marketable securities of $136.2 million as of December 31, 2022. Selecta believes that following the capital efficiencies expected to be realized through its strategic reprioritization and following receipt of the next anticipated milestone payment related to SEL-212 development activities, its available cash, cash equivalents, restricted cash, and marketable securities will be sufficient to meet its operating requirements into 2027.</w:t>
      </w:r>
    </w:p>
    <w:p>
      <w:pPr>
        <w:sectPr>
          <w:pgSz w:w="11900" w:h="16838" w:orient="portrait"/>
          <w:cols w:equalWidth="0" w:num="1">
            <w:col w:w="11000"/>
          </w:cols>
          <w:pgMar w:left="440" w:top="1259" w:right="4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25475"/>
                    </a:xfrm>
                    <a:prstGeom prst="rect">
                      <a:avLst/>
                    </a:prstGeom>
                    <a:noFill/>
                  </pic:spPr>
                </pic:pic>
              </a:graphicData>
            </a:graphic>
          </wp:anchor>
        </w:drawing>
        <w:t xml:space="preserve">Collaboration and License Revenue: </w:t>
      </w:r>
      <w:r>
        <w:rPr>
          <w:rFonts w:ascii="Arial" w:cs="Arial" w:eastAsia="Arial" w:hAnsi="Arial"/>
          <w:sz w:val="17"/>
          <w:szCs w:val="17"/>
          <w:color w:val="auto"/>
        </w:rPr>
        <w:t>Collaboration and license revenue for the second quarter of 2023 was $5.2 million, as compared to $39.3</w:t>
      </w:r>
    </w:p>
    <w:p>
      <w:pPr>
        <w:spacing w:after="0" w:line="3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million for the same period in 2022. Collaboration and license revenue was primarily driven by the shipment of clinical supply and the reimbursement of costs incurred for the Phase 3 DISSOLVE clinical program under the license agreement with Sobi.</w:t>
      </w:r>
    </w:p>
    <w:p>
      <w:pPr>
        <w:spacing w:after="0" w:line="18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Research and development expenses for the second quarter of 2023 were $17.8 million, as compared to $19.2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in 2022. The decrease was primarily the result of the capital prioritization initiative that was enacted in the second quarter of 2023.</w:t>
      </w:r>
    </w:p>
    <w:p>
      <w:pPr>
        <w:spacing w:after="0" w:line="176" w:lineRule="exact"/>
        <w:rPr>
          <w:sz w:val="20"/>
          <w:szCs w:val="20"/>
          <w:color w:val="auto"/>
        </w:rPr>
      </w:pPr>
    </w:p>
    <w:p>
      <w:pPr>
        <w:jc w:val="both"/>
        <w:ind w:right="800"/>
        <w:spacing w:after="0" w:line="347" w:lineRule="auto"/>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General and administrative expenses for the second quarter of 2023 were $6.1 million, as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$6.2 million for the same period in 2022. The decrease was primarily the result of a reduction in expenses incurred for stock compensation.</w:t>
      </w:r>
    </w:p>
    <w:p>
      <w:pPr>
        <w:spacing w:after="0" w:line="11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Net (Loss) Income: </w:t>
      </w:r>
      <w:r>
        <w:rPr>
          <w:rFonts w:ascii="Arial" w:cs="Arial" w:eastAsia="Arial" w:hAnsi="Arial"/>
          <w:sz w:val="18"/>
          <w:szCs w:val="18"/>
          <w:color w:val="auto"/>
        </w:rPr>
        <w:t>For the second quarter of 2023, Selecta reported net loss of $11.4 million, or basic net loss per share of $(0.07).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2022, Selecta reported net income of $8.6 million, or basic net income per share of $0.06 per share.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Selecta’s management will host a conference call at 8:30 AM ET today to provide a corporate update and review the Company’s second quarter 2023 financial results and strategic updates. Individuals may participate in the live call via telephone by dialing 1-844-845-4170 (domestic) or</w:t>
      </w:r>
    </w:p>
    <w:p>
      <w:pPr>
        <w:ind w:right="120"/>
        <w:spacing w:after="0" w:line="255" w:lineRule="auto"/>
        <w:rPr>
          <w:sz w:val="20"/>
          <w:szCs w:val="20"/>
          <w:color w:val="auto"/>
        </w:rPr>
      </w:pPr>
      <w:r>
        <w:rPr>
          <w:rFonts w:ascii="Arial" w:cs="Arial" w:eastAsia="Arial" w:hAnsi="Arial"/>
          <w:sz w:val="18"/>
          <w:szCs w:val="18"/>
          <w:color w:val="auto"/>
        </w:rPr>
        <w:t>1-412-717-9621 (international) and may access a teleconference replay for one week by dialing 1-877-344-7529 (domestic) or 1-412-317-0088 (international) and using confirmation code 8863115. The live and archived webcast of this call can also be accessed via the Investors &amp; Media section of the Company’s website, www.selectabio.com.</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Selecta Biosciences, Inc.</w:t>
      </w:r>
    </w:p>
    <w:p>
      <w:pPr>
        <w:spacing w:after="0" w:line="12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Selecta Biosciences Inc. (NASDAQ: SELB) is a clinical stage biotechnology company leveraging its ImmTOR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www.selectabio.com.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Selecta Forward-Looking Statements</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Any statements in this press release about the future expectations, plans and prospects of Selecta Biosciences, Inc. (the “Company”), including without limitation, statements regarding the Company’s expected cash runway, the Company’s strategic prioritization of SEL-212 and its collaborations with Sobi and Astellas, the Company’s plans to maximize the value of its pipeline through potential licensing and corporate development activities, the unique proprietary technology platform of the Company and its partners, the potential of ImmTOR to enable re-dosing of therapies and to mitigate immunogenicity, the potential of ImmTOR and the Company’s product pipeline to treat chronic refractory gout, MMA, liver</w:t>
      </w:r>
    </w:p>
    <w:p>
      <w:pPr>
        <w:sectPr>
          <w:pgSz w:w="11900" w:h="16838" w:orient="portrait"/>
          <w:cols w:equalWidth="0" w:num="1">
            <w:col w:w="11000"/>
          </w:cols>
          <w:pgMar w:left="440" w:top="1255" w:right="45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25475"/>
                    </a:xfrm>
                    <a:prstGeom prst="rect">
                      <a:avLst/>
                    </a:prstGeom>
                    <a:noFill/>
                  </pic:spPr>
                </pic:pic>
              </a:graphicData>
            </a:graphic>
          </wp:anchor>
        </w:drawing>
        <w:t>diseases, other autoimmune diseases, or any other disease, the anticipated timing or the outcome of ongoing and planned clinical trials, studies and data readouts, the anticipated timing or the outcome of the FDA’s review of the Company’s regulatory filings, the Company’s and its partners’ ability to conduct its and their clinical trials and preclinical studies, the timing or making of any regulatory filings, the anticipated timing or outcome of selection of developmental product candidates, the ability of the Company to consummate any expected agreements and licenses,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the potential of any therapies developed by the Company to fulfill unmet medical needs, the Company’s plan to apply its ImmTOR technology platform to a range of biologics for rare and orphan genetic diseases, the potential of the ImmTOR technology platform generally, the Company’s ability to grow and maintain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ectPr>
          <w:pgSz w:w="11900" w:h="16838" w:orient="portrait"/>
          <w:cols w:equalWidth="0" w:num="1">
            <w:col w:w="11000"/>
          </w:cols>
          <w:pgMar w:left="440" w:top="1259" w:right="4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25475"/>
                    </a:xfrm>
                    <a:prstGeom prst="rect">
                      <a:avLst/>
                    </a:prstGeom>
                    <a:noFill/>
                  </pic:spPr>
                </pic:pic>
              </a:graphicData>
            </a:graphic>
          </wp:anchor>
        </w:drawing>
        <w:t>For Investors and Media: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Blaine Davis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bdavis@selectabio.com</w:t>
      </w:r>
    </w:p>
    <w:p>
      <w:pPr>
        <w:sectPr>
          <w:pgSz w:w="11900" w:h="16838" w:orient="portrait"/>
          <w:cols w:equalWidth="0" w:num="1">
            <w:col w:w="10019"/>
          </w:cols>
          <w:pgMar w:left="440" w:top="1255"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25475"/>
                    </a:xfrm>
                    <a:prstGeom prst="rect">
                      <a:avLst/>
                    </a:prstGeom>
                    <a:noFill/>
                  </pic:spPr>
                </pic:pic>
              </a:graphicData>
            </a:graphic>
          </wp:anchor>
        </w:drawing>
        <w:t>Financial Tables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112,027</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106,438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28,164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Unbilled receivables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1,055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122,725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2,593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10,775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Long-term restricted cash</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1,377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139,506</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165,886</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267</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12,902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Loan payable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10,235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4,234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29,367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Loan payable, net of current portion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13,787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Lease liability, net of current portion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9,163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Warrant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16,878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19,140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74,058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72,058</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Preferred stock, $0.0001 par value; 10,000,000 shares authorized; no</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as of June 30, 2023 and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2022</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w w:val="95"/>
              </w:rPr>
              <w:t>Common stock, $0.0001 par value; 350,000,000 shares authorized as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of June 30, 2023 and December 31, 2022; 153,427,571 and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w w:val="93"/>
              </w:rPr>
              <w:t>153,042,435 shares issued and outstanding as of June 30, 2023 and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December 31, 2022, respectively</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498,016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493,308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(427,987)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(394,937)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65,448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139,506</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165,886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1255" w:right="1440" w:bottom="1440" w:gutter="0" w:footer="0" w:header="0"/>
        </w:sectPr>
      </w:pPr>
    </w:p>
    <w:bookmarkStart w:id="9" w:name="page10"/>
    <w:bookmarkEnd w:id="9"/>
    <w:p>
      <w:pPr>
        <w:jc w:val="center"/>
        <w:ind w:right="20"/>
        <w:spacing w:after="0" w:line="39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25475"/>
                    </a:xfrm>
                    <a:prstGeom prst="rect">
                      <a:avLst/>
                    </a:prstGeom>
                    <a:noFill/>
                  </pic:spPr>
                </pic:pic>
              </a:graphicData>
            </a:graphic>
          </wp:anchor>
        </w:drawing>
        <w:t>Selecta Biosciences, Inc. and Subsidiaries Consolidated Statements of Operations and Comprehensive Income (Loss) (Amounts in thousands, except share and per share data)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right"/>
              <w:ind w:right="83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6"/>
                <w:szCs w:val="16"/>
                <w:color w:val="auto"/>
              </w:rPr>
            </w:pPr>
          </w:p>
        </w:tc>
        <w:tc>
          <w:tcPr>
            <w:tcW w:w="9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6"/>
                <w:szCs w:val="16"/>
                <w:color w:val="auto"/>
              </w:rPr>
            </w:pPr>
          </w:p>
        </w:tc>
        <w:tc>
          <w:tcPr>
            <w:tcW w:w="9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71"/>
              </w:rPr>
              <w:t>(Unaudited)</w:t>
            </w: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5,249</w:t>
            </w:r>
          </w:p>
        </w:tc>
        <w:tc>
          <w:tcPr>
            <w:tcW w:w="5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12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39,273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11,187</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73,272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17,782</w:t>
            </w:r>
          </w:p>
        </w:tc>
        <w:tc>
          <w:tcPr>
            <w:tcW w:w="5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19,182</w:t>
            </w:r>
          </w:p>
        </w:tc>
        <w:tc>
          <w:tcPr>
            <w:tcW w:w="2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36,406</w:t>
            </w: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36,871</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11,768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23,887</w:t>
            </w: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48,206</w:t>
            </w: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48,639</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Operating (loss) income</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(37,019)</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w:t>
            </w:r>
          </w:p>
        </w:tc>
        <w:tc>
          <w:tcPr>
            <w:tcW w:w="5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2,725</w:t>
            </w: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Foreign currency transaction, net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48"/>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(752)</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(1,560)</w:t>
            </w: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6,341</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8"/>
                <w:szCs w:val="18"/>
                <w:color w:val="auto"/>
              </w:rPr>
              <w:t>(4,647)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48"/>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13,868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5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500</w:t>
            </w: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(loss) income</w:t>
            </w: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(11,387)</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(33,050)</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448"/>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1200" w:type="dxa"/>
            <w:vAlign w:val="bottom"/>
            <w:gridSpan w:val="2"/>
          </w:tcPr>
          <w:p>
            <w:pPr>
              <w:jc w:val="right"/>
              <w:ind w:right="218"/>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88"/>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marketable securities</w:t>
            </w: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11</w:t>
            </w: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(33,088)</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w:t>
            </w: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48"/>
              <w:spacing w:after="0"/>
              <w:rPr>
                <w:sz w:val="20"/>
                <w:szCs w:val="20"/>
                <w:color w:val="auto"/>
              </w:rPr>
            </w:pPr>
            <w:r>
              <w:rPr>
                <w:rFonts w:ascii="Arial" w:cs="Arial" w:eastAsia="Arial" w:hAnsi="Arial"/>
                <w:sz w:val="18"/>
                <w:szCs w:val="18"/>
                <w:color w:val="auto"/>
              </w:rPr>
              <w:t>(0.07)</w:t>
            </w:r>
          </w:p>
        </w:tc>
        <w:tc>
          <w:tcPr>
            <w:tcW w:w="40" w:type="dxa"/>
            <w:vAlign w:val="bottom"/>
          </w:tcPr>
          <w:p>
            <w:pPr>
              <w:jc w:val="right"/>
              <w:spacing w:after="0"/>
              <w:rPr>
                <w:sz w:val="20"/>
                <w:szCs w:val="20"/>
                <w:color w:val="auto"/>
              </w:rPr>
            </w:pPr>
            <w:r>
              <w:rPr>
                <w:rFonts w:ascii="Arial" w:cs="Arial" w:eastAsia="Arial" w:hAnsi="Arial"/>
                <w:sz w:val="4"/>
                <w:szCs w:val="4"/>
                <w:color w:val="auto"/>
                <w:w w:val="87"/>
              </w:rPr>
              <w:t>$</w:t>
            </w:r>
          </w:p>
        </w:tc>
        <w:tc>
          <w:tcPr>
            <w:tcW w:w="1200" w:type="dxa"/>
            <w:vAlign w:val="bottom"/>
            <w:gridSpan w:val="2"/>
          </w:tcPr>
          <w:p>
            <w:pPr>
              <w:jc w:val="right"/>
              <w:ind w:right="218"/>
              <w:spacing w:after="0"/>
              <w:rPr>
                <w:sz w:val="20"/>
                <w:szCs w:val="20"/>
                <w:color w:val="auto"/>
              </w:rPr>
            </w:pPr>
            <w:r>
              <w:rPr>
                <w:rFonts w:ascii="Arial" w:cs="Arial" w:eastAsia="Arial" w:hAnsi="Arial"/>
                <w:sz w:val="18"/>
                <w:szCs w:val="18"/>
                <w:color w:val="auto"/>
              </w:rPr>
              <w:t>0.06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8"/>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(0.07)</w:t>
            </w:r>
          </w:p>
        </w:tc>
        <w:tc>
          <w:tcPr>
            <w:tcW w:w="4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12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(0.22)</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153,442,413</w:t>
            </w: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148,505,729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153,396,380</w:t>
            </w: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136,436,316</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153,442,413</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148,505,729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153,396,380</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136,966,312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2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lvl w:ilvl="1">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2023-08-17T06:14:15Z</dcterms:created>
  <dcterms:modified xsi:type="dcterms:W3CDTF">2023-08-17T06:14:15Z</dcterms:modified>
</cp:coreProperties>
</file>