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0" w:lineRule="exact"/>
        <w:rPr>
          <w:sz w:val="24"/>
          <w:szCs w:val="24"/>
          <w:color w:val="auto"/>
        </w:rPr>
      </w:pPr>
    </w:p>
    <w:p>
      <w:pPr>
        <w:spacing w:after="0" w:line="212"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December 13, 2024</w:t>
      </w:r>
    </w:p>
    <w:p>
      <w:pPr>
        <w:spacing w:after="0" w:line="32" w:lineRule="exact"/>
        <w:rPr>
          <w:sz w:val="24"/>
          <w:szCs w:val="24"/>
          <w:color w:val="auto"/>
        </w:rPr>
      </w:pPr>
    </w:p>
    <w:p>
      <w:pPr>
        <w:ind w:left="7160"/>
        <w:spacing w:after="0"/>
        <w:rPr>
          <w:sz w:val="20"/>
          <w:szCs w:val="20"/>
          <w:color w:val="auto"/>
        </w:rPr>
      </w:pPr>
      <w:r>
        <w:rPr>
          <w:rFonts w:ascii="Times New Roman" w:cs="Times New Roman" w:eastAsia="Times New Roman" w:hAnsi="Times New Roman"/>
          <w:sz w:val="17"/>
          <w:szCs w:val="17"/>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578993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9930" cy="158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90170</wp:posOffset>
            </wp:positionV>
            <wp:extent cx="5789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9930" cy="8255"/>
                    </a:xfrm>
                    <a:prstGeom prst="rect">
                      <a:avLst/>
                    </a:prstGeom>
                    <a:noFill/>
                  </pic:spPr>
                </pic:pic>
              </a:graphicData>
            </a:graphic>
          </wp:anchor>
        </w:drawing>
      </w:r>
    </w:p>
    <w:p>
      <w:pPr>
        <w:spacing w:after="0" w:line="27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27940</wp:posOffset>
            </wp:positionV>
            <wp:extent cx="1029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7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FORM S-3</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REGISTRATION STATEMENT</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jc w:val="center"/>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30480</wp:posOffset>
            </wp:positionV>
            <wp:extent cx="1029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8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CARTESIAN THERAPEUTICS,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27940</wp:posOffset>
            </wp:positionV>
            <wp:extent cx="1029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52" w:lineRule="exact"/>
        <w:rPr>
          <w:sz w:val="24"/>
          <w:szCs w:val="24"/>
          <w:color w:val="auto"/>
        </w:rPr>
      </w:pPr>
    </w:p>
    <w:tbl>
      <w:tblPr>
        <w:tblLayout w:type="fixed"/>
        <w:tblInd w:w="1180" w:type="dxa"/>
        <w:tblCellMar>
          <w:top w:w="0" w:type="dxa"/>
          <w:left w:w="0" w:type="dxa"/>
          <w:bottom w:w="0" w:type="dxa"/>
          <w:right w:w="0" w:type="dxa"/>
        </w:tblCellMar>
      </w:tblPr>
      <w:tr>
        <w:trPr>
          <w:trHeight w:val="211"/>
        </w:trPr>
        <w:tc>
          <w:tcPr>
            <w:tcW w:w="3500" w:type="dxa"/>
            <w:vAlign w:val="bottom"/>
          </w:tcPr>
          <w:p>
            <w:pPr>
              <w:jc w:val="center"/>
              <w:ind w:right="130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000" w:type="dxa"/>
            <w:vAlign w:val="bottom"/>
          </w:tcPr>
          <w:p>
            <w:pPr>
              <w:jc w:val="center"/>
              <w:ind w:left="1360"/>
              <w:spacing w:after="0"/>
              <w:rPr>
                <w:sz w:val="20"/>
                <w:szCs w:val="20"/>
                <w:color w:val="auto"/>
              </w:rPr>
            </w:pPr>
            <w:r>
              <w:rPr>
                <w:rFonts w:ascii="Times New Roman" w:cs="Times New Roman" w:eastAsia="Times New Roman" w:hAnsi="Times New Roman"/>
                <w:sz w:val="16"/>
                <w:szCs w:val="16"/>
                <w:b w:val="1"/>
                <w:bCs w:val="1"/>
                <w:color w:val="auto"/>
                <w:w w:val="98"/>
              </w:rPr>
              <w:t>26-1622110</w:t>
            </w:r>
          </w:p>
        </w:tc>
      </w:tr>
      <w:tr>
        <w:trPr>
          <w:trHeight w:val="194"/>
        </w:trPr>
        <w:tc>
          <w:tcPr>
            <w:tcW w:w="3500" w:type="dxa"/>
            <w:vAlign w:val="bottom"/>
          </w:tcPr>
          <w:p>
            <w:pPr>
              <w:jc w:val="center"/>
              <w:ind w:right="1340"/>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3000" w:type="dxa"/>
            <w:vAlign w:val="bottom"/>
          </w:tcPr>
          <w:p>
            <w:pPr>
              <w:jc w:val="center"/>
              <w:ind w:left="132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3500" w:type="dxa"/>
            <w:vAlign w:val="bottom"/>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3000" w:type="dxa"/>
            <w:vAlign w:val="bottom"/>
          </w:tcPr>
          <w:p>
            <w:pPr>
              <w:jc w:val="center"/>
              <w:ind w:left="1340"/>
              <w:spacing w:after="0"/>
              <w:rPr>
                <w:sz w:val="20"/>
                <w:szCs w:val="20"/>
                <w:color w:val="auto"/>
              </w:rPr>
            </w:pPr>
            <w:r>
              <w:rPr>
                <w:rFonts w:ascii="Times New Roman" w:cs="Times New Roman" w:eastAsia="Times New Roman" w:hAnsi="Times New Roman"/>
                <w:sz w:val="16"/>
                <w:szCs w:val="16"/>
                <w:b w:val="1"/>
                <w:bCs w:val="1"/>
                <w:color w:val="auto"/>
                <w:w w:val="99"/>
              </w:rPr>
              <w:t>Identification Number)</w:t>
            </w:r>
          </w:p>
        </w:tc>
      </w:tr>
    </w:tbl>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7495 New Horizon Way</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Frederick, Maryland 21703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348-8698</w:t>
      </w:r>
    </w:p>
    <w:p>
      <w:pPr>
        <w:spacing w:after="0" w:line="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38100</wp:posOffset>
            </wp:positionV>
            <wp:extent cx="10293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8"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Carsten Brunn, Ph.D.</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President and Chief Executive Officer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7495 New Horizon Way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Frederick, Maryland 21703</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(301) 348-8698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30480</wp:posOffset>
            </wp:positionV>
            <wp:extent cx="102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1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p>
      <w:pPr>
        <w:spacing w:after="0" w:line="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Brian K. Rosenzweig</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Sarah C. Griffiths</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Covington &amp; Burling LLP</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One International Place, Suite 1020</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Boston, Massachusetts 02110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(617) 603-8805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38100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12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b w:val="1"/>
          <w:bCs w:val="1"/>
          <w:color w:val="auto"/>
        </w:rPr>
        <w:t xml:space="preserve">Approximate date of commencement of proposed sale to the public: </w:t>
      </w:r>
      <w:r>
        <w:rPr>
          <w:rFonts w:ascii="Times New Roman" w:cs="Times New Roman" w:eastAsia="Times New Roman" w:hAnsi="Times New Roman"/>
          <w:sz w:val="15"/>
          <w:szCs w:val="15"/>
          <w:color w:val="auto"/>
        </w:rPr>
        <w:t>From time to time after this registration statement becomes effective.</w:t>
      </w:r>
    </w:p>
    <w:p>
      <w:pPr>
        <w:spacing w:after="0" w:line="72" w:lineRule="exact"/>
        <w:rPr>
          <w:sz w:val="24"/>
          <w:szCs w:val="24"/>
          <w:color w:val="auto"/>
        </w:rPr>
      </w:pPr>
    </w:p>
    <w:p>
      <w:pPr>
        <w:ind w:right="440"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right="340"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right="80"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9" w:lineRule="exact"/>
        <w:rPr>
          <w:sz w:val="24"/>
          <w:szCs w:val="24"/>
          <w:color w:val="auto"/>
        </w:rPr>
      </w:pPr>
    </w:p>
    <w:p>
      <w:pPr>
        <w:ind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9" w:lineRule="exact"/>
        <w:rPr>
          <w:sz w:val="24"/>
          <w:szCs w:val="24"/>
          <w:color w:val="auto"/>
        </w:rPr>
      </w:pPr>
    </w:p>
    <w:p>
      <w:pPr>
        <w:ind w:right="240"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right="440"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9" w:lineRule="exact"/>
        <w:rPr>
          <w:sz w:val="24"/>
          <w:szCs w:val="24"/>
          <w:color w:val="auto"/>
        </w:rPr>
      </w:pPr>
    </w:p>
    <w:p>
      <w:pPr>
        <w:ind w:right="420" w:firstLine="338"/>
        <w:spacing w:after="0" w:line="28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1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3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6" w:lineRule="exact"/>
        <w:rPr>
          <w:sz w:val="24"/>
          <w:szCs w:val="24"/>
          <w:color w:val="auto"/>
        </w:rPr>
      </w:pPr>
    </w:p>
    <w:p>
      <w:pPr>
        <w:ind w:right="280" w:firstLine="338"/>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5"/>
          <w:szCs w:val="15"/>
          <w:color w:val="auto"/>
        </w:rPr>
        <w:t>☐</w:t>
      </w:r>
    </w:p>
    <w:p>
      <w:pPr>
        <w:spacing w:after="0" w:line="66" w:lineRule="exact"/>
        <w:rPr>
          <w:sz w:val="24"/>
          <w:szCs w:val="24"/>
          <w:color w:val="auto"/>
        </w:rPr>
      </w:pPr>
    </w:p>
    <w:p>
      <w:pPr>
        <w:ind w:right="140"/>
        <w:spacing w:after="0" w:line="277" w:lineRule="auto"/>
        <w:rPr>
          <w:sz w:val="20"/>
          <w:szCs w:val="20"/>
          <w:color w:val="auto"/>
        </w:rPr>
      </w:pPr>
      <w:r>
        <w:rPr>
          <w:rFonts w:ascii="Times New Roman" w:cs="Times New Roman" w:eastAsia="Times New Roman" w:hAnsi="Times New Roman"/>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57899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9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172085</wp:posOffset>
            </wp:positionV>
            <wp:extent cx="578993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9930" cy="1587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300355</wp:posOffset>
            </wp:positionV>
            <wp:extent cx="656209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120"/>
          </w:cols>
          <w:pgMar w:left="1380" w:top="217" w:right="1399" w:bottom="1440" w:gutter="0" w:footer="0" w:header="0"/>
        </w:sectPr>
      </w:pPr>
    </w:p>
    <w:bookmarkStart w:id="1" w:name="page2"/>
    <w:bookmarkEnd w:id="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1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This registration statement contains two prospectuses:</w:t>
      </w:r>
    </w:p>
    <w:p>
      <w:pPr>
        <w:spacing w:after="0" w:line="108" w:lineRule="exact"/>
        <w:rPr>
          <w:sz w:val="20"/>
          <w:szCs w:val="20"/>
          <w:color w:val="auto"/>
        </w:rPr>
      </w:pPr>
    </w:p>
    <w:p>
      <w:pPr>
        <w:ind w:left="1220" w:right="599" w:hanging="330"/>
        <w:spacing w:after="0" w:line="262" w:lineRule="auto"/>
        <w:tabs>
          <w:tab w:leader="none" w:pos="12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prospectus, which covers the offering, issuance and sale by the registrant of up to $400,000,000 in the aggregate of the registrant’s common stock, preferred stock, debt securities, warrants and/or units from time to time in one or more offerings; and</w:t>
      </w:r>
    </w:p>
    <w:p>
      <w:pPr>
        <w:spacing w:after="0" w:line="6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sales agreement prospectus, which covers the offering, issuance and sale by the registrant of up to</w:t>
      </w:r>
    </w:p>
    <w:p>
      <w:pPr>
        <w:spacing w:after="0" w:line="22" w:lineRule="exact"/>
        <w:rPr>
          <w:rFonts w:ascii="Times New Roman" w:cs="Times New Roman" w:eastAsia="Times New Roman" w:hAnsi="Times New Roman"/>
          <w:sz w:val="17"/>
          <w:szCs w:val="17"/>
          <w:color w:val="auto"/>
        </w:rPr>
      </w:pPr>
    </w:p>
    <w:p>
      <w:pPr>
        <w:ind w:left="1220" w:right="57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$100,000,000 of the registrant’s common stock that may be issued and sold from time to time under a sales agreement, dated December 13, 2024, with Leerink Partners LLC.</w:t>
      </w:r>
    </w:p>
    <w:p>
      <w:pPr>
        <w:spacing w:after="0" w:line="72" w:lineRule="exact"/>
        <w:rPr>
          <w:sz w:val="20"/>
          <w:szCs w:val="20"/>
          <w:color w:val="auto"/>
        </w:rPr>
      </w:pPr>
    </w:p>
    <w:p>
      <w:pPr>
        <w:ind w:left="560" w:right="599" w:firstLine="337"/>
        <w:spacing w:after="0" w:line="258" w:lineRule="auto"/>
        <w:rPr>
          <w:sz w:val="20"/>
          <w:szCs w:val="20"/>
          <w:color w:val="auto"/>
        </w:rPr>
      </w:pPr>
      <w:r>
        <w:rPr>
          <w:rFonts w:ascii="Times New Roman" w:cs="Times New Roman" w:eastAsia="Times New Roman" w:hAnsi="Times New Roman"/>
          <w:sz w:val="17"/>
          <w:szCs w:val="17"/>
          <w:color w:val="auto"/>
        </w:rPr>
        <w:t>The base prospectus immediately follows this explanatory note. The specific terms of any securities to be offered pursuant to the base prospectus will be specified in one or more prospectus supplements to the base prospectus. The specific terms of the securities to be offered, issued and sold under the sales agreement are specified in the sales agreement prospectus, which immediately follows the base prospectus.</w:t>
      </w:r>
    </w:p>
    <w:p>
      <w:pPr>
        <w:spacing w:after="0" w:line="71" w:lineRule="exact"/>
        <w:rPr>
          <w:sz w:val="20"/>
          <w:szCs w:val="20"/>
          <w:color w:val="auto"/>
        </w:rPr>
      </w:pPr>
    </w:p>
    <w:p>
      <w:pPr>
        <w:ind w:left="560" w:right="659" w:firstLine="337"/>
        <w:spacing w:after="0" w:line="271" w:lineRule="auto"/>
        <w:rPr>
          <w:sz w:val="20"/>
          <w:szCs w:val="20"/>
          <w:color w:val="auto"/>
        </w:rPr>
      </w:pPr>
      <w:r>
        <w:rPr>
          <w:rFonts w:ascii="Times New Roman" w:cs="Times New Roman" w:eastAsia="Times New Roman" w:hAnsi="Times New Roman"/>
          <w:sz w:val="16"/>
          <w:szCs w:val="16"/>
          <w:color w:val="auto"/>
        </w:rPr>
        <w:t>The $100,000,000 of common stock that may be offered, issued and sold under the sales agreement prospectus is included in the $400,000,000 of securities that may be offered, issued and sold by the registrant under the base prospectus. Upon termination of the sales agreement or upon suspension of sales under the sales agreement prospectus, any portion of the $100,000,000 included in the sales agreement prospectus that is not sold pursuant to the sales agreement will be available for sale in other offerings pursuant to the base prospectus and a corresponding prospectus supplement, and if no shares are sold under the sales agreement, the full $100,000,000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100330</wp:posOffset>
            </wp:positionV>
            <wp:extent cx="656209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660" w:right="779"/>
        <w:spacing w:after="0" w:line="244" w:lineRule="auto"/>
        <w:rPr>
          <w:sz w:val="20"/>
          <w:szCs w:val="20"/>
          <w:color w:val="auto"/>
        </w:rPr>
      </w:pPr>
      <w:r>
        <w:rPr>
          <w:rFonts w:ascii="Arial" w:cs="Arial" w:eastAsia="Arial" w:hAnsi="Arial"/>
          <w:sz w:val="17"/>
          <w:szCs w:val="17"/>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C0014"/>
        </w:rPr>
        <w:t>SUBJECT TO COMPLETION, DATED DECEMBER 13, 2024</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171450</wp:posOffset>
            </wp:positionV>
            <wp:extent cx="1986280" cy="603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6280" cy="60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  </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Cartesian Therapeutics, Inc.</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Debt Securities</w:t>
      </w:r>
    </w:p>
    <w:p>
      <w:pPr>
        <w:jc w:val="center"/>
        <w:spacing w:after="0" w:line="238" w:lineRule="auto"/>
        <w:rPr>
          <w:sz w:val="20"/>
          <w:szCs w:val="20"/>
          <w:color w:val="auto"/>
        </w:rPr>
      </w:pPr>
      <w:r>
        <w:rPr>
          <w:rFonts w:ascii="Times New Roman" w:cs="Times New Roman" w:eastAsia="Times New Roman" w:hAnsi="Times New Roman"/>
          <w:sz w:val="20"/>
          <w:szCs w:val="20"/>
          <w:b w:val="1"/>
          <w:bCs w:val="1"/>
          <w:color w:val="auto"/>
        </w:rPr>
        <w:t>Warrants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86" w:lineRule="exact"/>
        <w:rPr>
          <w:sz w:val="20"/>
          <w:szCs w:val="20"/>
          <w:color w:val="auto"/>
        </w:rPr>
      </w:pPr>
    </w:p>
    <w:p>
      <w:pPr>
        <w:ind w:left="660" w:right="759" w:firstLine="338"/>
        <w:spacing w:after="0" w:line="279" w:lineRule="auto"/>
        <w:rPr>
          <w:sz w:val="20"/>
          <w:szCs w:val="20"/>
          <w:color w:val="auto"/>
        </w:rPr>
      </w:pPr>
      <w:r>
        <w:rPr>
          <w:rFonts w:ascii="Times New Roman" w:cs="Times New Roman" w:eastAsia="Times New Roman" w:hAnsi="Times New Roman"/>
          <w:sz w:val="16"/>
          <w:szCs w:val="16"/>
          <w:color w:val="auto"/>
        </w:rPr>
        <w:t>From time to time, we may offer and sell up to $400,000,000 in the aggregate of the securities identified above, either individually or in combination, at prices and on terms described in one or more supplements to this prospectus. We may also offer securities as may be issuable upon conversion, redemption, repurchase, exchange or exercise of any securities registered hereunder, including pursuant to any applicable anti-dilution provisions.</w:t>
      </w:r>
    </w:p>
    <w:p>
      <w:pPr>
        <w:spacing w:after="0" w:line="56" w:lineRule="exact"/>
        <w:rPr>
          <w:sz w:val="20"/>
          <w:szCs w:val="20"/>
          <w:color w:val="auto"/>
        </w:rPr>
      </w:pPr>
    </w:p>
    <w:p>
      <w:pPr>
        <w:ind w:left="660" w:right="659" w:firstLine="338"/>
        <w:spacing w:after="0" w:line="252" w:lineRule="auto"/>
        <w:rPr>
          <w:sz w:val="20"/>
          <w:szCs w:val="20"/>
          <w:color w:val="auto"/>
        </w:rPr>
      </w:pPr>
      <w:r>
        <w:rPr>
          <w:rFonts w:ascii="Times New Roman" w:cs="Times New Roman" w:eastAsia="Times New Roman" w:hAnsi="Times New Roman"/>
          <w:sz w:val="17"/>
          <w:szCs w:val="17"/>
          <w:color w:val="auto"/>
        </w:rPr>
        <w:t>This prospectus describes the general terms of these securities and the general manner in which they may be offered. Each time we offer any securities pursuant to this prospectus, we will provide you with a prospectus supplement that will describe the specific amounts, prices and terms of the securities being offered and the specific manner in which they may be offered. The prospectus supplement and any related free writing prospectus may also add, update or change information contained in this prospectus. You should read this prospectus, the information incorporated by reference in this prospectus, the accompanying prospectus supplement, including any information incorporated by reference therein, and any applicable free writing prospectus carefully before you invest in the securities described in the applicable prospectus supplement.</w:t>
      </w:r>
    </w:p>
    <w:p>
      <w:pPr>
        <w:spacing w:after="0" w:line="80" w:lineRule="exact"/>
        <w:rPr>
          <w:sz w:val="20"/>
          <w:szCs w:val="20"/>
          <w:color w:val="auto"/>
        </w:rPr>
      </w:pPr>
    </w:p>
    <w:p>
      <w:pPr>
        <w:ind w:left="660" w:right="979" w:firstLine="338"/>
        <w:spacing w:after="0" w:line="255" w:lineRule="auto"/>
        <w:rPr>
          <w:sz w:val="20"/>
          <w:szCs w:val="20"/>
          <w:color w:val="auto"/>
        </w:rPr>
      </w:pPr>
      <w:r>
        <w:rPr>
          <w:rFonts w:ascii="Times New Roman" w:cs="Times New Roman" w:eastAsia="Times New Roman" w:hAnsi="Times New Roman"/>
          <w:sz w:val="17"/>
          <w:szCs w:val="17"/>
          <w:color w:val="auto"/>
        </w:rPr>
        <w:t>Our common stock, par value $0.0001 per share, or the Common Stock, is listed on the Nasdaq Global Market, or Nasdaq, under the symbol “RNAC.” On December 12, 2024, the last reported sale price of our Common Stock was $20.12 per share. The applicable prospectus supplement will contain information, where applicable, as to the listing, if any, on the Nasdaq Global Market or other securities exchange of the securities covered by the prospectus supplement.</w:t>
      </w:r>
    </w:p>
    <w:p>
      <w:pPr>
        <w:spacing w:after="0" w:line="76" w:lineRule="exact"/>
        <w:rPr>
          <w:sz w:val="20"/>
          <w:szCs w:val="20"/>
          <w:color w:val="auto"/>
        </w:rPr>
      </w:pPr>
    </w:p>
    <w:p>
      <w:pPr>
        <w:ind w:left="660" w:right="799" w:firstLine="338"/>
        <w:spacing w:after="0" w:line="254" w:lineRule="auto"/>
        <w:rPr>
          <w:sz w:val="20"/>
          <w:szCs w:val="20"/>
          <w:color w:val="auto"/>
        </w:rPr>
      </w:pPr>
      <w:r>
        <w:rPr>
          <w:rFonts w:ascii="Times New Roman" w:cs="Times New Roman" w:eastAsia="Times New Roman" w:hAnsi="Times New Roman"/>
          <w:sz w:val="17"/>
          <w:szCs w:val="17"/>
          <w:color w:val="auto"/>
        </w:rPr>
        <w:t>We may offer and sell these securities to or through one or more underwriters, dealers or agents, directly to purchasers or through a combination of these methods, on a continuous or delayed basis from time to time.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in this prospectus and in the applicable prospectus supplement. The names of any underwriters, dealers or agents involved in the distribution of our securities, their compensation and any option they hold to acquire additional securities will be described in the applicable prospectus supplement. The net proceeds from the sale of securities will be set forth in the applicable prospectus supplement.</w:t>
      </w:r>
    </w:p>
    <w:p>
      <w:pPr>
        <w:spacing w:after="0" w:line="72" w:lineRule="exact"/>
        <w:rPr>
          <w:sz w:val="20"/>
          <w:szCs w:val="20"/>
          <w:color w:val="auto"/>
        </w:rPr>
      </w:pPr>
    </w:p>
    <w:p>
      <w:pPr>
        <w:ind w:left="660" w:right="719" w:firstLine="338"/>
        <w:spacing w:after="0" w:line="25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Before investing in our securities, you should carefully consider the risks and uncertainties described under the caption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beginning on page </w:t>
      </w:r>
      <w:r>
        <w:rPr>
          <w:rFonts w:ascii="Times New Roman" w:cs="Times New Roman" w:eastAsia="Times New Roman" w:hAnsi="Times New Roman"/>
          <w:sz w:val="17"/>
          <w:szCs w:val="17"/>
          <w:b w:val="1"/>
          <w:bCs w:val="1"/>
          <w:u w:val="single" w:color="auto"/>
          <w:color w:val="0000EE"/>
        </w:rPr>
        <w:t>8</w:t>
      </w:r>
      <w:r>
        <w:rPr>
          <w:rFonts w:ascii="Times New Roman" w:cs="Times New Roman" w:eastAsia="Times New Roman" w:hAnsi="Times New Roman"/>
          <w:sz w:val="17"/>
          <w:szCs w:val="17"/>
          <w:b w:val="1"/>
          <w:bCs w:val="1"/>
          <w:color w:val="auto"/>
        </w:rPr>
        <w:t xml:space="preserve"> of this prospectus and any similar section contained in the applicable prospectus supplement and in any free writing prospectus we have authorized for use in connection with a specific offering, and under similar headings in the documents incorporated by reference into this prospectus.</w:t>
      </w:r>
    </w:p>
    <w:p>
      <w:pPr>
        <w:spacing w:after="0" w:line="68" w:lineRule="exact"/>
        <w:rPr>
          <w:sz w:val="20"/>
          <w:szCs w:val="20"/>
          <w:color w:val="auto"/>
        </w:rPr>
      </w:pPr>
    </w:p>
    <w:p>
      <w:pPr>
        <w:ind w:left="660" w:right="679" w:firstLine="338"/>
        <w:spacing w:after="0" w:line="26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date of this prospectus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130175</wp:posOffset>
            </wp:positionV>
            <wp:extent cx="656209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 w:name="page4"/>
    <w:bookmarkEnd w:id="3"/>
    <w:tbl>
      <w:tblPr>
        <w:tblLayout w:type="fixed"/>
        <w:tblInd w:w="560" w:type="dxa"/>
        <w:tblCellMar>
          <w:top w:w="0" w:type="dxa"/>
          <w:left w:w="0" w:type="dxa"/>
          <w:bottom w:w="0" w:type="dxa"/>
          <w:right w:w="0" w:type="dxa"/>
        </w:tblCellMar>
      </w:tblPr>
      <w:tr>
        <w:trPr>
          <w:trHeight w:val="151"/>
        </w:trPr>
        <w:tc>
          <w:tcPr>
            <w:tcW w:w="7360" w:type="dxa"/>
            <w:vAlign w:val="bottom"/>
            <w:gridSpan w:val="17"/>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1"/>
        </w:trPr>
        <w:tc>
          <w:tcPr>
            <w:tcW w:w="7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40" w:type="dxa"/>
            <w:vAlign w:val="bottom"/>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66"/>
        </w:trPr>
        <w:tc>
          <w:tcPr>
            <w:tcW w:w="736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20" w:type="dxa"/>
            <w:vAlign w:val="bottom"/>
            <w:shd w:val="clear" w:color="auto" w:fill="CCEEFF"/>
          </w:tcPr>
          <w:p>
            <w:pPr>
              <w:spacing w:after="0"/>
              <w:rPr>
                <w:sz w:val="23"/>
                <w:szCs w:val="23"/>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7360" w:type="dxa"/>
            <w:vAlign w:val="bottom"/>
            <w:gridSpan w:val="17"/>
          </w:tcPr>
          <w:p>
            <w:pPr>
              <w:spacing w:after="0" w:line="177"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52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3</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3580" w:type="dxa"/>
            <w:vAlign w:val="bottom"/>
            <w:gridSpan w:val="15"/>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8"/>
              </w:rPr>
              <w:t>WHERE YOU CAN FIND MORE INFORMATION</w:t>
            </w:r>
          </w:p>
        </w:tc>
        <w:tc>
          <w:tcPr>
            <w:tcW w:w="3780" w:type="dxa"/>
            <w:vAlign w:val="bottom"/>
            <w:gridSpan w:val="2"/>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shd w:val="clear" w:color="auto" w:fill="CCEEFF"/>
          </w:tcPr>
          <w:p>
            <w:pPr>
              <w:spacing w:after="0"/>
              <w:rPr>
                <w:sz w:val="15"/>
                <w:szCs w:val="15"/>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0000EE"/>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3580" w:type="dxa"/>
            <w:vAlign w:val="bottom"/>
            <w:gridSpan w:val="15"/>
          </w:tcPr>
          <w:p>
            <w:pPr>
              <w:spacing w:after="0" w:line="177" w:lineRule="exact"/>
              <w:rPr>
                <w:sz w:val="20"/>
                <w:szCs w:val="20"/>
                <w:color w:val="auto"/>
              </w:rPr>
            </w:pPr>
            <w:r>
              <w:rPr>
                <w:rFonts w:ascii="Times New Roman" w:cs="Times New Roman" w:eastAsia="Times New Roman" w:hAnsi="Times New Roman"/>
                <w:sz w:val="17"/>
                <w:szCs w:val="17"/>
                <w:color w:val="0000EE"/>
              </w:rPr>
              <w:t>INCORPORATION BY REFERENCE</w:t>
            </w:r>
          </w:p>
        </w:tc>
        <w:tc>
          <w:tcPr>
            <w:tcW w:w="3780" w:type="dxa"/>
            <w:vAlign w:val="bottom"/>
            <w:gridSpan w:val="2"/>
          </w:tcPr>
          <w:p>
            <w:pPr>
              <w:spacing w:after="0"/>
              <w:rPr>
                <w:sz w:val="15"/>
                <w:szCs w:val="15"/>
                <w:color w:val="auto"/>
              </w:rPr>
            </w:pPr>
          </w:p>
        </w:tc>
        <w:tc>
          <w:tcPr>
            <w:tcW w:w="52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20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6"/>
              </w:rPr>
              <w:t>THE COMPANY</w:t>
            </w:r>
          </w:p>
        </w:tc>
        <w:tc>
          <w:tcPr>
            <w:tcW w:w="6160" w:type="dxa"/>
            <w:vAlign w:val="bottom"/>
            <w:gridSpan w:val="14"/>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0000EE"/>
              </w:rPr>
              <w:t>7</w:t>
            </w:r>
          </w:p>
        </w:tc>
        <w:tc>
          <w:tcPr>
            <w:tcW w:w="20" w:type="dxa"/>
            <w:vAlign w:val="bottom"/>
            <w:shd w:val="clear" w:color="auto" w:fill="CCEEFF"/>
          </w:tcPr>
          <w:p>
            <w:pPr>
              <w:spacing w:after="0"/>
              <w:rPr>
                <w:sz w:val="15"/>
                <w:szCs w:val="15"/>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120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0000EE"/>
                <w:w w:val="98"/>
              </w:rPr>
              <w:t>RISK FACTORS</w:t>
            </w:r>
          </w:p>
        </w:tc>
        <w:tc>
          <w:tcPr>
            <w:tcW w:w="6160" w:type="dxa"/>
            <w:vAlign w:val="bottom"/>
            <w:gridSpan w:val="14"/>
          </w:tcPr>
          <w:p>
            <w:pPr>
              <w:spacing w:after="0"/>
              <w:rPr>
                <w:sz w:val="15"/>
                <w:szCs w:val="15"/>
                <w:color w:val="auto"/>
              </w:rPr>
            </w:pPr>
          </w:p>
        </w:tc>
        <w:tc>
          <w:tcPr>
            <w:tcW w:w="52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8</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80" w:type="dxa"/>
            <w:vAlign w:val="bottom"/>
            <w:gridSpan w:val="6"/>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7"/>
              </w:rPr>
              <w:t>USE OF PROCEEDS</w:t>
            </w:r>
          </w:p>
        </w:tc>
        <w:tc>
          <w:tcPr>
            <w:tcW w:w="5880" w:type="dxa"/>
            <w:vAlign w:val="bottom"/>
            <w:gridSpan w:val="11"/>
            <w:shd w:val="clear" w:color="auto" w:fill="CCEEFF"/>
          </w:tcPr>
          <w:p>
            <w:pPr>
              <w:spacing w:after="0"/>
              <w:rPr>
                <w:sz w:val="15"/>
                <w:szCs w:val="15"/>
                <w:color w:val="auto"/>
              </w:rPr>
            </w:pPr>
          </w:p>
        </w:tc>
        <w:tc>
          <w:tcPr>
            <w:tcW w:w="52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shd w:val="clear" w:color="auto" w:fill="CCEEFF"/>
          </w:tcPr>
          <w:p>
            <w:pPr>
              <w:spacing w:after="0"/>
              <w:rPr>
                <w:sz w:val="15"/>
                <w:szCs w:val="15"/>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7360" w:type="dxa"/>
            <w:vAlign w:val="bottom"/>
            <w:gridSpan w:val="17"/>
          </w:tcPr>
          <w:p>
            <w:pPr>
              <w:spacing w:after="0" w:line="177"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54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10</w:t>
            </w: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360" w:type="dxa"/>
            <w:vAlign w:val="bottom"/>
            <w:gridSpan w:val="17"/>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54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17</w:t>
            </w: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2820" w:type="dxa"/>
            <w:vAlign w:val="bottom"/>
            <w:gridSpan w:val="14"/>
          </w:tcPr>
          <w:p>
            <w:pPr>
              <w:spacing w:after="0" w:line="177" w:lineRule="exact"/>
              <w:rPr>
                <w:sz w:val="20"/>
                <w:szCs w:val="20"/>
                <w:color w:val="auto"/>
              </w:rPr>
            </w:pPr>
            <w:r>
              <w:rPr>
                <w:rFonts w:ascii="Times New Roman" w:cs="Times New Roman" w:eastAsia="Times New Roman" w:hAnsi="Times New Roman"/>
                <w:sz w:val="17"/>
                <w:szCs w:val="17"/>
                <w:color w:val="0000EE"/>
              </w:rPr>
              <w:t>DESCRIPTION OF WARRANTS</w:t>
            </w:r>
          </w:p>
        </w:tc>
        <w:tc>
          <w:tcPr>
            <w:tcW w:w="4540" w:type="dxa"/>
            <w:vAlign w:val="bottom"/>
            <w:gridSpan w:val="3"/>
          </w:tcPr>
          <w:p>
            <w:pPr>
              <w:spacing w:after="0"/>
              <w:rPr>
                <w:sz w:val="15"/>
                <w:szCs w:val="15"/>
                <w:color w:val="auto"/>
              </w:rPr>
            </w:pPr>
          </w:p>
        </w:tc>
        <w:tc>
          <w:tcPr>
            <w:tcW w:w="54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24</w:t>
            </w: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360" w:type="dxa"/>
            <w:vAlign w:val="bottom"/>
            <w:gridSpan w:val="17"/>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DESCRIPTION OF UNITS</w:t>
            </w:r>
          </w:p>
        </w:tc>
        <w:tc>
          <w:tcPr>
            <w:tcW w:w="54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25</w:t>
            </w: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1880" w:type="dxa"/>
            <w:vAlign w:val="bottom"/>
            <w:gridSpan w:val="8"/>
          </w:tcPr>
          <w:p>
            <w:pPr>
              <w:spacing w:after="0" w:line="177" w:lineRule="exact"/>
              <w:rPr>
                <w:sz w:val="20"/>
                <w:szCs w:val="20"/>
                <w:color w:val="auto"/>
              </w:rPr>
            </w:pPr>
            <w:r>
              <w:rPr>
                <w:rFonts w:ascii="Times New Roman" w:cs="Times New Roman" w:eastAsia="Times New Roman" w:hAnsi="Times New Roman"/>
                <w:sz w:val="17"/>
                <w:szCs w:val="17"/>
                <w:color w:val="0000EE"/>
              </w:rPr>
              <w:t>GLOBAL SECURITIES</w:t>
            </w:r>
          </w:p>
        </w:tc>
        <w:tc>
          <w:tcPr>
            <w:tcW w:w="5480" w:type="dxa"/>
            <w:vAlign w:val="bottom"/>
            <w:gridSpan w:val="9"/>
          </w:tcPr>
          <w:p>
            <w:pPr>
              <w:spacing w:after="0"/>
              <w:rPr>
                <w:sz w:val="15"/>
                <w:szCs w:val="15"/>
                <w:color w:val="auto"/>
              </w:rPr>
            </w:pPr>
          </w:p>
        </w:tc>
        <w:tc>
          <w:tcPr>
            <w:tcW w:w="54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26</w:t>
            </w: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920" w:type="dxa"/>
            <w:vAlign w:val="bottom"/>
            <w:gridSpan w:val="9"/>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8"/>
              </w:rPr>
              <w:t>PLAN OF DISTRIBUTION</w:t>
            </w:r>
          </w:p>
        </w:tc>
        <w:tc>
          <w:tcPr>
            <w:tcW w:w="5440" w:type="dxa"/>
            <w:vAlign w:val="bottom"/>
            <w:gridSpan w:val="8"/>
            <w:shd w:val="clear" w:color="auto" w:fill="CCEEFF"/>
          </w:tcPr>
          <w:p>
            <w:pPr>
              <w:spacing w:after="0"/>
              <w:rPr>
                <w:sz w:val="15"/>
                <w:szCs w:val="15"/>
                <w:color w:val="auto"/>
              </w:rPr>
            </w:pPr>
          </w:p>
        </w:tc>
        <w:tc>
          <w:tcPr>
            <w:tcW w:w="54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30</w:t>
            </w: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1920" w:type="dxa"/>
            <w:vAlign w:val="bottom"/>
            <w:gridSpan w:val="9"/>
          </w:tcPr>
          <w:p>
            <w:pPr>
              <w:spacing w:after="0" w:line="177" w:lineRule="exact"/>
              <w:rPr>
                <w:sz w:val="20"/>
                <w:szCs w:val="20"/>
                <w:color w:val="auto"/>
              </w:rPr>
            </w:pPr>
            <w:r>
              <w:rPr>
                <w:rFonts w:ascii="Times New Roman" w:cs="Times New Roman" w:eastAsia="Times New Roman" w:hAnsi="Times New Roman"/>
                <w:sz w:val="17"/>
                <w:szCs w:val="17"/>
                <w:color w:val="0000EE"/>
              </w:rPr>
              <w:t>LEGAL MATTERS</w:t>
            </w:r>
          </w:p>
        </w:tc>
        <w:tc>
          <w:tcPr>
            <w:tcW w:w="5440" w:type="dxa"/>
            <w:vAlign w:val="bottom"/>
            <w:gridSpan w:val="8"/>
          </w:tcPr>
          <w:p>
            <w:pPr>
              <w:spacing w:after="0"/>
              <w:rPr>
                <w:sz w:val="15"/>
                <w:szCs w:val="15"/>
                <w:color w:val="auto"/>
              </w:rPr>
            </w:pPr>
          </w:p>
        </w:tc>
        <w:tc>
          <w:tcPr>
            <w:tcW w:w="54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33</w:t>
            </w:r>
          </w:p>
        </w:tc>
      </w:tr>
      <w:tr>
        <w:trPr>
          <w:trHeight w:val="31"/>
        </w:trPr>
        <w:tc>
          <w:tcPr>
            <w:tcW w:w="7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360" w:type="dxa"/>
            <w:vAlign w:val="bottom"/>
            <w:gridSpan w:val="17"/>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EXPERTS</w:t>
            </w:r>
          </w:p>
        </w:tc>
        <w:tc>
          <w:tcPr>
            <w:tcW w:w="54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34</w:t>
            </w:r>
          </w:p>
        </w:tc>
      </w:tr>
      <w:tr>
        <w:trPr>
          <w:trHeight w:val="69"/>
        </w:trPr>
        <w:tc>
          <w:tcPr>
            <w:tcW w:w="72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840" w:type="dxa"/>
            <w:vAlign w:val="bottom"/>
            <w:tcBorders>
              <w:top w:val="single" w:sz="8" w:color="CCEEFF"/>
            </w:tcBorders>
            <w:shd w:val="clear" w:color="auto" w:fill="CCEEFF"/>
          </w:tcPr>
          <w:p>
            <w:pPr>
              <w:spacing w:after="0"/>
              <w:rPr>
                <w:sz w:val="5"/>
                <w:szCs w:val="5"/>
                <w:color w:val="auto"/>
              </w:rPr>
            </w:pPr>
          </w:p>
        </w:tc>
        <w:tc>
          <w:tcPr>
            <w:tcW w:w="19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 w:name="page5"/>
    <w:bookmarkEnd w:id="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2" w:lineRule="exact"/>
        <w:rPr>
          <w:sz w:val="20"/>
          <w:szCs w:val="20"/>
          <w:color w:val="auto"/>
        </w:rPr>
      </w:pPr>
    </w:p>
    <w:p>
      <w:pPr>
        <w:ind w:left="560" w:right="599" w:firstLine="337"/>
        <w:spacing w:after="0" w:line="253"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U.S. Securities and Exchange Commission, or the SEC, using a “shelf” registration process under the Securities Act of 1933, as amended, or the Securities Act. Under this shelf registration statement, we may offer and sell from time to time, separately or together, any combination of our Common Stock, preferred stock, debt securities, warrants and units in one or more offerings at an aggregate offering price of up to $400,000,000. The preferred stock, debt securities, warrants and units may be convertible into, or exercisable or exchangeable for, our Common Stock or preferred stock or other securities issued by us.</w:t>
      </w:r>
    </w:p>
    <w:p>
      <w:pPr>
        <w:spacing w:after="0" w:line="77" w:lineRule="exact"/>
        <w:rPr>
          <w:sz w:val="20"/>
          <w:szCs w:val="20"/>
          <w:color w:val="auto"/>
        </w:rPr>
      </w:pPr>
    </w:p>
    <w:p>
      <w:pPr>
        <w:ind w:left="560" w:right="599" w:firstLine="337"/>
        <w:spacing w:after="0" w:line="269" w:lineRule="auto"/>
        <w:rPr>
          <w:sz w:val="20"/>
          <w:szCs w:val="20"/>
          <w:color w:val="auto"/>
        </w:rPr>
      </w:pPr>
      <w:r>
        <w:rPr>
          <w:rFonts w:ascii="Times New Roman" w:cs="Times New Roman" w:eastAsia="Times New Roman" w:hAnsi="Times New Roman"/>
          <w:sz w:val="16"/>
          <w:szCs w:val="16"/>
          <w:color w:val="auto"/>
        </w:rPr>
        <w:t>This prospectus provides you with a general description of the securities we may offer. Each time we offer and sell securities, we will provide a prospectus supplement that will contain specific information about the terms of that offering. The prospectus supplement may also add, update or change information contained in this prospectus. You should read this prospectus and the applicable prospectus supplement together with the additional information described under the heading “</w:t>
      </w:r>
      <w:r>
        <w:rPr>
          <w:rFonts w:ascii="Times New Roman" w:cs="Times New Roman" w:eastAsia="Times New Roman" w:hAnsi="Times New Roman"/>
          <w:sz w:val="16"/>
          <w:szCs w:val="16"/>
          <w:i w:val="1"/>
          <w:iCs w:val="1"/>
          <w:color w:val="auto"/>
        </w:rPr>
        <w:t>Where You Can Find More Information</w:t>
      </w:r>
      <w:r>
        <w:rPr>
          <w:rFonts w:ascii="Times New Roman" w:cs="Times New Roman" w:eastAsia="Times New Roman" w:hAnsi="Times New Roman"/>
          <w:sz w:val="16"/>
          <w:szCs w:val="16"/>
          <w:color w:val="auto"/>
        </w:rPr>
        <w:t>” and the documents incorporated by reference in this prospectus and the applicable prospectus supplement. We may also prepare free writing prospectuses that relate to the offering of particular securities. Any free writing prospectus should also be read in connection with this prospectus and any prospectus supplement referred to therein. For purposes of this prospectus, any reference to an applicable prospectus supplement may also refer to a free writing prospectus, unless the context otherwise requires.</w:t>
      </w:r>
    </w:p>
    <w:p>
      <w:pPr>
        <w:spacing w:after="0" w:line="69" w:lineRule="exact"/>
        <w:rPr>
          <w:sz w:val="20"/>
          <w:szCs w:val="20"/>
          <w:color w:val="auto"/>
        </w:rPr>
      </w:pPr>
    </w:p>
    <w:p>
      <w:pPr>
        <w:ind w:left="560" w:right="879" w:firstLine="337"/>
        <w:spacing w:after="0" w:line="276" w:lineRule="auto"/>
        <w:rPr>
          <w:sz w:val="20"/>
          <w:szCs w:val="20"/>
          <w:color w:val="auto"/>
        </w:rPr>
      </w:pPr>
      <w:r>
        <w:rPr>
          <w:rFonts w:ascii="Times New Roman" w:cs="Times New Roman" w:eastAsia="Times New Roman" w:hAnsi="Times New Roman"/>
          <w:sz w:val="17"/>
          <w:szCs w:val="17"/>
          <w:color w:val="auto"/>
        </w:rPr>
        <w:t>When we refer to “Cartesian,” “we,” “our,” “us” and the “Company” in this prospectus, we mean Cartesian Therapeutics, Inc. and its consolidated subsidiaries, unless otherwise specified.</w:t>
      </w:r>
    </w:p>
    <w:p>
      <w:pPr>
        <w:spacing w:after="0" w:line="57" w:lineRule="exact"/>
        <w:rPr>
          <w:sz w:val="20"/>
          <w:szCs w:val="20"/>
          <w:color w:val="auto"/>
        </w:rPr>
      </w:pPr>
    </w:p>
    <w:p>
      <w:pPr>
        <w:ind w:left="560" w:right="659" w:firstLine="337"/>
        <w:spacing w:after="0" w:line="251" w:lineRule="auto"/>
        <w:rPr>
          <w:sz w:val="20"/>
          <w:szCs w:val="20"/>
          <w:color w:val="auto"/>
        </w:rPr>
      </w:pPr>
      <w:r>
        <w:rPr>
          <w:rFonts w:ascii="Times New Roman" w:cs="Times New Roman" w:eastAsia="Times New Roman" w:hAnsi="Times New Roman"/>
          <w:sz w:val="17"/>
          <w:szCs w:val="17"/>
          <w:color w:val="auto"/>
        </w:rPr>
        <w:t>This prospectus describes the terms of this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The information contained in this prospectus or any free writing prospectus, or incorporated by reference herein or therein, is accurate only as of the respective dates thereof, regardless of the time of delivery of this prospectus or of any sale of our shares of Common Stock. Our business, financial condition, results of operations and prospects may have changed since those dates.</w:t>
      </w:r>
    </w:p>
    <w:p>
      <w:pPr>
        <w:spacing w:after="0" w:line="81" w:lineRule="exact"/>
        <w:rPr>
          <w:sz w:val="20"/>
          <w:szCs w:val="20"/>
          <w:color w:val="auto"/>
        </w:rPr>
      </w:pPr>
    </w:p>
    <w:p>
      <w:pPr>
        <w:ind w:left="560" w:right="619" w:firstLine="337"/>
        <w:spacing w:after="0" w:line="273" w:lineRule="auto"/>
        <w:rPr>
          <w:sz w:val="20"/>
          <w:szCs w:val="20"/>
          <w:color w:val="auto"/>
        </w:rPr>
      </w:pPr>
      <w:r>
        <w:rPr>
          <w:rFonts w:ascii="Times New Roman" w:cs="Times New Roman" w:eastAsia="Times New Roman" w:hAnsi="Times New Roman"/>
          <w:sz w:val="16"/>
          <w:szCs w:val="16"/>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61"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our website at www.cartesiantherapeutics.com. The reference to our website is not intended to be an active link and the information on, or that can be accessed through, our website is not, and you must not consider the information to be, a part of this prospectus or any other filings we make with the SEC.</w:t>
      </w:r>
    </w:p>
    <w:p>
      <w:pPr>
        <w:spacing w:after="0" w:line="76" w:lineRule="exact"/>
        <w:rPr>
          <w:sz w:val="20"/>
          <w:szCs w:val="20"/>
          <w:color w:val="auto"/>
        </w:rPr>
      </w:pPr>
    </w:p>
    <w:p>
      <w:pPr>
        <w:ind w:left="560" w:right="779" w:firstLine="337"/>
        <w:spacing w:after="0" w:line="286" w:lineRule="auto"/>
        <w:rPr>
          <w:sz w:val="20"/>
          <w:szCs w:val="20"/>
          <w:color w:val="auto"/>
        </w:rPr>
      </w:pPr>
      <w:r>
        <w:rPr>
          <w:rFonts w:ascii="Times New Roman" w:cs="Times New Roman" w:eastAsia="Times New Roman" w:hAnsi="Times New Roman"/>
          <w:sz w:val="16"/>
          <w:szCs w:val="16"/>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47" w:lineRule="exact"/>
        <w:rPr>
          <w:sz w:val="20"/>
          <w:szCs w:val="20"/>
          <w:color w:val="auto"/>
        </w:rPr>
      </w:pPr>
    </w:p>
    <w:p>
      <w:pPr>
        <w:ind w:left="560" w:right="679" w:firstLine="337"/>
        <w:spacing w:after="0" w:line="259" w:lineRule="auto"/>
        <w:rPr>
          <w:sz w:val="20"/>
          <w:szCs w:val="20"/>
          <w:color w:val="auto"/>
        </w:rPr>
      </w:pPr>
      <w:r>
        <w:rPr>
          <w:rFonts w:ascii="Times New Roman" w:cs="Times New Roman" w:eastAsia="Times New Roman" w:hAnsi="Times New Roman"/>
          <w:sz w:val="17"/>
          <w:szCs w:val="17"/>
          <w:b w:val="1"/>
          <w:bCs w:val="1"/>
          <w:color w:val="auto"/>
        </w:rPr>
        <w:t>We have not authorized anyone to provide you with information in addition to or different from that contained in this prospectus or any applicable prospectus supplement or free writing prospectus. We take no responsibility for, and can provide no assurance as to the reliability of, any information that others may provide. You should not assume that the information in this prospectus, any applicable prospectus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 w:name="page6"/>
    <w:bookmarkEnd w:id="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560" w:right="759"/>
        <w:spacing w:after="0" w:line="257" w:lineRule="auto"/>
        <w:rPr>
          <w:sz w:val="20"/>
          <w:szCs w:val="20"/>
          <w:color w:val="auto"/>
        </w:rPr>
      </w:pPr>
      <w:r>
        <w:rPr>
          <w:rFonts w:ascii="Times New Roman" w:cs="Times New Roman" w:eastAsia="Times New Roman" w:hAnsi="Times New Roman"/>
          <w:sz w:val="17"/>
          <w:szCs w:val="17"/>
          <w:b w:val="1"/>
          <w:bCs w:val="1"/>
          <w:color w:val="auto"/>
        </w:rPr>
        <w:t>supplement or any free writing prospectus that we have prepared is accurate as of any date other than the date of those documents, and that any information in documents that we have incorporated by reference is accurate only as of the date of such document, regardless of the time of delivery of this prospectus or any prospectus supplement or any sale of a security. Our business, financial condition, results of operations and prospects may have changed since those dates.</w:t>
      </w:r>
    </w:p>
    <w:p>
      <w:pPr>
        <w:spacing w:after="0" w:line="72" w:lineRule="exact"/>
        <w:rPr>
          <w:sz w:val="20"/>
          <w:szCs w:val="20"/>
          <w:color w:val="auto"/>
        </w:rPr>
      </w:pPr>
    </w:p>
    <w:p>
      <w:pPr>
        <w:ind w:left="560" w:right="659" w:firstLine="337"/>
        <w:spacing w:after="0" w:line="273" w:lineRule="auto"/>
        <w:rPr>
          <w:sz w:val="20"/>
          <w:szCs w:val="20"/>
          <w:color w:val="auto"/>
        </w:rPr>
      </w:pPr>
      <w:r>
        <w:rPr>
          <w:rFonts w:ascii="Times New Roman" w:cs="Times New Roman" w:eastAsia="Times New Roman" w:hAnsi="Times New Roman"/>
          <w:sz w:val="16"/>
          <w:szCs w:val="16"/>
          <w:color w:val="auto"/>
        </w:rPr>
        <w:t>The distribution of this prospectus and any applicable prospectus supplement and the offering of the securities in certain jurisdictions may be restricted by law. Persons who obtain this prospectus and any applicable prospectus supplement should inform themselves about, and observe, any such restrictions. This prospectus and any applicable prospectus supplement do not constitute, and may not be used in connection with, an offer or solicitation by anyone in any jurisdiction in which such offer or solicitation is not permitted or in which the person making such offer or solicitation is not qualified to do so or to any person to whom it is unlawful to make such offer or solicitation.</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 w:name="page7"/>
    <w:bookmarkEnd w:id="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2" w:lineRule="exact"/>
        <w:rPr>
          <w:sz w:val="20"/>
          <w:szCs w:val="20"/>
          <w:color w:val="auto"/>
        </w:rPr>
      </w:pPr>
    </w:p>
    <w:p>
      <w:pPr>
        <w:ind w:left="560" w:right="579" w:firstLine="337"/>
        <w:spacing w:after="0" w:line="250"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contain “forward-looking statements” within the meaning of Section 27A of the Securities Act, and Section 21E of the Securities Exchange Act of 1934, as amended, or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8</w:t>
      </w:r>
      <w:r>
        <w:rPr>
          <w:rFonts w:ascii="Times New Roman" w:cs="Times New Roman" w:eastAsia="Times New Roman" w:hAnsi="Times New Roman"/>
          <w:sz w:val="17"/>
          <w:szCs w:val="17"/>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3" w:lineRule="exact"/>
        <w:rPr>
          <w:sz w:val="20"/>
          <w:szCs w:val="20"/>
          <w:color w:val="auto"/>
        </w:rPr>
      </w:pPr>
    </w:p>
    <w:p>
      <w:pPr>
        <w:ind w:left="1220" w:right="57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payouts under the contingent value right, or CVR, issued to our holders of record as of the close of business on December 4, 2023;</w:t>
      </w:r>
    </w:p>
    <w:p>
      <w:pPr>
        <w:spacing w:after="0" w:line="56" w:lineRule="exact"/>
        <w:rPr>
          <w:rFonts w:ascii="Times New Roman" w:cs="Times New Roman" w:eastAsia="Times New Roman" w:hAnsi="Times New Roman"/>
          <w:sz w:val="17"/>
          <w:szCs w:val="17"/>
          <w:color w:val="auto"/>
        </w:rPr>
      </w:pPr>
    </w:p>
    <w:p>
      <w:pPr>
        <w:ind w:left="1220" w:right="69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the expected benefits or opportunities and related timing with respect to the Merger (as defined below) or to monetize any of our legacy assets;</w:t>
      </w:r>
    </w:p>
    <w:p>
      <w:pPr>
        <w:spacing w:after="0" w:line="56" w:lineRule="exact"/>
        <w:rPr>
          <w:rFonts w:ascii="Times New Roman" w:cs="Times New Roman" w:eastAsia="Times New Roman" w:hAnsi="Times New Roman"/>
          <w:sz w:val="17"/>
          <w:szCs w:val="17"/>
          <w:color w:val="auto"/>
        </w:rPr>
      </w:pPr>
    </w:p>
    <w:p>
      <w:pPr>
        <w:ind w:left="1220" w:right="89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results of operations and financial position, business strategy, and the length of time that we believe our existing cash resources will fund our operations;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size and our potential growth opportunities;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preclinical and clinical development activities;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our product candidates;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therapeutic benefits and economic value of our product candidates;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preclinical studies and clinical trials;</w:t>
      </w:r>
    </w:p>
    <w:p>
      <w:pPr>
        <w:spacing w:after="0" w:line="108" w:lineRule="exact"/>
        <w:rPr>
          <w:rFonts w:ascii="Times New Roman" w:cs="Times New Roman" w:eastAsia="Times New Roman" w:hAnsi="Times New Roman"/>
          <w:sz w:val="17"/>
          <w:szCs w:val="17"/>
          <w:color w:val="auto"/>
        </w:rPr>
      </w:pPr>
    </w:p>
    <w:p>
      <w:pPr>
        <w:ind w:left="1220" w:right="109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impact of macroeconomic conditions, including inflation, increasing interest rates and volatile market conditions, current or potential bank failures;</w:t>
      </w:r>
    </w:p>
    <w:p>
      <w:pPr>
        <w:spacing w:after="0" w:line="56" w:lineRule="exact"/>
        <w:rPr>
          <w:rFonts w:ascii="Times New Roman" w:cs="Times New Roman" w:eastAsia="Times New Roman" w:hAnsi="Times New Roman"/>
          <w:sz w:val="17"/>
          <w:szCs w:val="17"/>
          <w:color w:val="auto"/>
        </w:rPr>
      </w:pPr>
    </w:p>
    <w:p>
      <w:pPr>
        <w:ind w:left="1220" w:right="63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events, including the ongoing conflicts between Russia and Ukraine and between Hamas and Israel and geopolitical tensions in China on our operations;</w:t>
      </w:r>
    </w:p>
    <w:p>
      <w:pPr>
        <w:spacing w:after="0" w:line="56" w:lineRule="exact"/>
        <w:rPr>
          <w:rFonts w:ascii="Times New Roman" w:cs="Times New Roman" w:eastAsia="Times New Roman" w:hAnsi="Times New Roman"/>
          <w:sz w:val="17"/>
          <w:szCs w:val="17"/>
          <w:color w:val="auto"/>
        </w:rPr>
      </w:pPr>
    </w:p>
    <w:p>
      <w:pPr>
        <w:ind w:left="1220" w:right="81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and timing of potential regulatory designations, approvals and commercialization of product candidates;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related to the Merger instituted against us or our directors;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or minimize the effects of litigation and other contingencies;</w:t>
      </w:r>
    </w:p>
    <w:p>
      <w:pPr>
        <w:spacing w:after="0" w:line="108" w:lineRule="exact"/>
        <w:rPr>
          <w:rFonts w:ascii="Times New Roman" w:cs="Times New Roman" w:eastAsia="Times New Roman" w:hAnsi="Times New Roman"/>
          <w:sz w:val="17"/>
          <w:szCs w:val="17"/>
          <w:color w:val="auto"/>
        </w:rPr>
      </w:pPr>
    </w:p>
    <w:p>
      <w:pPr>
        <w:ind w:left="1220" w:right="101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status as a preclinical and development-stage company and our expectation to incur losses in the future, and the possibility that we never achieve or maintain profitability;</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with respect to our ability to access future capital;</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maximize the value of our pipeline of product candidates;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unproven approach to therapeutic intervention;</w:t>
      </w:r>
    </w:p>
    <w:p>
      <w:pPr>
        <w:spacing w:after="0" w:line="108" w:lineRule="exact"/>
        <w:rPr>
          <w:rFonts w:ascii="Times New Roman" w:cs="Times New Roman" w:eastAsia="Times New Roman" w:hAnsi="Times New Roman"/>
          <w:sz w:val="17"/>
          <w:szCs w:val="17"/>
          <w:color w:val="auto"/>
        </w:rPr>
      </w:pPr>
    </w:p>
    <w:p>
      <w:pPr>
        <w:ind w:left="1220" w:right="919" w:hanging="330"/>
        <w:spacing w:after="0" w:line="276" w:lineRule="auto"/>
        <w:tabs>
          <w:tab w:leader="none" w:pos="1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enroll patients in clinical trials, timely and successfully complete those trials and receive necessary regulatory approvals;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7" w:name="page8"/>
    <w:bookmarkEnd w:id="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1220" w:hanging="330"/>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grow our manufacturing capabilities and resources;</w:t>
      </w:r>
    </w:p>
    <w:p>
      <w:pPr>
        <w:spacing w:after="0" w:line="108" w:lineRule="exact"/>
        <w:rPr>
          <w:rFonts w:ascii="Times New Roman" w:cs="Times New Roman" w:eastAsia="Times New Roman" w:hAnsi="Times New Roman"/>
          <w:sz w:val="17"/>
          <w:szCs w:val="17"/>
          <w:color w:val="auto"/>
        </w:rPr>
      </w:pPr>
    </w:p>
    <w:p>
      <w:pPr>
        <w:ind w:left="1220" w:right="659" w:hanging="330"/>
        <w:spacing w:after="0" w:line="27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manufacture our product candidates, which in some cases are manufactured on a patient-by-patient basis;</w:t>
      </w:r>
    </w:p>
    <w:p>
      <w:pPr>
        <w:spacing w:after="0" w:line="56" w:lineRule="exact"/>
        <w:rPr>
          <w:rFonts w:ascii="Times New Roman" w:cs="Times New Roman" w:eastAsia="Times New Roman" w:hAnsi="Times New Roman"/>
          <w:sz w:val="17"/>
          <w:szCs w:val="17"/>
          <w:color w:val="auto"/>
        </w:rPr>
      </w:pPr>
    </w:p>
    <w:p>
      <w:pPr>
        <w:ind w:left="1220" w:right="919" w:hanging="330"/>
        <w:spacing w:after="0" w:line="27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manufacturing facilities and to receive or manufacture sufficient quantities of our product candidates;</w:t>
      </w:r>
    </w:p>
    <w:p>
      <w:pPr>
        <w:spacing w:after="0" w:line="56" w:lineRule="exact"/>
        <w:rPr>
          <w:rFonts w:ascii="Times New Roman" w:cs="Times New Roman" w:eastAsia="Times New Roman" w:hAnsi="Times New Roman"/>
          <w:sz w:val="17"/>
          <w:szCs w:val="17"/>
          <w:color w:val="auto"/>
        </w:rPr>
      </w:pPr>
    </w:p>
    <w:p>
      <w:pPr>
        <w:ind w:left="1220" w:right="899" w:hanging="330"/>
        <w:spacing w:after="0" w:line="27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existing or future collaborations or licenses and to seek new collaborations, licenses or partnerships;</w:t>
      </w:r>
    </w:p>
    <w:p>
      <w:pPr>
        <w:spacing w:after="0" w:line="56" w:lineRule="exact"/>
        <w:rPr>
          <w:rFonts w:ascii="Times New Roman" w:cs="Times New Roman" w:eastAsia="Times New Roman" w:hAnsi="Times New Roman"/>
          <w:sz w:val="17"/>
          <w:szCs w:val="17"/>
          <w:color w:val="auto"/>
        </w:rPr>
      </w:pPr>
    </w:p>
    <w:p>
      <w:pPr>
        <w:ind w:left="1220" w:right="859" w:hanging="330"/>
        <w:spacing w:after="0" w:line="27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resurgence of the COVID-19 pandemic on our operations, the continuity of our business, including our preclinical studies and clinical trials, and general economic conditions;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rights;</w:t>
      </w:r>
    </w:p>
    <w:p>
      <w:pPr>
        <w:spacing w:after="0" w:line="108" w:lineRule="exact"/>
        <w:rPr>
          <w:rFonts w:ascii="Times New Roman" w:cs="Times New Roman" w:eastAsia="Times New Roman" w:hAnsi="Times New Roman"/>
          <w:sz w:val="17"/>
          <w:szCs w:val="17"/>
          <w:color w:val="auto"/>
        </w:rPr>
      </w:pPr>
    </w:p>
    <w:p>
      <w:pPr>
        <w:ind w:left="1220" w:right="579" w:hanging="330"/>
        <w:spacing w:after="0" w:line="276" w:lineRule="auto"/>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state, and foreign regulatory requirements, including U.S. Food and Drug Administration, or FDA, regulation of our product candidates;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retain key executives and retain qualified personnel; and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relating to our competitors and our industry, including the impact of government regulation.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foregoing list may not contain all of the forward-looking statements made in this prospectus.</w:t>
      </w:r>
    </w:p>
    <w:p>
      <w:pPr>
        <w:spacing w:after="0" w:line="108"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and elsewhere in this prospectus. Moreover, we operate in a competitive industry, and new risks emerge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78" w:lineRule="exact"/>
        <w:rPr>
          <w:sz w:val="20"/>
          <w:szCs w:val="20"/>
          <w:color w:val="auto"/>
        </w:rPr>
      </w:pPr>
    </w:p>
    <w:p>
      <w:pPr>
        <w:ind w:left="560" w:right="599" w:firstLine="337"/>
        <w:spacing w:after="0" w:line="253" w:lineRule="auto"/>
        <w:rPr>
          <w:sz w:val="20"/>
          <w:szCs w:val="20"/>
          <w:color w:val="auto"/>
        </w:rPr>
      </w:pPr>
      <w:r>
        <w:rPr>
          <w:rFonts w:ascii="Times New Roman" w:cs="Times New Roman" w:eastAsia="Times New Roman" w:hAnsi="Times New Roman"/>
          <w:sz w:val="17"/>
          <w:szCs w:val="17"/>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77" w:lineRule="exact"/>
        <w:rPr>
          <w:sz w:val="20"/>
          <w:szCs w:val="20"/>
          <w:color w:val="auto"/>
        </w:rPr>
      </w:pPr>
    </w:p>
    <w:p>
      <w:pPr>
        <w:ind w:left="560" w:right="679" w:firstLine="337"/>
        <w:spacing w:after="0" w:line="258" w:lineRule="auto"/>
        <w:rPr>
          <w:sz w:val="20"/>
          <w:szCs w:val="20"/>
          <w:color w:val="auto"/>
        </w:rPr>
      </w:pPr>
      <w:r>
        <w:rPr>
          <w:rFonts w:ascii="Times New Roman" w:cs="Times New Roman" w:eastAsia="Times New Roman" w:hAnsi="Times New Roman"/>
          <w:sz w:val="17"/>
          <w:szCs w:val="17"/>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8" w:name="page9"/>
    <w:bookmarkEnd w:id="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2" w:lineRule="exact"/>
        <w:rPr>
          <w:sz w:val="20"/>
          <w:szCs w:val="20"/>
          <w:color w:val="auto"/>
        </w:rPr>
      </w:pPr>
    </w:p>
    <w:p>
      <w:pPr>
        <w:ind w:left="560" w:right="579" w:firstLine="337"/>
        <w:spacing w:after="0" w:line="252"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We are subject to the information reporting requirements of the Exchange Act, and we file reports,</w:t>
      </w:r>
    </w:p>
    <w:p>
      <w:pPr>
        <w:spacing w:after="0" w:line="23" w:lineRule="exact"/>
        <w:rPr>
          <w:sz w:val="20"/>
          <w:szCs w:val="20"/>
          <w:color w:val="auto"/>
        </w:rPr>
      </w:pPr>
    </w:p>
    <w:p>
      <w:pPr>
        <w:ind w:left="560" w:right="659"/>
        <w:spacing w:after="0" w:line="250" w:lineRule="auto"/>
        <w:rPr>
          <w:sz w:val="20"/>
          <w:szCs w:val="20"/>
          <w:color w:val="auto"/>
        </w:rPr>
      </w:pPr>
      <w:r>
        <w:rPr>
          <w:rFonts w:ascii="Times New Roman" w:cs="Times New Roman" w:eastAsia="Times New Roman" w:hAnsi="Times New Roman"/>
          <w:sz w:val="17"/>
          <w:szCs w:val="17"/>
          <w:color w:val="auto"/>
        </w:rPr>
        <w:t>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9" w:name="page10"/>
    <w:bookmarkEnd w:id="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112" w:lineRule="exact"/>
        <w:rPr>
          <w:sz w:val="20"/>
          <w:szCs w:val="20"/>
          <w:color w:val="auto"/>
        </w:rPr>
      </w:pPr>
    </w:p>
    <w:p>
      <w:pPr>
        <w:ind w:left="560" w:right="599" w:firstLine="337"/>
        <w:spacing w:after="0" w:line="251"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3" w:lineRule="exact"/>
        <w:rPr>
          <w:sz w:val="20"/>
          <w:szCs w:val="20"/>
          <w:color w:val="auto"/>
        </w:rPr>
      </w:pPr>
    </w:p>
    <w:p>
      <w:pPr>
        <w:ind w:left="1220" w:right="659" w:hanging="330"/>
        <w:spacing w:after="0" w:line="276" w:lineRule="auto"/>
        <w:tabs>
          <w:tab w:leader="none" w:pos="1220" w:val="left"/>
        </w:tabs>
        <w:numPr>
          <w:ilvl w:val="0"/>
          <w:numId w:val="4"/>
        </w:numPr>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auto"/>
          </w:rPr>
          <w:t xml:space="preserve">Our Annual Report on Form 10-K for the year ended December 31, 2023, filed with the SEC on </w:t>
        </w:r>
        <w:r>
          <w:rPr>
            <w:rFonts w:ascii="Times New Roman" w:cs="Times New Roman" w:eastAsia="Times New Roman" w:hAnsi="Times New Roman"/>
            <w:sz w:val="17"/>
            <w:szCs w:val="17"/>
            <w:u w:val="single" w:color="auto"/>
            <w:color w:val="0000EE"/>
          </w:rPr>
          <w:t>March 7,</w:t>
        </w:r>
      </w:hyperlink>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00"/>
          </w:rPr>
          <w:t>.</w:t>
        </w:r>
      </w:hyperlink>
    </w:p>
    <w:p>
      <w:pPr>
        <w:spacing w:after="0" w:line="56" w:lineRule="exact"/>
        <w:rPr>
          <w:rFonts w:ascii="Times New Roman" w:cs="Times New Roman" w:eastAsia="Times New Roman" w:hAnsi="Times New Roman"/>
          <w:sz w:val="17"/>
          <w:szCs w:val="17"/>
          <w:color w:val="0000EE"/>
        </w:rPr>
      </w:pPr>
    </w:p>
    <w:p>
      <w:pPr>
        <w:ind w:left="1220" w:right="719" w:hanging="330"/>
        <w:spacing w:after="0" w:line="262"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29">
        <w:r>
          <w:rPr>
            <w:rFonts w:ascii="Times New Roman" w:cs="Times New Roman" w:eastAsia="Times New Roman" w:hAnsi="Times New Roman"/>
            <w:sz w:val="17"/>
            <w:szCs w:val="17"/>
            <w:u w:val="single" w:color="auto"/>
            <w:color w:val="0000EE"/>
          </w:rPr>
          <w:t>April 26, 2024</w:t>
        </w:r>
      </w:hyperlink>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ind w:left="1220" w:right="1199" w:hanging="330"/>
        <w:spacing w:after="0" w:line="262" w:lineRule="auto"/>
        <w:tabs>
          <w:tab w:leader="none" w:pos="1220" w:val="left"/>
        </w:tabs>
        <w:numPr>
          <w:ilvl w:val="0"/>
          <w:numId w:val="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quarters ended </w:t>
      </w:r>
      <w:hyperlink r:id="rId30">
        <w:r>
          <w:rPr>
            <w:rFonts w:ascii="Times New Roman" w:cs="Times New Roman" w:eastAsia="Times New Roman" w:hAnsi="Times New Roman"/>
            <w:sz w:val="17"/>
            <w:szCs w:val="17"/>
            <w:u w:val="single" w:color="auto"/>
            <w:color w:val="0000EE"/>
          </w:rPr>
          <w:t>March 31, 2024</w:t>
        </w:r>
      </w:hyperlink>
      <w:r>
        <w:rPr>
          <w:rFonts w:ascii="Times New Roman" w:cs="Times New Roman" w:eastAsia="Times New Roman" w:hAnsi="Times New Roman"/>
          <w:sz w:val="17"/>
          <w:szCs w:val="17"/>
          <w:color w:val="auto"/>
        </w:rPr>
        <w:t xml:space="preserve">, </w:t>
      </w:r>
      <w:hyperlink r:id="rId31">
        <w:r>
          <w:rPr>
            <w:rFonts w:ascii="Times New Roman" w:cs="Times New Roman" w:eastAsia="Times New Roman" w:hAnsi="Times New Roman"/>
            <w:sz w:val="17"/>
            <w:szCs w:val="17"/>
            <w:u w:val="single" w:color="auto"/>
            <w:color w:val="0000EE"/>
          </w:rPr>
          <w:t>June 30, 2024</w:t>
        </w:r>
      </w:hyperlink>
      <w:r>
        <w:rPr>
          <w:rFonts w:ascii="Times New Roman" w:cs="Times New Roman" w:eastAsia="Times New Roman" w:hAnsi="Times New Roman"/>
          <w:sz w:val="17"/>
          <w:szCs w:val="17"/>
          <w:color w:val="auto"/>
        </w:rPr>
        <w:t xml:space="preserve">, and </w:t>
      </w:r>
      <w:hyperlink r:id="rId32">
        <w:r>
          <w:rPr>
            <w:rFonts w:ascii="Times New Roman" w:cs="Times New Roman" w:eastAsia="Times New Roman" w:hAnsi="Times New Roman"/>
            <w:sz w:val="17"/>
            <w:szCs w:val="17"/>
            <w:u w:val="single" w:color="auto"/>
            <w:color w:val="0000EE"/>
          </w:rPr>
          <w:t>September 30,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filed with the SEC on May 8, 2024, August 8, 2024, and November 7,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respectively.</w:t>
      </w:r>
    </w:p>
    <w:p>
      <w:pPr>
        <w:spacing w:after="0" w:line="68" w:lineRule="exact"/>
        <w:rPr>
          <w:rFonts w:ascii="Times New Roman" w:cs="Times New Roman" w:eastAsia="Times New Roman" w:hAnsi="Times New Roman"/>
          <w:sz w:val="17"/>
          <w:szCs w:val="17"/>
          <w:color w:val="0000EE"/>
        </w:rPr>
      </w:pPr>
    </w:p>
    <w:p>
      <w:pPr>
        <w:ind w:left="1220" w:right="699" w:hanging="330"/>
        <w:spacing w:after="0" w:line="253" w:lineRule="auto"/>
        <w:tabs>
          <w:tab w:leader="none" w:pos="1220" w:val="left"/>
        </w:tabs>
        <w:numPr>
          <w:ilvl w:val="0"/>
          <w:numId w:val="4"/>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(or amendments thereto) filed with the SEC on </w:t>
      </w:r>
      <w:hyperlink r:id="rId33">
        <w:r>
          <w:rPr>
            <w:rFonts w:ascii="Times New Roman" w:cs="Times New Roman" w:eastAsia="Times New Roman" w:hAnsi="Times New Roman"/>
            <w:sz w:val="17"/>
            <w:szCs w:val="17"/>
            <w:u w:val="single" w:color="auto"/>
            <w:color w:val="0000EE"/>
          </w:rPr>
          <w:t>January 19, 2024</w:t>
        </w:r>
      </w:hyperlink>
      <w:r>
        <w:rPr>
          <w:rFonts w:ascii="Times New Roman" w:cs="Times New Roman" w:eastAsia="Times New Roman" w:hAnsi="Times New Roman"/>
          <w:sz w:val="17"/>
          <w:szCs w:val="17"/>
          <w:color w:val="auto"/>
        </w:rPr>
        <w:t xml:space="preserve">, </w:t>
      </w:r>
      <w:hyperlink r:id="rId34">
        <w:r>
          <w:rPr>
            <w:rFonts w:ascii="Times New Roman" w:cs="Times New Roman" w:eastAsia="Times New Roman" w:hAnsi="Times New Roman"/>
            <w:sz w:val="17"/>
            <w:szCs w:val="17"/>
            <w:u w:val="single" w:color="auto"/>
            <w:color w:val="0000EE"/>
          </w:rPr>
          <w:t>January 23,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5">
        <w:r>
          <w:rPr>
            <w:rFonts w:ascii="Times New Roman" w:cs="Times New Roman" w:eastAsia="Times New Roman" w:hAnsi="Times New Roman"/>
            <w:sz w:val="17"/>
            <w:szCs w:val="17"/>
            <w:u w:val="single" w:color="auto"/>
            <w:color w:val="0000EE"/>
          </w:rPr>
          <w:t xml:space="preserve">March 5, 2024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Item 7.01 and Exhibit 99.1 thereto),</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March 14,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7">
        <w:r>
          <w:rPr>
            <w:rFonts w:ascii="Times New Roman" w:cs="Times New Roman" w:eastAsia="Times New Roman" w:hAnsi="Times New Roman"/>
            <w:sz w:val="17"/>
            <w:szCs w:val="17"/>
            <w:u w:val="single" w:color="auto"/>
            <w:color w:val="0000EE"/>
          </w:rPr>
          <w:t>March 28, 2024</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Item 7.01 and Exhibit 99.1 thereto),</w:t>
      </w:r>
      <w:r>
        <w:rPr>
          <w:rFonts w:ascii="Times New Roman" w:cs="Times New Roman" w:eastAsia="Times New Roman" w:hAnsi="Times New Roman"/>
          <w:sz w:val="17"/>
          <w:szCs w:val="17"/>
          <w:color w:val="0000EE"/>
        </w:rPr>
        <w:t xml:space="preserve"> </w:t>
      </w:r>
      <w:hyperlink r:id="rId38">
        <w:r>
          <w:rPr>
            <w:rFonts w:ascii="Times New Roman" w:cs="Times New Roman" w:eastAsia="Times New Roman" w:hAnsi="Times New Roman"/>
            <w:sz w:val="17"/>
            <w:szCs w:val="17"/>
            <w:u w:val="single" w:color="auto"/>
            <w:color w:val="0000EE"/>
          </w:rPr>
          <w:t>April 1,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9">
        <w:r>
          <w:rPr>
            <w:rFonts w:ascii="Times New Roman" w:cs="Times New Roman" w:eastAsia="Times New Roman" w:hAnsi="Times New Roman"/>
            <w:sz w:val="17"/>
            <w:szCs w:val="17"/>
            <w:u w:val="single" w:color="auto"/>
            <w:color w:val="0000EE"/>
          </w:rPr>
          <w:t xml:space="preserve">April 9, 2024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Item 7.01 and Exhibit 99.1 thereto), </w:t>
      </w:r>
      <w:hyperlink r:id="rId40">
        <w:r>
          <w:rPr>
            <w:rFonts w:ascii="Times New Roman" w:cs="Times New Roman" w:eastAsia="Times New Roman" w:hAnsi="Times New Roman"/>
            <w:sz w:val="17"/>
            <w:szCs w:val="17"/>
            <w:u w:val="single" w:color="auto"/>
            <w:color w:val="0000EE"/>
          </w:rPr>
          <w:t>April 22, 2024</w:t>
        </w:r>
      </w:hyperlink>
      <w:r>
        <w:rPr>
          <w:rFonts w:ascii="Times New Roman" w:cs="Times New Roman" w:eastAsia="Times New Roman" w:hAnsi="Times New Roman"/>
          <w:sz w:val="17"/>
          <w:szCs w:val="17"/>
          <w:color w:val="000000"/>
        </w:rPr>
        <w:t xml:space="preserve">, </w:t>
      </w:r>
      <w:hyperlink r:id="rId41">
        <w:r>
          <w:rPr>
            <w:rFonts w:ascii="Times New Roman" w:cs="Times New Roman" w:eastAsia="Times New Roman" w:hAnsi="Times New Roman"/>
            <w:sz w:val="17"/>
            <w:szCs w:val="17"/>
            <w:u w:val="single" w:color="auto"/>
            <w:color w:val="0000EE"/>
          </w:rPr>
          <w:t>May 22,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(except for Item 7.01 and Exhibit 99.1 thereto), </w:t>
      </w:r>
      <w:hyperlink r:id="rId42">
        <w:r>
          <w:rPr>
            <w:rFonts w:ascii="Times New Roman" w:cs="Times New Roman" w:eastAsia="Times New Roman" w:hAnsi="Times New Roman"/>
            <w:sz w:val="17"/>
            <w:szCs w:val="17"/>
            <w:u w:val="single" w:color="auto"/>
            <w:color w:val="0000EE"/>
          </w:rPr>
          <w:t>June 17, 2024</w:t>
        </w:r>
      </w:hyperlink>
      <w:r>
        <w:rPr>
          <w:rFonts w:ascii="Times New Roman" w:cs="Times New Roman" w:eastAsia="Times New Roman" w:hAnsi="Times New Roman"/>
          <w:sz w:val="17"/>
          <w:szCs w:val="17"/>
          <w:color w:val="000000"/>
        </w:rPr>
        <w:t xml:space="preserve">, </w:t>
      </w:r>
      <w:hyperlink r:id="rId43">
        <w:r>
          <w:rPr>
            <w:rFonts w:ascii="Times New Roman" w:cs="Times New Roman" w:eastAsia="Times New Roman" w:hAnsi="Times New Roman"/>
            <w:sz w:val="17"/>
            <w:szCs w:val="17"/>
            <w:u w:val="single" w:color="auto"/>
            <w:color w:val="0000EE"/>
          </w:rPr>
          <w:t>July 2,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(except for Item 7.01 and Exhibits 99.1 and 99.2 thereto), </w:t>
      </w:r>
      <w:hyperlink r:id="rId44">
        <w:r>
          <w:rPr>
            <w:rFonts w:ascii="Times New Roman" w:cs="Times New Roman" w:eastAsia="Times New Roman" w:hAnsi="Times New Roman"/>
            <w:sz w:val="17"/>
            <w:szCs w:val="17"/>
            <w:u w:val="single" w:color="auto"/>
            <w:color w:val="0000EE"/>
          </w:rPr>
          <w:t>September 23,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45">
        <w:r>
          <w:rPr>
            <w:rFonts w:ascii="Times New Roman" w:cs="Times New Roman" w:eastAsia="Times New Roman" w:hAnsi="Times New Roman"/>
            <w:sz w:val="17"/>
            <w:szCs w:val="17"/>
            <w:u w:val="single" w:color="auto"/>
            <w:color w:val="0000EE"/>
          </w:rPr>
          <w:t>September 26,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46">
        <w:r>
          <w:rPr>
            <w:rFonts w:ascii="Times New Roman" w:cs="Times New Roman" w:eastAsia="Times New Roman" w:hAnsi="Times New Roman"/>
            <w:sz w:val="17"/>
            <w:szCs w:val="17"/>
            <w:u w:val="single" w:color="auto"/>
            <w:color w:val="0000EE"/>
          </w:rPr>
          <w:t xml:space="preserve">December 3, 2024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Item 7.01 and Exhibits 99.1</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99.2 thereto).</w:t>
      </w:r>
    </w:p>
    <w:p>
      <w:pPr>
        <w:spacing w:after="0" w:line="77" w:lineRule="exact"/>
        <w:rPr>
          <w:rFonts w:ascii="Times New Roman" w:cs="Times New Roman" w:eastAsia="Times New Roman" w:hAnsi="Times New Roman"/>
          <w:sz w:val="17"/>
          <w:szCs w:val="17"/>
          <w:color w:val="0000EE"/>
        </w:rPr>
      </w:pPr>
    </w:p>
    <w:p>
      <w:pPr>
        <w:ind w:left="1220" w:right="699" w:hanging="330"/>
        <w:spacing w:after="0" w:line="255" w:lineRule="auto"/>
        <w:tabs>
          <w:tab w:leader="none" w:pos="1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our Registration Statement on Form 8-A, filed with the SEC on June 8, 2016, as amended by the description of our Common Stock contained in </w:t>
      </w:r>
      <w:hyperlink r:id="rId47">
        <w:r>
          <w:rPr>
            <w:rFonts w:ascii="Times New Roman" w:cs="Times New Roman" w:eastAsia="Times New Roman" w:hAnsi="Times New Roman"/>
            <w:sz w:val="17"/>
            <w:szCs w:val="17"/>
            <w:u w:val="single" w:color="auto"/>
            <w:color w:val="0000EE"/>
          </w:rPr>
          <w:t>Exhibit 4.14</w:t>
        </w:r>
      </w:hyperlink>
      <w:r>
        <w:rPr>
          <w:rFonts w:ascii="Times New Roman" w:cs="Times New Roman" w:eastAsia="Times New Roman" w:hAnsi="Times New Roman"/>
          <w:sz w:val="17"/>
          <w:szCs w:val="17"/>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6" w:lineRule="exact"/>
        <w:rPr>
          <w:rFonts w:ascii="Times New Roman" w:cs="Times New Roman" w:eastAsia="Times New Roman" w:hAnsi="Times New Roman"/>
          <w:sz w:val="17"/>
          <w:szCs w:val="17"/>
          <w:color w:val="0000EE"/>
        </w:rPr>
      </w:pPr>
    </w:p>
    <w:p>
      <w:pPr>
        <w:ind w:left="560" w:right="619" w:firstLine="337"/>
        <w:spacing w:after="0" w:line="253" w:lineRule="auto"/>
        <w:rPr>
          <w:sz w:val="20"/>
          <w:szCs w:val="20"/>
          <w:color w:val="auto"/>
        </w:rPr>
      </w:pPr>
      <w:r>
        <w:rPr>
          <w:rFonts w:ascii="Times New Roman" w:cs="Times New Roman" w:eastAsia="Times New Roman" w:hAnsi="Times New Roman"/>
          <w:sz w:val="17"/>
          <w:szCs w:val="17"/>
          <w:color w:val="auto"/>
        </w:rPr>
        <w:t>All reports and other documents we subsequently file with the SEC under Sections 13(a), 13(c), 14 or 15(d) of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77" w:lineRule="exact"/>
        <w:rPr>
          <w:rFonts w:ascii="Times New Roman" w:cs="Times New Roman" w:eastAsia="Times New Roman" w:hAnsi="Times New Roman"/>
          <w:sz w:val="17"/>
          <w:szCs w:val="17"/>
          <w:color w:val="0000EE"/>
        </w:rPr>
      </w:pPr>
    </w:p>
    <w:p>
      <w:pPr>
        <w:ind w:left="560" w:right="599" w:firstLine="337"/>
        <w:spacing w:after="0" w:line="276"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7"/>
          <w:szCs w:val="17"/>
          <w:color w:val="0000EE"/>
        </w:rPr>
      </w:pPr>
    </w:p>
    <w:p>
      <w:pPr>
        <w:ind w:left="3560"/>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3" w:lineRule="exact"/>
        <w:rPr>
          <w:rFonts w:ascii="Times New Roman" w:cs="Times New Roman" w:eastAsia="Times New Roman" w:hAnsi="Times New Roman"/>
          <w:sz w:val="17"/>
          <w:szCs w:val="17"/>
          <w:color w:val="0000EE"/>
        </w:rPr>
      </w:pPr>
    </w:p>
    <w:p>
      <w:pPr>
        <w:ind w:left="3660"/>
        <w:spacing w:after="0"/>
        <w:rPr>
          <w:sz w:val="20"/>
          <w:szCs w:val="20"/>
          <w:color w:val="auto"/>
        </w:rPr>
      </w:pPr>
      <w:r>
        <w:rPr>
          <w:rFonts w:ascii="Times New Roman" w:cs="Times New Roman" w:eastAsia="Times New Roman" w:hAnsi="Times New Roman"/>
          <w:sz w:val="17"/>
          <w:szCs w:val="17"/>
          <w:color w:val="auto"/>
        </w:rPr>
        <w:t>7495 New Horizon Way</w:t>
      </w:r>
    </w:p>
    <w:p>
      <w:pPr>
        <w:spacing w:after="0" w:line="7" w:lineRule="exact"/>
        <w:rPr>
          <w:rFonts w:ascii="Times New Roman" w:cs="Times New Roman" w:eastAsia="Times New Roman" w:hAnsi="Times New Roman"/>
          <w:sz w:val="17"/>
          <w:szCs w:val="17"/>
          <w:color w:val="0000EE"/>
        </w:rPr>
      </w:pPr>
    </w:p>
    <w:p>
      <w:pPr>
        <w:ind w:left="3740"/>
        <w:spacing w:after="0"/>
        <w:rPr>
          <w:sz w:val="20"/>
          <w:szCs w:val="20"/>
          <w:color w:val="auto"/>
        </w:rPr>
      </w:pPr>
      <w:r>
        <w:rPr>
          <w:rFonts w:ascii="Times New Roman" w:cs="Times New Roman" w:eastAsia="Times New Roman" w:hAnsi="Times New Roman"/>
          <w:sz w:val="17"/>
          <w:szCs w:val="17"/>
          <w:color w:val="auto"/>
        </w:rPr>
        <w:t>Frederick, MD 21703</w:t>
      </w:r>
    </w:p>
    <w:p>
      <w:pPr>
        <w:spacing w:after="0" w:line="7" w:lineRule="exact"/>
        <w:rPr>
          <w:rFonts w:ascii="Times New Roman" w:cs="Times New Roman" w:eastAsia="Times New Roman" w:hAnsi="Times New Roman"/>
          <w:sz w:val="17"/>
          <w:szCs w:val="17"/>
          <w:color w:val="0000EE"/>
        </w:rPr>
      </w:pPr>
    </w:p>
    <w:p>
      <w:pPr>
        <w:ind w:left="3980"/>
        <w:spacing w:after="0"/>
        <w:rPr>
          <w:sz w:val="20"/>
          <w:szCs w:val="20"/>
          <w:color w:val="auto"/>
        </w:rPr>
      </w:pPr>
      <w:r>
        <w:rPr>
          <w:rFonts w:ascii="Times New Roman" w:cs="Times New Roman" w:eastAsia="Times New Roman" w:hAnsi="Times New Roman"/>
          <w:sz w:val="17"/>
          <w:szCs w:val="17"/>
          <w:color w:val="auto"/>
        </w:rPr>
        <w:t>(301) 348-8698</w:t>
      </w:r>
    </w:p>
    <w:p>
      <w:pPr>
        <w:spacing w:after="0" w:line="93" w:lineRule="exact"/>
        <w:rPr>
          <w:rFonts w:ascii="Times New Roman" w:cs="Times New Roman" w:eastAsia="Times New Roman" w:hAnsi="Times New Roman"/>
          <w:sz w:val="17"/>
          <w:szCs w:val="17"/>
          <w:color w:val="0000EE"/>
        </w:rPr>
      </w:pPr>
    </w:p>
    <w:p>
      <w:pPr>
        <w:ind w:left="560" w:right="799" w:firstLine="337"/>
        <w:spacing w:after="0" w:line="276" w:lineRule="auto"/>
        <w:rPr>
          <w:sz w:val="20"/>
          <w:szCs w:val="20"/>
          <w:color w:val="auto"/>
        </w:rPr>
      </w:pPr>
      <w:r>
        <w:rPr>
          <w:rFonts w:ascii="Times New Roman" w:cs="Times New Roman" w:eastAsia="Times New Roman" w:hAnsi="Times New Roman"/>
          <w:sz w:val="17"/>
          <w:szCs w:val="17"/>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0" w:name="page11"/>
    <w:bookmarkEnd w:id="1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12" w:lineRule="exact"/>
        <w:rPr>
          <w:sz w:val="20"/>
          <w:szCs w:val="20"/>
          <w:color w:val="auto"/>
        </w:rPr>
      </w:pPr>
    </w:p>
    <w:p>
      <w:pPr>
        <w:ind w:left="560" w:right="599" w:firstLine="337"/>
        <w:spacing w:after="0" w:line="268"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67" w:lineRule="exact"/>
        <w:rPr>
          <w:sz w:val="20"/>
          <w:szCs w:val="20"/>
          <w:color w:val="auto"/>
        </w:rPr>
      </w:pPr>
    </w:p>
    <w:p>
      <w:pPr>
        <w:ind w:left="560" w:right="599" w:firstLine="337"/>
        <w:spacing w:after="0" w:line="258" w:lineRule="auto"/>
        <w:rPr>
          <w:sz w:val="20"/>
          <w:szCs w:val="20"/>
          <w:color w:val="auto"/>
        </w:rPr>
      </w:pPr>
      <w:r>
        <w:rPr>
          <w:rFonts w:ascii="Times New Roman" w:cs="Times New Roman" w:eastAsia="Times New Roman" w:hAnsi="Times New Roman"/>
          <w:sz w:val="17"/>
          <w:szCs w:val="17"/>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1" w:lineRule="exact"/>
        <w:rPr>
          <w:sz w:val="20"/>
          <w:szCs w:val="20"/>
          <w:color w:val="auto"/>
        </w:rPr>
      </w:pPr>
    </w:p>
    <w:p>
      <w:pPr>
        <w:ind w:left="560" w:right="579" w:firstLine="337"/>
        <w:spacing w:after="0" w:line="250" w:lineRule="auto"/>
        <w:rPr>
          <w:sz w:val="20"/>
          <w:szCs w:val="20"/>
          <w:color w:val="auto"/>
        </w:rPr>
      </w:pPr>
      <w:r>
        <w:rPr>
          <w:rFonts w:ascii="Times New Roman" w:cs="Times New Roman" w:eastAsia="Times New Roman" w:hAnsi="Times New Roman"/>
          <w:sz w:val="17"/>
          <w:szCs w:val="17"/>
          <w:color w:val="auto"/>
        </w:rPr>
        <w:t>We filed our certificate of incorporation with the Secretary of State of Delaware on December 10, 2007. 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87" w:lineRule="exact"/>
        <w:rPr>
          <w:sz w:val="20"/>
          <w:szCs w:val="20"/>
          <w:color w:val="auto"/>
        </w:rPr>
      </w:pPr>
    </w:p>
    <w:p>
      <w:pPr>
        <w:ind w:left="560" w:right="579" w:firstLine="337"/>
        <w:spacing w:after="0" w:line="276" w:lineRule="auto"/>
        <w:rPr>
          <w:sz w:val="20"/>
          <w:szCs w:val="20"/>
          <w:color w:val="auto"/>
        </w:rPr>
      </w:pPr>
      <w:r>
        <w:rPr>
          <w:rFonts w:ascii="Times New Roman" w:cs="Times New Roman" w:eastAsia="Times New Roman" w:hAnsi="Times New Roman"/>
          <w:sz w:val="17"/>
          <w:szCs w:val="17"/>
          <w:color w:val="auto"/>
        </w:rPr>
        <w:t>Our principal executive offices are located at 7495 New Horizon Way, Frederick, MD 21703, and our telephone number is (301) 348-8698.</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1" w:name="page12"/>
    <w:bookmarkEnd w:id="1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12" w:lineRule="exact"/>
        <w:rPr>
          <w:sz w:val="20"/>
          <w:szCs w:val="20"/>
          <w:color w:val="auto"/>
        </w:rPr>
      </w:pPr>
    </w:p>
    <w:p>
      <w:pPr>
        <w:ind w:left="560" w:right="899" w:firstLine="337"/>
        <w:spacing w:after="0" w:line="255" w:lineRule="auto"/>
        <w:rPr>
          <w:sz w:val="20"/>
          <w:szCs w:val="20"/>
          <w:color w:val="auto"/>
        </w:rPr>
      </w:pPr>
      <w:r>
        <w:rPr>
          <w:rFonts w:ascii="Times New Roman" w:cs="Times New Roman" w:eastAsia="Times New Roman" w:hAnsi="Times New Roman"/>
          <w:sz w:val="17"/>
          <w:szCs w:val="17"/>
          <w:color w:val="auto"/>
        </w:rPr>
        <w:t>Investing in securities issued by us involves a high degree of risk. The prospectus supplement applicable to each offering of our securities will contain a discussion of the risks applicable to an investment in our securities. Before deciding whether to invest in our securities, you should consider carefully the risks described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the applicable prospectus supplement and in any of our filings with the SEC that are incorporated by reference herein or therein.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2" w:name="page13"/>
    <w:bookmarkEnd w:id="1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2" w:lineRule="exact"/>
        <w:rPr>
          <w:sz w:val="20"/>
          <w:szCs w:val="20"/>
          <w:color w:val="auto"/>
        </w:rPr>
      </w:pPr>
    </w:p>
    <w:p>
      <w:pPr>
        <w:ind w:left="560" w:right="579" w:firstLine="337"/>
        <w:spacing w:after="0" w:line="253" w:lineRule="auto"/>
        <w:rPr>
          <w:sz w:val="20"/>
          <w:szCs w:val="20"/>
          <w:color w:val="auto"/>
        </w:rPr>
      </w:pPr>
      <w:r>
        <w:rPr>
          <w:rFonts w:ascii="Times New Roman" w:cs="Times New Roman" w:eastAsia="Times New Roman" w:hAnsi="Times New Roman"/>
          <w:sz w:val="17"/>
          <w:szCs w:val="17"/>
          <w:color w:val="auto"/>
        </w:rPr>
        <w:t>We will retain broad discretion over the use of the net proceeds from the sale of our securities offered by this prospectus. Unless we indicate otherwise in the applicable prospectus supplement, we anticipate that any net proceeds will be used for working capital and general corporate purposes. We will set forth in the applicable prospectus supplement our intended use for the net proceeds received from the sale of any securities sold pursuant to the prospectus supplement. Pending these uses, we intend to invest the net proceeds in a variety of capital preservation instruments, which may include all or a combination of short-term and long-term interest-bearing instruments, investment-grade securities, and direct or guaranteed obligations of the U.S. government.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3" w:name="page14"/>
    <w:bookmarkEnd w:id="1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12" w:lineRule="exact"/>
        <w:rPr>
          <w:sz w:val="20"/>
          <w:szCs w:val="20"/>
          <w:color w:val="auto"/>
        </w:rPr>
      </w:pPr>
    </w:p>
    <w:p>
      <w:pPr>
        <w:ind w:left="560" w:right="739" w:firstLine="337"/>
        <w:spacing w:after="0" w:line="254" w:lineRule="auto"/>
        <w:rPr>
          <w:sz w:val="20"/>
          <w:szCs w:val="20"/>
          <w:color w:val="auto"/>
        </w:rPr>
      </w:pPr>
      <w:r>
        <w:rPr>
          <w:rFonts w:ascii="Times New Roman" w:cs="Times New Roman" w:eastAsia="Times New Roman" w:hAnsi="Times New Roman"/>
          <w:sz w:val="17"/>
          <w:szCs w:val="17"/>
          <w:color w:val="auto"/>
        </w:rPr>
        <w:t>The following description of our capital stock is not complete and may not contain all the information you should consider before investing in our capital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2" w:lineRule="exact"/>
        <w:rPr>
          <w:sz w:val="20"/>
          <w:szCs w:val="20"/>
          <w:color w:val="auto"/>
        </w:rPr>
      </w:pPr>
    </w:p>
    <w:p>
      <w:pPr>
        <w:ind w:left="560" w:right="579" w:firstLine="337"/>
        <w:spacing w:after="0" w:line="271" w:lineRule="auto"/>
        <w:rPr>
          <w:sz w:val="20"/>
          <w:szCs w:val="20"/>
          <w:color w:val="auto"/>
        </w:rPr>
      </w:pPr>
      <w:r>
        <w:rPr>
          <w:rFonts w:ascii="Times New Roman" w:cs="Times New Roman" w:eastAsia="Times New Roman" w:hAnsi="Times New Roman"/>
          <w:sz w:val="16"/>
          <w:szCs w:val="16"/>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Non-Voting Convertible Preferred Stock, $0.0001 par value per share, or the Series A Preferred Stock, and are convertible into 5,544,719 shares of Common Stock and (ii) 437,927 were designated as Series B Non-Voting Convertible Preferred Stock, $0.0001 par value per share, or the Series B Preferred Stock, and are convertible into 437,927 shares of Common Stock.</w:t>
      </w: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Our Common Stock is listed on the Nasdaq Global Market under the symbol “RNAC.”</w:t>
      </w:r>
    </w:p>
    <w:p>
      <w:pPr>
        <w:spacing w:after="0" w:line="104" w:lineRule="exact"/>
        <w:rPr>
          <w:sz w:val="20"/>
          <w:szCs w:val="20"/>
          <w:color w:val="auto"/>
        </w:rPr>
      </w:pPr>
    </w:p>
    <w:p>
      <w:pPr>
        <w:ind w:left="560" w:right="67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our Common Stock are entitled to one vote for each share held on all matters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5" w:lineRule="exact"/>
        <w:rPr>
          <w:sz w:val="20"/>
          <w:szCs w:val="20"/>
          <w:color w:val="auto"/>
        </w:rPr>
      </w:pPr>
    </w:p>
    <w:p>
      <w:pPr>
        <w:ind w:left="560" w:right="81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Rights upon Liquidation</w:t>
      </w:r>
      <w:r>
        <w:rPr>
          <w:rFonts w:ascii="Times New Roman" w:cs="Times New Roman" w:eastAsia="Times New Roman" w:hAnsi="Times New Roman"/>
          <w:sz w:val="17"/>
          <w:szCs w:val="17"/>
          <w:color w:val="auto"/>
        </w:rPr>
        <w:t>. In the event of our liquidation or dissolution, the holders of Common Stock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receive proportionately our net assets available for distribution to stockholders after the payment of all debts and other liabilities and subject to the prior rights of any outstanding preferred stock</w:t>
      </w:r>
    </w:p>
    <w:p>
      <w:pPr>
        <w:spacing w:after="0" w:line="62" w:lineRule="exact"/>
        <w:rPr>
          <w:sz w:val="20"/>
          <w:szCs w:val="20"/>
          <w:color w:val="auto"/>
        </w:rPr>
      </w:pPr>
    </w:p>
    <w:p>
      <w:pPr>
        <w:ind w:left="560" w:right="85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Dividend Rights</w:t>
      </w:r>
      <w:r>
        <w:rPr>
          <w:rFonts w:ascii="Times New Roman" w:cs="Times New Roman" w:eastAsia="Times New Roman" w:hAnsi="Times New Roman"/>
          <w:sz w:val="17"/>
          <w:szCs w:val="17"/>
          <w:color w:val="auto"/>
        </w:rPr>
        <w:t>. Holders of Common Stock are entitled to receive proportionately any dividends as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declared by our board of directors, or the Board of Directors, subject to any preferential dividend rights of outstanding preferred stock.</w:t>
      </w:r>
    </w:p>
    <w:p>
      <w:pPr>
        <w:spacing w:after="0" w:line="62" w:lineRule="exact"/>
        <w:rPr>
          <w:sz w:val="20"/>
          <w:szCs w:val="20"/>
          <w:color w:val="auto"/>
        </w:rPr>
      </w:pPr>
    </w:p>
    <w:p>
      <w:pPr>
        <w:ind w:left="560" w:right="67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Other Rights</w:t>
      </w:r>
      <w:r>
        <w:rPr>
          <w:rFonts w:ascii="Times New Roman" w:cs="Times New Roman" w:eastAsia="Times New Roman" w:hAnsi="Times New Roman"/>
          <w:sz w:val="17"/>
          <w:szCs w:val="17"/>
          <w:color w:val="auto"/>
        </w:rPr>
        <w:t>. Holders of Common Stock have no preemptive, subscription, redemption or conversion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2" w:lineRule="exact"/>
        <w:rPr>
          <w:sz w:val="20"/>
          <w:szCs w:val="20"/>
          <w:color w:val="auto"/>
        </w:rPr>
      </w:pPr>
    </w:p>
    <w:p>
      <w:pPr>
        <w:ind w:left="560" w:right="599" w:firstLine="337"/>
        <w:spacing w:after="0" w:line="254" w:lineRule="auto"/>
        <w:rPr>
          <w:sz w:val="20"/>
          <w:szCs w:val="20"/>
          <w:color w:val="auto"/>
        </w:rPr>
      </w:pPr>
      <w:r>
        <w:rPr>
          <w:rFonts w:ascii="Times New Roman" w:cs="Times New Roman" w:eastAsia="Times New Roman" w:hAnsi="Times New Roman"/>
          <w:sz w:val="17"/>
          <w:szCs w:val="17"/>
          <w:color w:val="auto"/>
        </w:rPr>
        <w:t>Pursuant to the Charter, the Board of Directors has the authority, without stockholder approval, subject to limitations prescribed by law, to provide for the issuance of up to 10,000,000 shares of preferred stock in one or more series, and by filing a certificate pursuant to the applicable law of the State of Delaware, to establish from time to time the number of shares to be included in each such series, and to fix the voting rights, if any, designations, powers, preferences and relative, participating, optional, special and other rights of the shares of each series and any qualifications, limitations or restrictions thereof.</w:t>
      </w:r>
    </w:p>
    <w:p>
      <w:pPr>
        <w:spacing w:after="0" w:line="76" w:lineRule="exact"/>
        <w:rPr>
          <w:sz w:val="20"/>
          <w:szCs w:val="20"/>
          <w:color w:val="auto"/>
        </w:rPr>
      </w:pPr>
    </w:p>
    <w:p>
      <w:pPr>
        <w:ind w:left="560" w:right="719" w:firstLine="337"/>
        <w:spacing w:after="0" w:line="262" w:lineRule="auto"/>
        <w:rPr>
          <w:sz w:val="20"/>
          <w:szCs w:val="20"/>
          <w:color w:val="auto"/>
        </w:rPr>
      </w:pPr>
      <w:r>
        <w:rPr>
          <w:rFonts w:ascii="Times New Roman" w:cs="Times New Roman" w:eastAsia="Times New Roman" w:hAnsi="Times New Roman"/>
          <w:sz w:val="17"/>
          <w:szCs w:val="17"/>
          <w:color w:val="auto"/>
        </w:rPr>
        <w:t>We will fix the voting rights, designations, preferences and rights of the preferred stock of each series, as well as the qualifications, limitations or restrictions thereof, in the certificate of designation relating to such series. We will file an exhibit to the registration statement of which any prospectus relating to offers and sales of</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14" w:name="page15"/>
    <w:bookmarkEnd w:id="1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679"/>
        <w:spacing w:after="0" w:line="262" w:lineRule="auto"/>
        <w:rPr>
          <w:sz w:val="20"/>
          <w:szCs w:val="20"/>
          <w:color w:val="auto"/>
        </w:rPr>
      </w:pPr>
      <w:r>
        <w:rPr>
          <w:rFonts w:ascii="Times New Roman" w:cs="Times New Roman" w:eastAsia="Times New Roman" w:hAnsi="Times New Roman"/>
          <w:sz w:val="17"/>
          <w:szCs w:val="17"/>
          <w:color w:val="auto"/>
        </w:rPr>
        <w:t>any such preferred stock forms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spacing w:after="0" w:line="69" w:lineRule="exact"/>
        <w:rPr>
          <w:sz w:val="20"/>
          <w:szCs w:val="20"/>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stated value;</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offered;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liquidation preference per share;</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per share;</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rate(s), period(s) and/or payment date(s) or method(s) of calculation for dividends;</w:t>
      </w:r>
    </w:p>
    <w:p>
      <w:pPr>
        <w:spacing w:after="0" w:line="108" w:lineRule="exact"/>
        <w:rPr>
          <w:rFonts w:ascii="Times New Roman" w:cs="Times New Roman" w:eastAsia="Times New Roman" w:hAnsi="Times New Roman"/>
          <w:sz w:val="17"/>
          <w:szCs w:val="17"/>
          <w:color w:val="auto"/>
        </w:rPr>
      </w:pPr>
    </w:p>
    <w:p>
      <w:pPr>
        <w:ind w:left="1220" w:right="839" w:hanging="330"/>
        <w:spacing w:after="0" w:line="276"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are cumulative or non-cumulative and, if cumulative, the date from which dividends will accumulate;</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if any, to defer payment of dividends and the maximum length of such deferral period;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procedures for auction and remarketing, if any;</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for a sinking fund, if any;</w:t>
      </w:r>
    </w:p>
    <w:p>
      <w:pPr>
        <w:spacing w:after="0" w:line="108" w:lineRule="exact"/>
        <w:rPr>
          <w:rFonts w:ascii="Times New Roman" w:cs="Times New Roman" w:eastAsia="Times New Roman" w:hAnsi="Times New Roman"/>
          <w:sz w:val="17"/>
          <w:szCs w:val="17"/>
          <w:color w:val="auto"/>
        </w:rPr>
      </w:pPr>
    </w:p>
    <w:p>
      <w:pPr>
        <w:ind w:left="1220" w:right="859" w:hanging="330"/>
        <w:spacing w:after="0" w:line="276"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for redemption or repurchase, if applicable, and any restrictions on our ability to exercise those redemption and repurchase rights;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listing of the preferred stock on any securities exchange or market;</w:t>
      </w:r>
    </w:p>
    <w:p>
      <w:pPr>
        <w:spacing w:after="0" w:line="108" w:lineRule="exact"/>
        <w:rPr>
          <w:rFonts w:ascii="Times New Roman" w:cs="Times New Roman" w:eastAsia="Times New Roman" w:hAnsi="Times New Roman"/>
          <w:sz w:val="17"/>
          <w:szCs w:val="17"/>
          <w:color w:val="auto"/>
        </w:rPr>
      </w:pPr>
    </w:p>
    <w:p>
      <w:pPr>
        <w:ind w:left="1220" w:right="759" w:hanging="330"/>
        <w:spacing w:after="0" w:line="276"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applicable, upon which the preferred stock will be convertible into Common Stock, including the conversion price (or manner of calculation) and conversion period;</w:t>
      </w:r>
    </w:p>
    <w:p>
      <w:pPr>
        <w:spacing w:after="0" w:line="56" w:lineRule="exact"/>
        <w:rPr>
          <w:rFonts w:ascii="Times New Roman" w:cs="Times New Roman" w:eastAsia="Times New Roman" w:hAnsi="Times New Roman"/>
          <w:sz w:val="17"/>
          <w:szCs w:val="17"/>
          <w:color w:val="auto"/>
        </w:rPr>
      </w:pPr>
    </w:p>
    <w:p>
      <w:pPr>
        <w:ind w:left="1220" w:right="939" w:hanging="330"/>
        <w:spacing w:after="0" w:line="276"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preferred stock will be exchangeable into debt securities, and, if applicable, the exchange price, or how it will be calculated, and the exchange period;</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rights, if any, of the preferred stock;</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preemptive rights, if any;</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transfer, sale or other assignment, if any;</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interests in the preferred stock will be represented by depositary shares;</w:t>
      </w:r>
    </w:p>
    <w:p>
      <w:pPr>
        <w:spacing w:after="0" w:line="108" w:lineRule="exact"/>
        <w:rPr>
          <w:rFonts w:ascii="Times New Roman" w:cs="Times New Roman" w:eastAsia="Times New Roman" w:hAnsi="Times New Roman"/>
          <w:sz w:val="17"/>
          <w:szCs w:val="17"/>
          <w:color w:val="auto"/>
        </w:rPr>
      </w:pPr>
    </w:p>
    <w:p>
      <w:pPr>
        <w:ind w:left="1220" w:right="1119" w:hanging="330"/>
        <w:spacing w:after="0" w:line="276"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and/or special U.S. federal income tax considerations applicable to the preferred stock;</w:t>
      </w:r>
    </w:p>
    <w:p>
      <w:pPr>
        <w:spacing w:after="0" w:line="56" w:lineRule="exact"/>
        <w:rPr>
          <w:rFonts w:ascii="Times New Roman" w:cs="Times New Roman" w:eastAsia="Times New Roman" w:hAnsi="Times New Roman"/>
          <w:sz w:val="17"/>
          <w:szCs w:val="17"/>
          <w:color w:val="auto"/>
        </w:rPr>
      </w:pPr>
    </w:p>
    <w:p>
      <w:pPr>
        <w:ind w:left="1220" w:right="1139" w:hanging="330"/>
        <w:spacing w:after="0" w:line="276"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relative ranking and preferences of the preferred stock as to dividend rights and rights upon the liquidation, dissolution or winding up of our affairs;</w:t>
      </w:r>
    </w:p>
    <w:p>
      <w:pPr>
        <w:spacing w:after="0" w:line="56" w:lineRule="exact"/>
        <w:rPr>
          <w:rFonts w:ascii="Times New Roman" w:cs="Times New Roman" w:eastAsia="Times New Roman" w:hAnsi="Times New Roman"/>
          <w:sz w:val="17"/>
          <w:szCs w:val="17"/>
          <w:color w:val="auto"/>
        </w:rPr>
      </w:pPr>
    </w:p>
    <w:p>
      <w:pPr>
        <w:ind w:left="1220" w:right="799" w:hanging="330"/>
        <w:spacing w:after="0" w:line="262" w:lineRule="auto"/>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limitations on issuance of any class or series of preferred stock ranking senior to or on a parity with the class or series of preferred stock as to dividend rights and rights upon liquidation, dissolution or winding up of our affairs; and</w:t>
      </w:r>
    </w:p>
    <w:p>
      <w:pPr>
        <w:spacing w:after="0" w:line="6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specific terms, preferences, rights, limitations or restrictions of the preferred stock.</w:t>
      </w:r>
    </w:p>
    <w:p>
      <w:pPr>
        <w:spacing w:after="0" w:line="108" w:lineRule="exact"/>
        <w:rPr>
          <w:sz w:val="20"/>
          <w:szCs w:val="20"/>
          <w:color w:val="auto"/>
        </w:rPr>
      </w:pPr>
    </w:p>
    <w:p>
      <w:pPr>
        <w:ind w:left="560" w:right="639" w:firstLine="337"/>
        <w:spacing w:after="0" w:line="255" w:lineRule="auto"/>
        <w:rPr>
          <w:sz w:val="20"/>
          <w:szCs w:val="20"/>
          <w:color w:val="auto"/>
        </w:rPr>
      </w:pPr>
      <w:r>
        <w:rPr>
          <w:rFonts w:ascii="Times New Roman" w:cs="Times New Roman" w:eastAsia="Times New Roman" w:hAnsi="Times New Roman"/>
          <w:sz w:val="17"/>
          <w:szCs w:val="17"/>
          <w:color w:val="auto"/>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spacing w:after="0" w:line="76" w:lineRule="exact"/>
        <w:rPr>
          <w:sz w:val="20"/>
          <w:szCs w:val="20"/>
          <w:color w:val="auto"/>
        </w:rPr>
      </w:pPr>
    </w:p>
    <w:p>
      <w:pPr>
        <w:ind w:left="560" w:right="619" w:firstLine="337"/>
        <w:spacing w:after="0" w:line="286" w:lineRule="auto"/>
        <w:rPr>
          <w:sz w:val="20"/>
          <w:szCs w:val="20"/>
          <w:color w:val="auto"/>
        </w:rPr>
      </w:pPr>
      <w:r>
        <w:rPr>
          <w:rFonts w:ascii="Times New Roman" w:cs="Times New Roman" w:eastAsia="Times New Roman" w:hAnsi="Times New Roman"/>
          <w:sz w:val="16"/>
          <w:szCs w:val="16"/>
          <w:color w:val="auto"/>
        </w:rPr>
        <w:t>The laws of the State of Delaware provide that the holders of preferred stock will have the right to vote separately as a class on any proposal involving fundamental changes to the rights of holders of such preferred stock. This right is in addition to any voting rights that may be provided for in the applicable certificate of designations.</w:t>
      </w:r>
    </w:p>
    <w:p>
      <w:pPr>
        <w:spacing w:after="0" w:line="51" w:lineRule="exact"/>
        <w:rPr>
          <w:sz w:val="20"/>
          <w:szCs w:val="20"/>
          <w:color w:val="auto"/>
        </w:rPr>
      </w:pPr>
    </w:p>
    <w:p>
      <w:pPr>
        <w:ind w:left="560" w:right="799" w:firstLine="337"/>
        <w:spacing w:after="0" w:line="276" w:lineRule="auto"/>
        <w:rPr>
          <w:sz w:val="20"/>
          <w:szCs w:val="20"/>
          <w:color w:val="auto"/>
        </w:rPr>
      </w:pPr>
      <w:r>
        <w:rPr>
          <w:rFonts w:ascii="Times New Roman" w:cs="Times New Roman" w:eastAsia="Times New Roman" w:hAnsi="Times New Roman"/>
          <w:sz w:val="17"/>
          <w:szCs w:val="17"/>
          <w:color w:val="auto"/>
        </w:rPr>
        <w:t>The transfer agent and registrar for any series of preferred stock will be set forth in the applicable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5" w:name="page16"/>
    <w:bookmarkEnd w:id="1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Series A Preferred Stock</w:t>
      </w:r>
    </w:p>
    <w:p>
      <w:pPr>
        <w:spacing w:after="0" w:line="108" w:lineRule="exact"/>
        <w:rPr>
          <w:sz w:val="20"/>
          <w:szCs w:val="20"/>
          <w:color w:val="auto"/>
        </w:rPr>
      </w:pPr>
    </w:p>
    <w:p>
      <w:pPr>
        <w:ind w:left="560" w:right="61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The outstanding shares of Series A Preferred Stock may convert into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certain beneficial ownership limitations, including that a holder of Series A Preferred Stock (except for any holder of Series A Preferred Stock who beneficially owned greater than 19.9% of our Common Stock immediately prior to the Merger) is prohibited from converting shares of Series A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A Beneficial Ownership Limitation. Each outstanding share of Series A Preferred Stock is convertible, at any time and from time to time, at the option of the holder thereof, into 33.333 shares of Common Stock, subject to the Series A Beneficial Ownership Limitation and only to the extent the same shall have ceased to apply.</w:t>
      </w:r>
    </w:p>
    <w:p>
      <w:pPr>
        <w:spacing w:after="0" w:line="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Except as otherwise required by law (e.g., voting on a change to the authorized shares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Series A Preferred Stock or the rights of such shares as required by the DGCL) and the Certificate of Designation of</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Preferences, Rights and Limitations of the Series A Preferred Stock, or the Series A Certificate of Designation, the</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Series A Preferred Stock does not have voting rights. However, as long as any shares of Series A Preferred Stock are</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outstanding, we will not, without the affirmative vote of the holders of a majority of the then outstanding shares of</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Series A Preferred Stock, (a) alter or change adversely the powers, preferences or rights given to the Series A</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Preferred Stock, (b) alter or amend the Series A Certificate of Designation, (c) amend the Charter or other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organizational documents in any matter that adversely affects any rights of the holders of Series A Preferred Stock,</w:t>
      </w:r>
    </w:p>
    <w:p>
      <w:pPr>
        <w:spacing w:after="0" w:line="7" w:lineRule="exact"/>
        <w:rPr>
          <w:sz w:val="20"/>
          <w:szCs w:val="20"/>
          <w:color w:val="auto"/>
        </w:rPr>
      </w:pPr>
    </w:p>
    <w:p>
      <w:pPr>
        <w:ind w:left="560" w:right="599" w:hanging="7"/>
        <w:spacing w:after="0" w:line="266" w:lineRule="auto"/>
        <w:tabs>
          <w:tab w:leader="none" w:pos="79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further shares of Series A Preferred Stock (other than in connection with the exercise of assumed Cartesian options to purchase shares of Series A Preferred Stock), (e) at any time while at least 30% of the originally issued Series A Preferred Stock remains issued and outstanding, consummate either (A) a Fundamental Transaction (as defined in the Series A Certificate of Designation) or (B) any merger or consolidation of the Company or other business combination in which our stockholders immediately before such transaction do not hold at least a majority of our capital stock immediately after such transaction, (f) amend or fail to comply with, in any manner that would be reasonably likely to prevent, impede or materially delay the conversion (or the stockholder approval thereof), or terminate, any of the support agreements entered into in connection with the Merger, or the Support Agreements, or agree to any transfer, sale or disposition of such shares subject to the Support Agreements (except for such transfers, sales or dispositions with respect to which the approval of the Company is not required pursuant to the applicable Support Agreement) or (g) enter into any agreement with respect to any of the foregoing.</w:t>
      </w:r>
    </w:p>
    <w:p>
      <w:pPr>
        <w:spacing w:after="0" w:line="67" w:lineRule="exact"/>
        <w:rPr>
          <w:sz w:val="20"/>
          <w:szCs w:val="20"/>
          <w:color w:val="auto"/>
        </w:rPr>
      </w:pPr>
    </w:p>
    <w:p>
      <w:pPr>
        <w:jc w:val="both"/>
        <w:ind w:left="560" w:right="77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Holders of Series A Preferred Stock are entitled to receive non-cumulative dividends on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A Preferred Stock equal, on an as-if-converted-to-Common-Stock basis, and in the same form as dividends actually paid on shares of the Common Stock.</w:t>
      </w:r>
    </w:p>
    <w:p>
      <w:pPr>
        <w:spacing w:after="0" w:line="62" w:lineRule="exact"/>
        <w:rPr>
          <w:sz w:val="20"/>
          <w:szCs w:val="20"/>
          <w:color w:val="auto"/>
        </w:rPr>
      </w:pPr>
    </w:p>
    <w:p>
      <w:pPr>
        <w:jc w:val="both"/>
        <w:ind w:left="560" w:right="77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Liquidation and Dissolution</w:t>
      </w:r>
      <w:r>
        <w:rPr>
          <w:rFonts w:ascii="Times New Roman" w:cs="Times New Roman" w:eastAsia="Times New Roman" w:hAnsi="Times New Roman"/>
          <w:sz w:val="17"/>
          <w:szCs w:val="17"/>
          <w:color w:val="auto"/>
        </w:rPr>
        <w:t>. The Series A Preferred Stock ranks on parity with Common Stock and Series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upon any liquidation, dissolution or winding-up of the Company.</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The Series A Preferred Stock does not have preemptive rights.</w:t>
      </w:r>
    </w:p>
    <w:p>
      <w:pPr>
        <w:spacing w:after="0" w:line="108" w:lineRule="exact"/>
        <w:rPr>
          <w:sz w:val="20"/>
          <w:szCs w:val="20"/>
          <w:color w:val="auto"/>
        </w:rPr>
      </w:pPr>
    </w:p>
    <w:p>
      <w:pPr>
        <w:jc w:val="both"/>
        <w:ind w:left="560" w:right="77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The Series A Certificate of Designation does not contain any restrictions upon the transfer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Series A Preferred Stock.</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Series B Preferred Stock</w:t>
      </w:r>
    </w:p>
    <w:p>
      <w:pPr>
        <w:spacing w:after="0" w:line="108"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The outstanding shares of Series B Preferred Stock may convert into shares of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certain beneficial ownership limitations, including that a holder of Series B Preferred Stock (except for any holder of Series B Preferred Stock who beneficially owned greater than 19.9% of our Common Stock immediately prior to a private placement of our Common Stock and Series B Preferred Stock) is prohibited from converting shares of Series B Preferred Stock into shares of Common Stock if, as a result of such conversion, such holder, together with its affiliates, would beneficially own more than a specified percentage (to be established by the holder between 0% and 19.9%) of the total number of shares of Common Stock issued and outstanding immediately after giving effect to such conversion, or the Series B Beneficial Ownership Limitation. Each outstanding share of Series B Preferred Stock is convertible, at any time and from time to time, at the option of the holder thereof, into one share of Common Stock, subject to the Series B Beneficial Ownership Limitation and only to the extent the same shall have ceased to apply.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6" w:name="page17"/>
    <w:bookmarkEnd w:id="1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Except as otherwise required by law (e.g., voting on a change to the authorized shares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Series B Preferred Stock or the rights of such shares as required by the DGCL) and the Certificate of Designation of</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Preferences, Rights, and Limitations of the Series B Preferred Stock, or the Series B Certificate of Designation, the</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Series B Preferred Stock does not have voting rights. However, as long as any shares of Series B Preferred Stock are</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outstanding, we will not, without the affirmative vote of the holders of a majority of the then outstanding shares of</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Series B Preferred Stock, (a) alter or change adversely the powers, preferences or rights given to the Series B</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Preferred Stock, (b) alter or amend the Series B Certificate of Designation, or (c) amend the Charter or other</w:t>
      </w:r>
    </w:p>
    <w:p>
      <w:pPr>
        <w:spacing w:after="0" w:line="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organizational documents in any matter that adversely affects any rights of the holders of Series B Preferred Stock.</w:t>
      </w:r>
    </w:p>
    <w:p>
      <w:pPr>
        <w:spacing w:after="0" w:line="89" w:lineRule="exact"/>
        <w:rPr>
          <w:sz w:val="20"/>
          <w:szCs w:val="20"/>
          <w:color w:val="auto"/>
        </w:rPr>
      </w:pPr>
    </w:p>
    <w:p>
      <w:pPr>
        <w:jc w:val="both"/>
        <w:ind w:left="560" w:right="77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Holders of Series B Preferred Stock are entitled to receive non-cumulative dividends on shares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Series B Preferred Stock equal, on an as-if-converted-to-Common-Stock basis, and in the same form as dividends actually paid on shares of the Common Stock.</w:t>
      </w:r>
    </w:p>
    <w:p>
      <w:pPr>
        <w:spacing w:after="0" w:line="62" w:lineRule="exact"/>
        <w:rPr>
          <w:sz w:val="20"/>
          <w:szCs w:val="20"/>
          <w:color w:val="auto"/>
        </w:rPr>
      </w:pPr>
    </w:p>
    <w:p>
      <w:pPr>
        <w:jc w:val="both"/>
        <w:ind w:left="560" w:right="77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Liquidation and Dissolution</w:t>
      </w:r>
      <w:r>
        <w:rPr>
          <w:rFonts w:ascii="Times New Roman" w:cs="Times New Roman" w:eastAsia="Times New Roman" w:hAnsi="Times New Roman"/>
          <w:sz w:val="17"/>
          <w:szCs w:val="17"/>
          <w:color w:val="auto"/>
        </w:rPr>
        <w:t>. The Series B Preferred Stock ranks on parity with Common Stock and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Stock upon any liquidation, dissolution or winding-up of the Company.</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i w:val="1"/>
          <w:iCs w:val="1"/>
          <w:color w:val="auto"/>
        </w:rPr>
        <w:t>Preemptive Rights</w:t>
      </w:r>
      <w:r>
        <w:rPr>
          <w:rFonts w:ascii="Times New Roman" w:cs="Times New Roman" w:eastAsia="Times New Roman" w:hAnsi="Times New Roman"/>
          <w:sz w:val="17"/>
          <w:szCs w:val="17"/>
          <w:color w:val="auto"/>
        </w:rPr>
        <w:t>. The Series B Preferred Stock does not have preemptive rights.</w:t>
      </w:r>
    </w:p>
    <w:p>
      <w:pPr>
        <w:spacing w:after="0" w:line="108" w:lineRule="exact"/>
        <w:rPr>
          <w:sz w:val="20"/>
          <w:szCs w:val="20"/>
          <w:color w:val="auto"/>
        </w:rPr>
      </w:pPr>
    </w:p>
    <w:p>
      <w:pPr>
        <w:jc w:val="both"/>
        <w:ind w:left="560" w:right="77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Transferability</w:t>
      </w:r>
      <w:r>
        <w:rPr>
          <w:rFonts w:ascii="Times New Roman" w:cs="Times New Roman" w:eastAsia="Times New Roman" w:hAnsi="Times New Roman"/>
          <w:sz w:val="17"/>
          <w:szCs w:val="17"/>
          <w:color w:val="auto"/>
        </w:rPr>
        <w:t>. The Series B Certificate of Designation does not contain any restrictions upon the transfer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Series B Preferred Stock.</w:t>
      </w:r>
    </w:p>
    <w:p>
      <w:pPr>
        <w:spacing w:after="0" w:line="1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2" w:lineRule="exact"/>
        <w:rPr>
          <w:sz w:val="20"/>
          <w:szCs w:val="20"/>
          <w:color w:val="auto"/>
        </w:rPr>
      </w:pPr>
    </w:p>
    <w:p>
      <w:pPr>
        <w:ind w:left="560" w:right="619" w:firstLine="337"/>
        <w:spacing w:after="0" w:line="276" w:lineRule="auto"/>
        <w:rPr>
          <w:sz w:val="20"/>
          <w:szCs w:val="20"/>
          <w:color w:val="auto"/>
        </w:rPr>
      </w:pPr>
      <w:r>
        <w:rPr>
          <w:rFonts w:ascii="Times New Roman" w:cs="Times New Roman" w:eastAsia="Times New Roman" w:hAnsi="Times New Roman"/>
          <w:sz w:val="17"/>
          <w:szCs w:val="17"/>
          <w:color w:val="auto"/>
        </w:rPr>
        <w:t>Certain holders of our Common Stock or their transferees are entitled to the following rights with respect to the registration of such shares for public resale under the Securities Act.</w:t>
      </w:r>
    </w:p>
    <w:p>
      <w:pPr>
        <w:spacing w:after="0" w:line="57" w:lineRule="exact"/>
        <w:rPr>
          <w:sz w:val="20"/>
          <w:szCs w:val="20"/>
          <w:color w:val="auto"/>
        </w:rPr>
      </w:pPr>
    </w:p>
    <w:p>
      <w:pPr>
        <w:ind w:left="560" w:right="599" w:firstLine="337"/>
        <w:spacing w:after="0" w:line="269" w:lineRule="auto"/>
        <w:rPr>
          <w:sz w:val="20"/>
          <w:szCs w:val="20"/>
          <w:color w:val="auto"/>
        </w:rPr>
      </w:pPr>
      <w:r>
        <w:rPr>
          <w:rFonts w:ascii="Times New Roman" w:cs="Times New Roman" w:eastAsia="Times New Roman" w:hAnsi="Times New Roman"/>
          <w:sz w:val="16"/>
          <w:szCs w:val="16"/>
          <w:color w:val="auto"/>
        </w:rPr>
        <w:t>These registration rights are granted pursuant to (i) a registration rights agreement, or the RRA, we entered into in June 2024 in connection with a private placement of our Common Stock and Series B Preferred Stock, (ii) a registration rights agreement, or the 2023 RRA, we entered into in November 2023 in connection with a private placement of our Common Stock and Series A Preferred Stock, or the 2023 Private Placement, and the Merger, and</w:t>
      </w:r>
    </w:p>
    <w:p>
      <w:pPr>
        <w:spacing w:after="0" w:line="1" w:lineRule="exact"/>
        <w:rPr>
          <w:sz w:val="20"/>
          <w:szCs w:val="20"/>
          <w:color w:val="auto"/>
        </w:rPr>
      </w:pPr>
    </w:p>
    <w:p>
      <w:pPr>
        <w:ind w:left="560" w:right="779" w:hanging="7"/>
        <w:spacing w:after="0" w:line="257" w:lineRule="auto"/>
        <w:tabs>
          <w:tab w:leader="none" w:pos="8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rights agreement, or the 2020 RRA, we entered into in connection with the private placement of our Common Stock, which closed on July 31, 2020.</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RRA</w:t>
      </w:r>
    </w:p>
    <w:p>
      <w:pPr>
        <w:spacing w:after="0" w:line="112" w:lineRule="exact"/>
        <w:rPr>
          <w:sz w:val="20"/>
          <w:szCs w:val="20"/>
          <w:color w:val="auto"/>
        </w:rPr>
      </w:pPr>
    </w:p>
    <w:p>
      <w:pPr>
        <w:ind w:left="560" w:right="759" w:firstLine="337"/>
        <w:spacing w:after="0" w:line="255" w:lineRule="auto"/>
        <w:rPr>
          <w:sz w:val="20"/>
          <w:szCs w:val="20"/>
          <w:color w:val="auto"/>
        </w:rPr>
      </w:pPr>
      <w:r>
        <w:rPr>
          <w:rFonts w:ascii="Times New Roman" w:cs="Times New Roman" w:eastAsia="Times New Roman" w:hAnsi="Times New Roman"/>
          <w:sz w:val="17"/>
          <w:szCs w:val="17"/>
          <w:color w:val="auto"/>
        </w:rPr>
        <w:t>On July 2, 2024, we entered into the RRA with the purchasers party thereto. Pursuant to the RRA, we were obligated to prepare and file a resale registration statement with the SEC within 30 days of July 3, 2024 and to use our reasonable best efforts to cause such registration statement to be declared effective by the SEC within</w:t>
      </w:r>
    </w:p>
    <w:p>
      <w:pPr>
        <w:spacing w:after="0" w:line="1" w:lineRule="exact"/>
        <w:rPr>
          <w:sz w:val="20"/>
          <w:szCs w:val="20"/>
          <w:color w:val="auto"/>
        </w:rPr>
      </w:pPr>
    </w:p>
    <w:p>
      <w:pPr>
        <w:ind w:left="560" w:right="719"/>
        <w:spacing w:after="0" w:line="253" w:lineRule="auto"/>
        <w:rPr>
          <w:sz w:val="20"/>
          <w:szCs w:val="20"/>
          <w:color w:val="auto"/>
        </w:rPr>
      </w:pPr>
      <w:r>
        <w:rPr>
          <w:rFonts w:ascii="Times New Roman" w:cs="Times New Roman" w:eastAsia="Times New Roman" w:hAnsi="Times New Roman"/>
          <w:sz w:val="17"/>
          <w:szCs w:val="17"/>
          <w:color w:val="auto"/>
        </w:rPr>
        <w:t>90 calendar days of July 3, 2024 (or within 120 calendar days of July 3, 2024 if the SEC reviews the registration statement). We also undertook to register the Resale Shares on a registration statement on Form S-3 promptly after such form is available to us.</w:t>
      </w:r>
    </w:p>
    <w:p>
      <w:pPr>
        <w:spacing w:after="0" w:line="75"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6" w:lineRule="exact"/>
        <w:rPr>
          <w:sz w:val="20"/>
          <w:szCs w:val="20"/>
          <w:color w:val="auto"/>
        </w:rPr>
      </w:pPr>
    </w:p>
    <w:p>
      <w:pPr>
        <w:ind w:left="560" w:right="559" w:firstLine="337"/>
        <w:spacing w:after="0" w:line="254" w:lineRule="auto"/>
        <w:rPr>
          <w:sz w:val="20"/>
          <w:szCs w:val="20"/>
          <w:color w:val="auto"/>
        </w:rPr>
      </w:pPr>
      <w:r>
        <w:rPr>
          <w:rFonts w:ascii="Times New Roman" w:cs="Times New Roman" w:eastAsia="Times New Roman" w:hAnsi="Times New Roman"/>
          <w:sz w:val="17"/>
          <w:szCs w:val="17"/>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2023 RRA</w:t>
      </w:r>
    </w:p>
    <w:p>
      <w:pPr>
        <w:spacing w:after="0" w:line="112" w:lineRule="exact"/>
        <w:rPr>
          <w:sz w:val="20"/>
          <w:szCs w:val="20"/>
          <w:color w:val="auto"/>
        </w:rPr>
      </w:pPr>
    </w:p>
    <w:p>
      <w:pPr>
        <w:ind w:left="560" w:right="699" w:firstLine="337"/>
        <w:spacing w:after="0" w:line="262" w:lineRule="auto"/>
        <w:rPr>
          <w:sz w:val="20"/>
          <w:szCs w:val="20"/>
          <w:color w:val="auto"/>
        </w:rPr>
      </w:pPr>
      <w:r>
        <w:rPr>
          <w:rFonts w:ascii="Times New Roman" w:cs="Times New Roman" w:eastAsia="Times New Roman" w:hAnsi="Times New Roman"/>
          <w:sz w:val="17"/>
          <w:szCs w:val="17"/>
          <w:color w:val="auto"/>
        </w:rPr>
        <w:t>In connection with the Merger and the 2023 Private Placement, we entered into the 2023 RRA, pursuant to which we agreed to prepare and file a resale registration statement with the SEC within 90 calendar days following November 15, 2023, with respect to the shares of Common Stock underlying the Series A Preferred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7" w:name="page18"/>
    <w:bookmarkEnd w:id="1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619"/>
        <w:spacing w:after="0" w:line="254" w:lineRule="auto"/>
        <w:rPr>
          <w:sz w:val="20"/>
          <w:szCs w:val="20"/>
          <w:color w:val="auto"/>
        </w:rPr>
      </w:pPr>
      <w:r>
        <w:rPr>
          <w:rFonts w:ascii="Times New Roman" w:cs="Times New Roman" w:eastAsia="Times New Roman" w:hAnsi="Times New Roman"/>
          <w:sz w:val="17"/>
          <w:szCs w:val="17"/>
          <w:color w:val="auto"/>
        </w:rPr>
        <w:t>Stock issued in the 2023 Private Placement and the Common Stock and Series A Preferred Stock issued to the signatories to the 2023 RRA in the Merger.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during the period in which we were not eligible to use Form S-3 to register resales of the registrable securities under the 2023 RRA, and one signatory to the 2023 RRA has irrevocably waived such registration requirements.</w:t>
      </w:r>
    </w:p>
    <w:p>
      <w:pPr>
        <w:spacing w:after="0" w:line="76" w:lineRule="exact"/>
        <w:rPr>
          <w:sz w:val="20"/>
          <w:szCs w:val="20"/>
          <w:color w:val="auto"/>
        </w:rPr>
      </w:pPr>
    </w:p>
    <w:p>
      <w:pPr>
        <w:ind w:left="560" w:right="579" w:firstLine="337"/>
        <w:spacing w:after="0" w:line="255" w:lineRule="auto"/>
        <w:rPr>
          <w:sz w:val="20"/>
          <w:szCs w:val="20"/>
          <w:color w:val="auto"/>
        </w:rPr>
      </w:pPr>
      <w:r>
        <w:rPr>
          <w:rFonts w:ascii="Times New Roman" w:cs="Times New Roman" w:eastAsia="Times New Roman" w:hAnsi="Times New Roman"/>
          <w:sz w:val="17"/>
          <w:szCs w:val="17"/>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6" w:lineRule="exact"/>
        <w:rPr>
          <w:sz w:val="20"/>
          <w:szCs w:val="20"/>
          <w:color w:val="auto"/>
        </w:rPr>
      </w:pPr>
    </w:p>
    <w:p>
      <w:pPr>
        <w:ind w:left="560" w:right="599" w:firstLine="337"/>
        <w:spacing w:after="0" w:line="254" w:lineRule="auto"/>
        <w:rPr>
          <w:sz w:val="20"/>
          <w:szCs w:val="20"/>
          <w:color w:val="auto"/>
        </w:rPr>
      </w:pPr>
      <w:r>
        <w:rPr>
          <w:rFonts w:ascii="Times New Roman" w:cs="Times New Roman" w:eastAsia="Times New Roman" w:hAnsi="Times New Roman"/>
          <w:sz w:val="17"/>
          <w:szCs w:val="17"/>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27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2020 RRA</w:t>
      </w:r>
    </w:p>
    <w:p>
      <w:pPr>
        <w:spacing w:after="0" w:line="112"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2" w:lineRule="exact"/>
        <w:rPr>
          <w:sz w:val="20"/>
          <w:szCs w:val="20"/>
          <w:color w:val="auto"/>
        </w:rPr>
      </w:pPr>
    </w:p>
    <w:p>
      <w:pPr>
        <w:ind w:left="560" w:right="579" w:firstLine="337"/>
        <w:spacing w:after="0" w:line="257" w:lineRule="auto"/>
        <w:rPr>
          <w:sz w:val="20"/>
          <w:szCs w:val="20"/>
          <w:color w:val="auto"/>
        </w:rPr>
      </w:pPr>
      <w:r>
        <w:rPr>
          <w:rFonts w:ascii="Times New Roman" w:cs="Times New Roman" w:eastAsia="Times New Roman" w:hAnsi="Times New Roman"/>
          <w:sz w:val="17"/>
          <w:szCs w:val="17"/>
          <w:i w:val="1"/>
          <w:iCs w:val="1"/>
          <w:color w:val="auto"/>
        </w:rPr>
        <w:t>Piggyback Registration Rights</w:t>
      </w:r>
      <w:r>
        <w:rPr>
          <w:rFonts w:ascii="Times New Roman" w:cs="Times New Roman" w:eastAsia="Times New Roman" w:hAnsi="Times New Roman"/>
          <w:sz w:val="17"/>
          <w:szCs w:val="17"/>
          <w:color w:val="auto"/>
        </w:rPr>
        <w:t>. Any time we propose to register any shares of our Common Stock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8" w:lineRule="exact"/>
        <w:rPr>
          <w:sz w:val="20"/>
          <w:szCs w:val="20"/>
          <w:color w:val="auto"/>
        </w:rPr>
      </w:pPr>
    </w:p>
    <w:p>
      <w:pPr>
        <w:ind w:left="560" w:right="1299" w:firstLine="337"/>
        <w:spacing w:after="0" w:line="314"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If the holders of registrable securities request in writing that we effect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registration with respect to all of the registrable securities, we will be required to effect such registration.</w:t>
      </w:r>
    </w:p>
    <w:p>
      <w:pPr>
        <w:spacing w:after="0" w:line="25" w:lineRule="exact"/>
        <w:rPr>
          <w:sz w:val="20"/>
          <w:szCs w:val="20"/>
          <w:color w:val="auto"/>
        </w:rPr>
      </w:pPr>
    </w:p>
    <w:p>
      <w:pPr>
        <w:ind w:left="560" w:right="999" w:firstLine="337"/>
        <w:spacing w:after="0" w:line="257" w:lineRule="auto"/>
        <w:rPr>
          <w:sz w:val="20"/>
          <w:szCs w:val="20"/>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Ordinarily, other than underwriting discounts and commissions, we will be required to pay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 holders and blue sky fees and expenses.</w:t>
      </w:r>
    </w:p>
    <w:p>
      <w:pPr>
        <w:spacing w:after="0" w:line="68" w:lineRule="exact"/>
        <w:rPr>
          <w:sz w:val="20"/>
          <w:szCs w:val="20"/>
          <w:color w:val="auto"/>
        </w:rPr>
      </w:pPr>
    </w:p>
    <w:p>
      <w:pPr>
        <w:ind w:left="560" w:right="61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Termination of Registration Rights</w:t>
      </w:r>
      <w:r>
        <w:rPr>
          <w:rFonts w:ascii="Times New Roman" w:cs="Times New Roman" w:eastAsia="Times New Roman" w:hAnsi="Times New Roman"/>
          <w:sz w:val="17"/>
          <w:szCs w:val="17"/>
          <w:color w:val="auto"/>
        </w:rPr>
        <w:t>. The registration rights terminate upon the earlier of (i) such time as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2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Charter and Bylaws</w:t>
      </w:r>
    </w:p>
    <w:p>
      <w:pPr>
        <w:spacing w:after="0" w:line="112" w:lineRule="exact"/>
        <w:rPr>
          <w:sz w:val="20"/>
          <w:szCs w:val="20"/>
          <w:color w:val="auto"/>
        </w:rPr>
      </w:pPr>
    </w:p>
    <w:p>
      <w:pPr>
        <w:ind w:left="560" w:right="619" w:firstLine="337"/>
        <w:spacing w:after="0" w:line="254" w:lineRule="auto"/>
        <w:rPr>
          <w:sz w:val="20"/>
          <w:szCs w:val="20"/>
          <w:color w:val="auto"/>
        </w:rPr>
      </w:pPr>
      <w:r>
        <w:rPr>
          <w:rFonts w:ascii="Times New Roman" w:cs="Times New Roman" w:eastAsia="Times New Roman" w:hAnsi="Times New Roman"/>
          <w:sz w:val="17"/>
          <w:szCs w:val="17"/>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76" w:lineRule="exact"/>
        <w:rPr>
          <w:sz w:val="20"/>
          <w:szCs w:val="20"/>
          <w:color w:val="auto"/>
        </w:rPr>
      </w:pPr>
    </w:p>
    <w:p>
      <w:pPr>
        <w:ind w:left="560" w:right="819" w:firstLine="337"/>
        <w:spacing w:after="0" w:line="309" w:lineRule="auto"/>
        <w:rPr>
          <w:sz w:val="20"/>
          <w:szCs w:val="20"/>
          <w:color w:val="auto"/>
        </w:rPr>
      </w:pPr>
      <w:r>
        <w:rPr>
          <w:rFonts w:ascii="Times New Roman" w:cs="Times New Roman" w:eastAsia="Times New Roman" w:hAnsi="Times New Roman"/>
          <w:sz w:val="16"/>
          <w:szCs w:val="16"/>
          <w:color w:val="auto"/>
        </w:rPr>
        <w:t>These provisions, summarized below, are intended to discourage coercive takeover practices and inadequate takeover bids. These provisions are also designed to encourage persons seeking to acquire control of us to first</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8" w:name="page19"/>
    <w:bookmarkEnd w:id="1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579"/>
        <w:spacing w:after="0" w:line="258" w:lineRule="auto"/>
        <w:rPr>
          <w:sz w:val="20"/>
          <w:szCs w:val="20"/>
          <w:color w:val="auto"/>
        </w:rPr>
      </w:pPr>
      <w:r>
        <w:rPr>
          <w:rFonts w:ascii="Times New Roman" w:cs="Times New Roman" w:eastAsia="Times New Roman" w:hAnsi="Times New Roman"/>
          <w:sz w:val="17"/>
          <w:szCs w:val="17"/>
          <w:color w:val="auto"/>
        </w:rPr>
        <w:t>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7" w:lineRule="exact"/>
        <w:rPr>
          <w:sz w:val="20"/>
          <w:szCs w:val="20"/>
          <w:color w:val="auto"/>
        </w:rPr>
      </w:pPr>
    </w:p>
    <w:p>
      <w:pPr>
        <w:ind w:left="560" w:right="839" w:firstLine="337"/>
        <w:spacing w:after="0" w:line="257" w:lineRule="auto"/>
        <w:rPr>
          <w:sz w:val="20"/>
          <w:szCs w:val="20"/>
          <w:color w:val="auto"/>
        </w:rPr>
      </w:pPr>
      <w:r>
        <w:rPr>
          <w:rFonts w:ascii="Times New Roman" w:cs="Times New Roman" w:eastAsia="Times New Roman" w:hAnsi="Times New Roman"/>
          <w:sz w:val="17"/>
          <w:szCs w:val="17"/>
          <w:i w:val="1"/>
          <w:iCs w:val="1"/>
          <w:color w:val="auto"/>
        </w:rPr>
        <w:t>Undesignated Preferred Stock</w:t>
      </w:r>
      <w:r>
        <w:rPr>
          <w:rFonts w:ascii="Times New Roman" w:cs="Times New Roman" w:eastAsia="Times New Roman" w:hAnsi="Times New Roman"/>
          <w:sz w:val="17"/>
          <w:szCs w:val="17"/>
          <w:color w:val="auto"/>
        </w:rPr>
        <w:t>. The ability of our Board of Directors, without action by the stockholders,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68" w:lineRule="exact"/>
        <w:rPr>
          <w:sz w:val="20"/>
          <w:szCs w:val="20"/>
          <w:color w:val="auto"/>
        </w:rPr>
      </w:pPr>
    </w:p>
    <w:p>
      <w:pPr>
        <w:ind w:left="560" w:right="81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Stockholder Meetings</w:t>
      </w:r>
      <w:r>
        <w:rPr>
          <w:rFonts w:ascii="Times New Roman" w:cs="Times New Roman" w:eastAsia="Times New Roman" w:hAnsi="Times New Roman"/>
          <w:sz w:val="17"/>
          <w:szCs w:val="17"/>
          <w:color w:val="auto"/>
        </w:rPr>
        <w:t>. Our Bylaws provide that a special meeting of stockholders may be called only by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chairman of the board, chief executive officer or president (in the absence of a chief executive officer), or by a resolution adopted by a majority of our Board of Directors.</w:t>
      </w:r>
    </w:p>
    <w:p>
      <w:pPr>
        <w:spacing w:after="0" w:line="62" w:lineRule="exact"/>
        <w:rPr>
          <w:sz w:val="20"/>
          <w:szCs w:val="20"/>
          <w:color w:val="auto"/>
        </w:rPr>
      </w:pPr>
    </w:p>
    <w:p>
      <w:pPr>
        <w:ind w:left="560" w:right="55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Requirements for Advance Notification of Stockholder Nominations and Proposals</w:t>
      </w:r>
      <w:r>
        <w:rPr>
          <w:rFonts w:ascii="Times New Roman" w:cs="Times New Roman" w:eastAsia="Times New Roman" w:hAnsi="Times New Roman"/>
          <w:sz w:val="17"/>
          <w:szCs w:val="17"/>
          <w:color w:val="auto"/>
        </w:rPr>
        <w:t>. Our Bylaws establish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8" w:lineRule="exact"/>
        <w:rPr>
          <w:sz w:val="20"/>
          <w:szCs w:val="20"/>
          <w:color w:val="auto"/>
        </w:rPr>
      </w:pPr>
    </w:p>
    <w:p>
      <w:pPr>
        <w:ind w:left="560" w:right="75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Elimination of Stockholder Action by Written Consent</w:t>
      </w:r>
      <w:r>
        <w:rPr>
          <w:rFonts w:ascii="Times New Roman" w:cs="Times New Roman" w:eastAsia="Times New Roman" w:hAnsi="Times New Roman"/>
          <w:sz w:val="17"/>
          <w:szCs w:val="17"/>
          <w:color w:val="auto"/>
        </w:rPr>
        <w:t>. Our Charter eliminates the right of stockholders to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written consent without a meeting.</w:t>
      </w:r>
    </w:p>
    <w:p>
      <w:pPr>
        <w:spacing w:after="0" w:line="49" w:lineRule="exact"/>
        <w:rPr>
          <w:sz w:val="20"/>
          <w:szCs w:val="20"/>
          <w:color w:val="auto"/>
        </w:rPr>
      </w:pPr>
    </w:p>
    <w:p>
      <w:pPr>
        <w:ind w:left="560" w:right="61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Staggered Board</w:t>
      </w:r>
      <w:r>
        <w:rPr>
          <w:rFonts w:ascii="Times New Roman" w:cs="Times New Roman" w:eastAsia="Times New Roman" w:hAnsi="Times New Roman"/>
          <w:sz w:val="17"/>
          <w:szCs w:val="17"/>
          <w:color w:val="auto"/>
        </w:rPr>
        <w:t>. Our Board of Directors is divided into three classes. The directors in each class will serve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8" w:lineRule="exact"/>
        <w:rPr>
          <w:sz w:val="20"/>
          <w:szCs w:val="20"/>
          <w:color w:val="auto"/>
        </w:rPr>
      </w:pPr>
    </w:p>
    <w:p>
      <w:pPr>
        <w:jc w:val="both"/>
        <w:ind w:left="560" w:right="63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Removal of Directors</w:t>
      </w:r>
      <w:r>
        <w:rPr>
          <w:rFonts w:ascii="Times New Roman" w:cs="Times New Roman" w:eastAsia="Times New Roman" w:hAnsi="Times New Roman"/>
          <w:sz w:val="17"/>
          <w:szCs w:val="17"/>
          <w:color w:val="auto"/>
        </w:rPr>
        <w:t>. Our Charter provides that no member of our Board of Directors may be removed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68" w:lineRule="exact"/>
        <w:rPr>
          <w:sz w:val="20"/>
          <w:szCs w:val="20"/>
          <w:color w:val="auto"/>
        </w:rPr>
      </w:pPr>
    </w:p>
    <w:p>
      <w:pPr>
        <w:jc w:val="both"/>
        <w:ind w:left="560" w:right="75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Stockholders Not Entitled to Cumulative Voting</w:t>
      </w:r>
      <w:r>
        <w:rPr>
          <w:rFonts w:ascii="Times New Roman" w:cs="Times New Roman" w:eastAsia="Times New Roman" w:hAnsi="Times New Roman"/>
          <w:sz w:val="17"/>
          <w:szCs w:val="17"/>
          <w:color w:val="auto"/>
        </w:rPr>
        <w:t>. Our Charter does not permit stockholders to cumulate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8" w:lineRule="exact"/>
        <w:rPr>
          <w:sz w:val="20"/>
          <w:szCs w:val="20"/>
          <w:color w:val="auto"/>
        </w:rPr>
      </w:pPr>
    </w:p>
    <w:p>
      <w:pPr>
        <w:ind w:left="560" w:right="67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Delaware Anti-Takeover Statute</w:t>
      </w:r>
      <w:r>
        <w:rPr>
          <w:rFonts w:ascii="Times New Roman" w:cs="Times New Roman" w:eastAsia="Times New Roman" w:hAnsi="Times New Roman"/>
          <w:sz w:val="17"/>
          <w:szCs w:val="17"/>
          <w:color w:val="auto"/>
        </w:rPr>
        <w:t>. We are subject to Section 203 of the DGCL, which prohibits persons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5" w:lineRule="exact"/>
        <w:rPr>
          <w:sz w:val="20"/>
          <w:szCs w:val="20"/>
          <w:color w:val="auto"/>
        </w:rPr>
      </w:pPr>
    </w:p>
    <w:p>
      <w:pPr>
        <w:ind w:left="560" w:right="55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Choice of Forum</w:t>
      </w:r>
      <w:r>
        <w:rPr>
          <w:rFonts w:ascii="Times New Roman" w:cs="Times New Roman" w:eastAsia="Times New Roman" w:hAnsi="Times New Roman"/>
          <w:sz w:val="17"/>
          <w:szCs w:val="17"/>
          <w:color w:val="auto"/>
        </w:rPr>
        <w:t>. Our Charter provides that, unless we consent in writing to the selection of an alternative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Section 22 of the Securities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19" w:name="page20"/>
    <w:bookmarkEnd w:id="1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579"/>
        <w:spacing w:after="0" w:line="258" w:lineRule="auto"/>
        <w:rPr>
          <w:sz w:val="20"/>
          <w:szCs w:val="20"/>
          <w:color w:val="auto"/>
        </w:rPr>
      </w:pPr>
      <w:r>
        <w:rPr>
          <w:rFonts w:ascii="Times New Roman" w:cs="Times New Roman" w:eastAsia="Times New Roman" w:hAnsi="Times New Roman"/>
          <w:sz w:val="17"/>
          <w:szCs w:val="17"/>
          <w:color w:val="auto"/>
        </w:rPr>
        <w:t>Act generally creates concurrent jurisdiction for state and federal courts over suits brought to enforce any duty or liability created by the Securities Act or the rules and regulations thereunder. Section 27 of the Exchange Act creates exclusive federal jurisdiction over all suits brought to enforce any duty or liability created by the Exchange Act or the rules and regulations thereunder.</w:t>
      </w:r>
    </w:p>
    <w:p>
      <w:pPr>
        <w:spacing w:after="0" w:line="67" w:lineRule="exact"/>
        <w:rPr>
          <w:sz w:val="20"/>
          <w:szCs w:val="20"/>
          <w:color w:val="auto"/>
        </w:rPr>
      </w:pPr>
    </w:p>
    <w:p>
      <w:pPr>
        <w:ind w:left="560" w:right="63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Amendment of Charter</w:t>
      </w:r>
      <w:r>
        <w:rPr>
          <w:rFonts w:ascii="Times New Roman" w:cs="Times New Roman" w:eastAsia="Times New Roman" w:hAnsi="Times New Roman"/>
          <w:sz w:val="17"/>
          <w:szCs w:val="17"/>
          <w:color w:val="auto"/>
        </w:rPr>
        <w:t>. The amendment of any of the above provisions in our Charter, except for the provision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2" w:lineRule="exact"/>
        <w:rPr>
          <w:sz w:val="20"/>
          <w:szCs w:val="20"/>
          <w:color w:val="auto"/>
        </w:rPr>
      </w:pPr>
    </w:p>
    <w:p>
      <w:pPr>
        <w:ind w:left="560" w:right="639" w:firstLine="337"/>
        <w:spacing w:after="0" w:line="254" w:lineRule="auto"/>
        <w:rPr>
          <w:sz w:val="20"/>
          <w:szCs w:val="20"/>
          <w:color w:val="auto"/>
        </w:rPr>
      </w:pPr>
      <w:r>
        <w:rPr>
          <w:rFonts w:ascii="Times New Roman" w:cs="Times New Roman" w:eastAsia="Times New Roman" w:hAnsi="Times New Roman"/>
          <w:sz w:val="17"/>
          <w:szCs w:val="17"/>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2" w:lineRule="exact"/>
        <w:rPr>
          <w:sz w:val="20"/>
          <w:szCs w:val="20"/>
          <w:color w:val="auto"/>
        </w:rPr>
      </w:pPr>
    </w:p>
    <w:p>
      <w:pPr>
        <w:jc w:val="both"/>
        <w:ind w:left="560" w:right="599" w:firstLine="337"/>
        <w:spacing w:after="0" w:line="262" w:lineRule="auto"/>
        <w:rPr>
          <w:sz w:val="20"/>
          <w:szCs w:val="20"/>
          <w:color w:val="auto"/>
        </w:rPr>
      </w:pPr>
      <w:r>
        <w:rPr>
          <w:rFonts w:ascii="Times New Roman" w:cs="Times New Roman" w:eastAsia="Times New Roman" w:hAnsi="Times New Roman"/>
          <w:sz w:val="17"/>
          <w:szCs w:val="17"/>
          <w:color w:val="auto"/>
        </w:rPr>
        <w:t>The transfer agent and registrar for our Common Stock, Series A Preferred Stock, and Series B Preferred Stock is Equiniti Trust Company, LLC. The transfer agent’s address is 6201 15th Avenue, Brooklyn, New York 11219, and its telephone number is (800) 937-5449.</w:t>
      </w:r>
    </w:p>
    <w:p>
      <w:pPr>
        <w:spacing w:after="0" w:line="30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Exchange Listing</w:t>
      </w:r>
    </w:p>
    <w:p>
      <w:pPr>
        <w:spacing w:after="0" w:line="112" w:lineRule="exact"/>
        <w:rPr>
          <w:sz w:val="20"/>
          <w:szCs w:val="20"/>
          <w:color w:val="auto"/>
        </w:rPr>
      </w:pPr>
    </w:p>
    <w:p>
      <w:pPr>
        <w:ind w:left="560" w:right="659" w:firstLine="337"/>
        <w:spacing w:after="0" w:line="276" w:lineRule="auto"/>
        <w:rPr>
          <w:sz w:val="20"/>
          <w:szCs w:val="20"/>
          <w:color w:val="auto"/>
        </w:rPr>
      </w:pPr>
      <w:r>
        <w:rPr>
          <w:rFonts w:ascii="Times New Roman" w:cs="Times New Roman" w:eastAsia="Times New Roman" w:hAnsi="Times New Roman"/>
          <w:sz w:val="17"/>
          <w:szCs w:val="17"/>
          <w:color w:val="auto"/>
        </w:rPr>
        <w:t>Our Common Stock is listed on the Nasdaq Global Market under the symbol “RNAC.” We have not applied to list the Series A Preferred Stock or the Series B Preferred Stock on any national securities exchange.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0" w:name="page21"/>
    <w:bookmarkEnd w:id="2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112" w:lineRule="exact"/>
        <w:rPr>
          <w:sz w:val="20"/>
          <w:szCs w:val="20"/>
          <w:color w:val="auto"/>
        </w:rPr>
      </w:pPr>
    </w:p>
    <w:p>
      <w:pPr>
        <w:ind w:left="560" w:right="599" w:firstLine="337"/>
        <w:spacing w:after="0" w:line="255"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76" w:lineRule="exact"/>
        <w:rPr>
          <w:sz w:val="20"/>
          <w:szCs w:val="20"/>
          <w:color w:val="auto"/>
        </w:rPr>
      </w:pPr>
    </w:p>
    <w:p>
      <w:pPr>
        <w:ind w:left="560" w:right="639" w:firstLine="337"/>
        <w:spacing w:after="0" w:line="258" w:lineRule="auto"/>
        <w:rPr>
          <w:sz w:val="20"/>
          <w:szCs w:val="20"/>
          <w:color w:val="auto"/>
        </w:rPr>
      </w:pPr>
      <w:r>
        <w:rPr>
          <w:rFonts w:ascii="Times New Roman" w:cs="Times New Roman" w:eastAsia="Times New Roman" w:hAnsi="Times New Roman"/>
          <w:sz w:val="17"/>
          <w:szCs w:val="17"/>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71" w:lineRule="exact"/>
        <w:rPr>
          <w:sz w:val="20"/>
          <w:szCs w:val="20"/>
          <w:color w:val="auto"/>
        </w:rPr>
      </w:pPr>
    </w:p>
    <w:p>
      <w:pPr>
        <w:ind w:left="560" w:right="619" w:firstLine="337"/>
        <w:spacing w:after="0" w:line="254" w:lineRule="auto"/>
        <w:rPr>
          <w:sz w:val="20"/>
          <w:szCs w:val="20"/>
          <w:color w:val="auto"/>
        </w:rPr>
      </w:pPr>
      <w:r>
        <w:rPr>
          <w:rFonts w:ascii="Times New Roman" w:cs="Times New Roman" w:eastAsia="Times New Roman" w:hAnsi="Times New Roman"/>
          <w:sz w:val="17"/>
          <w:szCs w:val="17"/>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76" w:lineRule="exact"/>
        <w:rPr>
          <w:sz w:val="20"/>
          <w:szCs w:val="20"/>
          <w:color w:val="auto"/>
        </w:rPr>
      </w:pPr>
    </w:p>
    <w:p>
      <w:pPr>
        <w:ind w:left="560" w:right="779" w:firstLine="337"/>
        <w:spacing w:after="0" w:line="276" w:lineRule="auto"/>
        <w:rPr>
          <w:sz w:val="20"/>
          <w:szCs w:val="20"/>
          <w:color w:val="auto"/>
        </w:rPr>
      </w:pPr>
      <w:r>
        <w:rPr>
          <w:rFonts w:ascii="Times New Roman" w:cs="Times New Roman" w:eastAsia="Times New Roman" w:hAnsi="Times New Roman"/>
          <w:sz w:val="17"/>
          <w:szCs w:val="17"/>
          <w:color w:val="auto"/>
        </w:rPr>
        <w:t>As used in this section only, “Cartesian,” “we,” “our” or “us” refer to Cartesian Therapeutics, Inc., excluding our subsidiaries, unless expressly stated or context otherwise requires.</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2" w:lineRule="exact"/>
        <w:rPr>
          <w:sz w:val="20"/>
          <w:szCs w:val="20"/>
          <w:color w:val="auto"/>
        </w:rPr>
      </w:pPr>
    </w:p>
    <w:p>
      <w:pPr>
        <w:ind w:left="560" w:right="559" w:firstLine="337"/>
        <w:spacing w:after="0" w:line="279" w:lineRule="auto"/>
        <w:rPr>
          <w:sz w:val="20"/>
          <w:szCs w:val="20"/>
          <w:color w:val="auto"/>
        </w:rPr>
      </w:pPr>
      <w:r>
        <w:rPr>
          <w:rFonts w:ascii="Times New Roman" w:cs="Times New Roman" w:eastAsia="Times New Roman" w:hAnsi="Times New Roman"/>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56" w:lineRule="exact"/>
        <w:rPr>
          <w:sz w:val="20"/>
          <w:szCs w:val="20"/>
          <w:color w:val="auto"/>
        </w:rPr>
      </w:pPr>
    </w:p>
    <w:p>
      <w:pPr>
        <w:jc w:val="both"/>
        <w:ind w:left="560" w:right="639" w:firstLine="337"/>
        <w:spacing w:after="0" w:line="258" w:lineRule="auto"/>
        <w:rPr>
          <w:sz w:val="20"/>
          <w:szCs w:val="20"/>
          <w:color w:val="auto"/>
        </w:rPr>
      </w:pPr>
      <w:r>
        <w:rPr>
          <w:rFonts w:ascii="Times New Roman" w:cs="Times New Roman" w:eastAsia="Times New Roman" w:hAnsi="Times New Roman"/>
          <w:sz w:val="17"/>
          <w:szCs w:val="17"/>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71" w:lineRule="exact"/>
        <w:rPr>
          <w:sz w:val="20"/>
          <w:szCs w:val="20"/>
          <w:color w:val="auto"/>
        </w:rPr>
      </w:pPr>
    </w:p>
    <w:p>
      <w:pPr>
        <w:ind w:left="1220" w:hanging="330"/>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ranking of the debt securities (including the terms of any subordination provisions);</w:t>
      </w:r>
    </w:p>
    <w:p>
      <w:pPr>
        <w:spacing w:after="0" w:line="108" w:lineRule="exact"/>
        <w:rPr>
          <w:rFonts w:ascii="Times New Roman" w:cs="Times New Roman" w:eastAsia="Times New Roman" w:hAnsi="Times New Roman"/>
          <w:sz w:val="17"/>
          <w:szCs w:val="17"/>
          <w:color w:val="auto"/>
        </w:rPr>
      </w:pPr>
    </w:p>
    <w:p>
      <w:pPr>
        <w:ind w:left="1220" w:right="1059" w:hanging="330"/>
        <w:spacing w:after="0" w:line="276"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(expressed as a percentage of the principal amount) at which we will sell the debt securities;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limit on the aggregate principal amount of the debt securities;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on which the principal of the securities of the series is payable;</w:t>
      </w:r>
    </w:p>
    <w:p>
      <w:pPr>
        <w:spacing w:after="0" w:line="108" w:lineRule="exact"/>
        <w:rPr>
          <w:rFonts w:ascii="Times New Roman" w:cs="Times New Roman" w:eastAsia="Times New Roman" w:hAnsi="Times New Roman"/>
          <w:sz w:val="17"/>
          <w:szCs w:val="17"/>
          <w:color w:val="auto"/>
        </w:rPr>
      </w:pPr>
    </w:p>
    <w:p>
      <w:pPr>
        <w:ind w:left="1220" w:right="699" w:hanging="330"/>
        <w:spacing w:after="0" w:line="255"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5" w:lineRule="exact"/>
        <w:rPr>
          <w:rFonts w:ascii="Times New Roman" w:cs="Times New Roman" w:eastAsia="Times New Roman" w:hAnsi="Times New Roman"/>
          <w:sz w:val="17"/>
          <w:szCs w:val="17"/>
          <w:color w:val="auto"/>
        </w:rPr>
      </w:pPr>
    </w:p>
    <w:p>
      <w:pPr>
        <w:ind w:left="1220" w:right="759" w:hanging="330"/>
        <w:spacing w:after="0" w:line="258"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1" w:lineRule="exact"/>
        <w:rPr>
          <w:rFonts w:ascii="Times New Roman" w:cs="Times New Roman" w:eastAsia="Times New Roman" w:hAnsi="Times New Roman"/>
          <w:sz w:val="17"/>
          <w:szCs w:val="17"/>
          <w:color w:val="auto"/>
        </w:rPr>
      </w:pPr>
    </w:p>
    <w:p>
      <w:pPr>
        <w:ind w:left="1220" w:right="739" w:hanging="330"/>
        <w:spacing w:after="0" w:line="276"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period or periods within which, the price or prices at which and the terms and conditions upon which we may redeem the debt securities;</w:t>
      </w:r>
    </w:p>
    <w:p>
      <w:pPr>
        <w:spacing w:after="0" w:line="56" w:lineRule="exact"/>
        <w:rPr>
          <w:rFonts w:ascii="Times New Roman" w:cs="Times New Roman" w:eastAsia="Times New Roman" w:hAnsi="Times New Roman"/>
          <w:sz w:val="17"/>
          <w:szCs w:val="17"/>
          <w:color w:val="auto"/>
        </w:rPr>
      </w:pPr>
    </w:p>
    <w:p>
      <w:pPr>
        <w:ind w:left="1220" w:right="639" w:hanging="330"/>
        <w:spacing w:after="0" w:line="258" w:lineRule="auto"/>
        <w:tabs>
          <w:tab w:leader="none" w:pos="12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1" w:name="page22"/>
    <w:bookmarkEnd w:id="2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1220" w:right="73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dates on which and the price or prices at which we will repurchase debt securities at the option of the holders of debt securities and other detailed terms and provisions of these repurchase obligations;</w:t>
      </w:r>
    </w:p>
    <w:p>
      <w:pPr>
        <w:spacing w:after="0" w:line="56" w:lineRule="exact"/>
        <w:rPr>
          <w:rFonts w:ascii="Times New Roman" w:cs="Times New Roman" w:eastAsia="Times New Roman" w:hAnsi="Times New Roman"/>
          <w:sz w:val="17"/>
          <w:szCs w:val="17"/>
          <w:color w:val="auto"/>
        </w:rPr>
      </w:pPr>
    </w:p>
    <w:p>
      <w:pPr>
        <w:ind w:left="1220" w:right="77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in which the debt securities will be issued, if other than denominations of $1,000 and any integral multiple thereof;</w:t>
      </w:r>
    </w:p>
    <w:p>
      <w:pPr>
        <w:spacing w:after="0" w:line="56" w:lineRule="exact"/>
        <w:rPr>
          <w:rFonts w:ascii="Times New Roman" w:cs="Times New Roman" w:eastAsia="Times New Roman" w:hAnsi="Times New Roman"/>
          <w:sz w:val="17"/>
          <w:szCs w:val="17"/>
          <w:color w:val="auto"/>
        </w:rPr>
      </w:pPr>
    </w:p>
    <w:p>
      <w:pPr>
        <w:ind w:left="1220" w:right="125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the form of certificated debt securities or global debt securities;</w:t>
      </w:r>
    </w:p>
    <w:p>
      <w:pPr>
        <w:spacing w:after="0" w:line="56" w:lineRule="exact"/>
        <w:rPr>
          <w:rFonts w:ascii="Times New Roman" w:cs="Times New Roman" w:eastAsia="Times New Roman" w:hAnsi="Times New Roman"/>
          <w:sz w:val="17"/>
          <w:szCs w:val="17"/>
          <w:color w:val="auto"/>
        </w:rPr>
      </w:pPr>
    </w:p>
    <w:p>
      <w:pPr>
        <w:ind w:left="1220" w:right="103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principal amount of the debt securities payable upon declaration of acceleration of the maturity date, if other than the principal amount;</w:t>
      </w:r>
    </w:p>
    <w:p>
      <w:pPr>
        <w:spacing w:after="0" w:line="56" w:lineRule="exact"/>
        <w:rPr>
          <w:rFonts w:ascii="Times New Roman" w:cs="Times New Roman" w:eastAsia="Times New Roman" w:hAnsi="Times New Roman"/>
          <w:sz w:val="17"/>
          <w:szCs w:val="17"/>
          <w:color w:val="auto"/>
        </w:rPr>
      </w:pPr>
    </w:p>
    <w:p>
      <w:pPr>
        <w:ind w:left="1220" w:right="599" w:hanging="330"/>
        <w:spacing w:after="0" w:line="262"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8" w:lineRule="exact"/>
        <w:rPr>
          <w:rFonts w:ascii="Times New Roman" w:cs="Times New Roman" w:eastAsia="Times New Roman" w:hAnsi="Times New Roman"/>
          <w:sz w:val="17"/>
          <w:szCs w:val="17"/>
          <w:color w:val="auto"/>
        </w:rPr>
      </w:pPr>
    </w:p>
    <w:p>
      <w:pPr>
        <w:ind w:left="1220" w:right="79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of the currency, currencies or currency units in which payment of principal of, premium and interest on the debt securities will be made;</w:t>
      </w:r>
    </w:p>
    <w:p>
      <w:pPr>
        <w:spacing w:after="0" w:line="56" w:lineRule="exact"/>
        <w:rPr>
          <w:rFonts w:ascii="Times New Roman" w:cs="Times New Roman" w:eastAsia="Times New Roman" w:hAnsi="Times New Roman"/>
          <w:sz w:val="17"/>
          <w:szCs w:val="17"/>
          <w:color w:val="auto"/>
        </w:rPr>
      </w:pPr>
    </w:p>
    <w:p>
      <w:pPr>
        <w:ind w:left="1220" w:right="979" w:hanging="330"/>
        <w:spacing w:after="0" w:line="262"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8" w:lineRule="exact"/>
        <w:rPr>
          <w:rFonts w:ascii="Times New Roman" w:cs="Times New Roman" w:eastAsia="Times New Roman" w:hAnsi="Times New Roman"/>
          <w:sz w:val="17"/>
          <w:szCs w:val="17"/>
          <w:color w:val="auto"/>
        </w:rPr>
      </w:pPr>
    </w:p>
    <w:p>
      <w:pPr>
        <w:ind w:left="1220" w:right="899" w:hanging="330"/>
        <w:spacing w:after="0" w:line="258"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71"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provisions relating to any security provided for the debt securities;</w:t>
      </w:r>
    </w:p>
    <w:p>
      <w:pPr>
        <w:spacing w:after="0" w:line="108" w:lineRule="exact"/>
        <w:rPr>
          <w:rFonts w:ascii="Times New Roman" w:cs="Times New Roman" w:eastAsia="Times New Roman" w:hAnsi="Times New Roman"/>
          <w:sz w:val="17"/>
          <w:szCs w:val="17"/>
          <w:color w:val="auto"/>
        </w:rPr>
      </w:pPr>
    </w:p>
    <w:p>
      <w:pPr>
        <w:ind w:left="1220" w:right="599" w:hanging="330"/>
        <w:spacing w:after="0" w:line="262"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8" w:lineRule="exact"/>
        <w:rPr>
          <w:rFonts w:ascii="Times New Roman" w:cs="Times New Roman" w:eastAsia="Times New Roman" w:hAnsi="Times New Roman"/>
          <w:sz w:val="17"/>
          <w:szCs w:val="17"/>
          <w:color w:val="auto"/>
        </w:rPr>
      </w:pPr>
    </w:p>
    <w:p>
      <w:pPr>
        <w:ind w:left="1220" w:right="59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 to, deletion of or change in the covenants described in this prospectus or in the indenture with respect to the debt securities;</w:t>
      </w:r>
    </w:p>
    <w:p>
      <w:pPr>
        <w:spacing w:after="0" w:line="56" w:lineRule="exact"/>
        <w:rPr>
          <w:rFonts w:ascii="Times New Roman" w:cs="Times New Roman" w:eastAsia="Times New Roman" w:hAnsi="Times New Roman"/>
          <w:sz w:val="17"/>
          <w:szCs w:val="17"/>
          <w:color w:val="auto"/>
        </w:rPr>
      </w:pPr>
    </w:p>
    <w:p>
      <w:pPr>
        <w:ind w:left="1220" w:right="91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depositaries, interest rate calculation agents, exchange rate calculation agents or other agents with respect to the debt securities;</w:t>
      </w:r>
    </w:p>
    <w:p>
      <w:pPr>
        <w:spacing w:after="0" w:line="56" w:lineRule="exact"/>
        <w:rPr>
          <w:rFonts w:ascii="Times New Roman" w:cs="Times New Roman" w:eastAsia="Times New Roman" w:hAnsi="Times New Roman"/>
          <w:sz w:val="17"/>
          <w:szCs w:val="17"/>
          <w:color w:val="auto"/>
        </w:rPr>
      </w:pPr>
    </w:p>
    <w:p>
      <w:pPr>
        <w:jc w:val="both"/>
        <w:ind w:left="1220" w:right="659" w:hanging="330"/>
        <w:spacing w:after="0" w:line="258"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71" w:lineRule="exact"/>
        <w:rPr>
          <w:rFonts w:ascii="Times New Roman" w:cs="Times New Roman" w:eastAsia="Times New Roman" w:hAnsi="Times New Roman"/>
          <w:sz w:val="17"/>
          <w:szCs w:val="17"/>
          <w:color w:val="auto"/>
        </w:rPr>
      </w:pPr>
    </w:p>
    <w:p>
      <w:pPr>
        <w:ind w:left="1220" w:right="939" w:hanging="330"/>
        <w:spacing w:after="0" w:line="262"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8" w:lineRule="exact"/>
        <w:rPr>
          <w:rFonts w:ascii="Times New Roman" w:cs="Times New Roman" w:eastAsia="Times New Roman" w:hAnsi="Times New Roman"/>
          <w:sz w:val="17"/>
          <w:szCs w:val="17"/>
          <w:color w:val="auto"/>
        </w:rPr>
      </w:pPr>
    </w:p>
    <w:p>
      <w:pPr>
        <w:ind w:left="1220" w:right="619" w:hanging="330"/>
        <w:spacing w:after="0" w:line="276" w:lineRule="auto"/>
        <w:tabs>
          <w:tab w:leader="none" w:pos="12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any of our direct or indirect subsidiaries will guarantee the debt securities of that series, including the terms of subordination, if any, of such guarantees. (Section 2.2)</w:t>
      </w:r>
    </w:p>
    <w:p>
      <w:pPr>
        <w:spacing w:after="0" w:line="57" w:lineRule="exact"/>
        <w:rPr>
          <w:sz w:val="20"/>
          <w:szCs w:val="20"/>
          <w:color w:val="auto"/>
        </w:rPr>
      </w:pPr>
    </w:p>
    <w:p>
      <w:pPr>
        <w:ind w:left="560" w:right="679" w:firstLine="337"/>
        <w:spacing w:after="0" w:line="258" w:lineRule="auto"/>
        <w:rPr>
          <w:sz w:val="20"/>
          <w:szCs w:val="20"/>
          <w:color w:val="auto"/>
        </w:rPr>
      </w:pPr>
      <w:r>
        <w:rPr>
          <w:rFonts w:ascii="Times New Roman" w:cs="Times New Roman" w:eastAsia="Times New Roman" w:hAnsi="Times New Roman"/>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71" w:lineRule="exact"/>
        <w:rPr>
          <w:sz w:val="20"/>
          <w:szCs w:val="20"/>
          <w:color w:val="auto"/>
        </w:rPr>
      </w:pPr>
    </w:p>
    <w:p>
      <w:pPr>
        <w:ind w:left="560" w:right="559" w:firstLine="337"/>
        <w:spacing w:after="0" w:line="254" w:lineRule="auto"/>
        <w:rPr>
          <w:sz w:val="20"/>
          <w:szCs w:val="20"/>
          <w:color w:val="auto"/>
        </w:rPr>
      </w:pPr>
      <w:r>
        <w:rPr>
          <w:rFonts w:ascii="Times New Roman" w:cs="Times New Roman" w:eastAsia="Times New Roman" w:hAnsi="Times New Roman"/>
          <w:sz w:val="17"/>
          <w:szCs w:val="17"/>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2" w:name="page23"/>
    <w:bookmarkEnd w:id="2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Transfer and Exchange</w:t>
      </w:r>
    </w:p>
    <w:p>
      <w:pPr>
        <w:spacing w:after="0" w:line="112" w:lineRule="exact"/>
        <w:rPr>
          <w:sz w:val="20"/>
          <w:szCs w:val="20"/>
          <w:color w:val="auto"/>
        </w:rPr>
      </w:pPr>
    </w:p>
    <w:p>
      <w:pPr>
        <w:ind w:left="560" w:right="659" w:firstLine="337"/>
        <w:spacing w:after="0" w:line="273" w:lineRule="auto"/>
        <w:rPr>
          <w:sz w:val="20"/>
          <w:szCs w:val="20"/>
          <w:color w:val="auto"/>
        </w:rPr>
      </w:pPr>
      <w:r>
        <w:rPr>
          <w:rFonts w:ascii="Times New Roman" w:cs="Times New Roman" w:eastAsia="Times New Roman" w:hAnsi="Times New Roman"/>
          <w:sz w:val="16"/>
          <w:szCs w:val="16"/>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w:t>
      </w:r>
      <w:r>
        <w:rPr>
          <w:rFonts w:ascii="Times New Roman" w:cs="Times New Roman" w:eastAsia="Times New Roman" w:hAnsi="Times New Roman"/>
          <w:sz w:val="16"/>
          <w:szCs w:val="16"/>
          <w:i w:val="1"/>
          <w:iCs w:val="1"/>
          <w:color w:val="auto"/>
        </w:rPr>
        <w:t>Global Debt Securities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Book-Entry System</w:t>
      </w:r>
      <w:r>
        <w:rPr>
          <w:rFonts w:ascii="Times New Roman" w:cs="Times New Roman" w:eastAsia="Times New Roman" w:hAnsi="Times New Roman"/>
          <w:sz w:val="16"/>
          <w:szCs w:val="16"/>
          <w:color w:val="auto"/>
        </w:rPr>
        <w:t>” below, book-entry debt securities will not be issuable in certificated form.</w:t>
      </w:r>
    </w:p>
    <w:p>
      <w:pPr>
        <w:spacing w:after="0" w:line="57" w:lineRule="exact"/>
        <w:rPr>
          <w:sz w:val="20"/>
          <w:szCs w:val="20"/>
          <w:color w:val="auto"/>
        </w:rPr>
      </w:pPr>
    </w:p>
    <w:p>
      <w:pPr>
        <w:ind w:left="560" w:right="55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Certificated Debt Securities</w:t>
      </w:r>
      <w:r>
        <w:rPr>
          <w:rFonts w:ascii="Times New Roman" w:cs="Times New Roman" w:eastAsia="Times New Roman" w:hAnsi="Times New Roman"/>
          <w:sz w:val="17"/>
          <w:szCs w:val="17"/>
          <w:color w:val="auto"/>
        </w:rPr>
        <w:t>. You may transfer or exchange certificated debt securities at any office we maintain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72" w:lineRule="exact"/>
        <w:rPr>
          <w:sz w:val="20"/>
          <w:szCs w:val="20"/>
          <w:color w:val="auto"/>
        </w:rPr>
      </w:pPr>
    </w:p>
    <w:p>
      <w:pPr>
        <w:ind w:left="560" w:right="639" w:firstLine="337"/>
        <w:spacing w:after="0" w:line="258" w:lineRule="auto"/>
        <w:rPr>
          <w:sz w:val="20"/>
          <w:szCs w:val="20"/>
          <w:color w:val="auto"/>
        </w:rPr>
      </w:pPr>
      <w:r>
        <w:rPr>
          <w:rFonts w:ascii="Times New Roman" w:cs="Times New Roman" w:eastAsia="Times New Roman" w:hAnsi="Times New Roman"/>
          <w:sz w:val="17"/>
          <w:szCs w:val="17"/>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67" w:lineRule="exact"/>
        <w:rPr>
          <w:sz w:val="20"/>
          <w:szCs w:val="20"/>
          <w:color w:val="auto"/>
        </w:rPr>
      </w:pPr>
    </w:p>
    <w:p>
      <w:pPr>
        <w:ind w:left="560" w:right="75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Global Debt Securities and Book-Entry System</w:t>
      </w:r>
      <w:r>
        <w:rPr>
          <w:rFonts w:ascii="Times New Roman" w:cs="Times New Roman" w:eastAsia="Times New Roman" w:hAnsi="Times New Roman"/>
          <w:sz w:val="17"/>
          <w:szCs w:val="17"/>
          <w:color w:val="auto"/>
        </w:rPr>
        <w:t>. Each global debt security representing book-entry 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will be deposited with, or on behalf of, the Depositary, and registered in the name of the Depositary or a nominee of the Depositary. Please see “</w:t>
      </w:r>
      <w:r>
        <w:rPr>
          <w:rFonts w:ascii="Times New Roman" w:cs="Times New Roman" w:eastAsia="Times New Roman" w:hAnsi="Times New Roman"/>
          <w:sz w:val="17"/>
          <w:szCs w:val="17"/>
          <w:i w:val="1"/>
          <w:iCs w:val="1"/>
          <w:color w:val="auto"/>
        </w:rPr>
        <w:t>Global Securities</w:t>
      </w:r>
      <w:r>
        <w:rPr>
          <w:rFonts w:ascii="Times New Roman" w:cs="Times New Roman" w:eastAsia="Times New Roman" w:hAnsi="Times New Roman"/>
          <w:sz w:val="17"/>
          <w:szCs w:val="17"/>
          <w:color w:val="auto"/>
        </w:rPr>
        <w:t>.”</w:t>
      </w:r>
    </w:p>
    <w:p>
      <w:pPr>
        <w:spacing w:after="0" w:line="2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Covenants</w:t>
      </w:r>
    </w:p>
    <w:p>
      <w:pPr>
        <w:spacing w:after="0" w:line="112" w:lineRule="exact"/>
        <w:rPr>
          <w:sz w:val="20"/>
          <w:szCs w:val="20"/>
          <w:color w:val="auto"/>
        </w:rPr>
      </w:pPr>
    </w:p>
    <w:p>
      <w:pPr>
        <w:ind w:left="560" w:right="779" w:firstLine="337"/>
        <w:spacing w:after="0" w:line="276" w:lineRule="auto"/>
        <w:rPr>
          <w:sz w:val="20"/>
          <w:szCs w:val="20"/>
          <w:color w:val="auto"/>
        </w:rPr>
      </w:pPr>
      <w:r>
        <w:rPr>
          <w:rFonts w:ascii="Times New Roman" w:cs="Times New Roman" w:eastAsia="Times New Roman" w:hAnsi="Times New Roman"/>
          <w:sz w:val="17"/>
          <w:szCs w:val="17"/>
          <w:color w:val="auto"/>
        </w:rPr>
        <w:t>We will set forth in the applicable prospectus supplement any restrictive covenants applicable to any issue of debt securities. (Article IV)</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No Protection in the Event of a Change of Control</w:t>
      </w:r>
    </w:p>
    <w:p>
      <w:pPr>
        <w:spacing w:after="0" w:line="112" w:lineRule="exact"/>
        <w:rPr>
          <w:sz w:val="20"/>
          <w:szCs w:val="20"/>
          <w:color w:val="auto"/>
        </w:rPr>
      </w:pPr>
    </w:p>
    <w:p>
      <w:pPr>
        <w:ind w:left="560" w:right="699" w:firstLine="337"/>
        <w:spacing w:after="0" w:line="258" w:lineRule="auto"/>
        <w:rPr>
          <w:sz w:val="20"/>
          <w:szCs w:val="20"/>
          <w:color w:val="auto"/>
        </w:rPr>
      </w:pPr>
      <w:r>
        <w:rPr>
          <w:rFonts w:ascii="Times New Roman" w:cs="Times New Roman" w:eastAsia="Times New Roman" w:hAnsi="Times New Roman"/>
          <w:sz w:val="17"/>
          <w:szCs w:val="17"/>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Consolidation, Merger and Sale of Assets</w:t>
      </w:r>
    </w:p>
    <w:p>
      <w:pPr>
        <w:spacing w:after="0" w:line="112" w:lineRule="exact"/>
        <w:rPr>
          <w:sz w:val="20"/>
          <w:szCs w:val="20"/>
          <w:color w:val="auto"/>
        </w:rPr>
      </w:pPr>
    </w:p>
    <w:p>
      <w:pPr>
        <w:ind w:left="560" w:right="839" w:firstLine="337"/>
        <w:spacing w:after="0" w:line="276" w:lineRule="auto"/>
        <w:rPr>
          <w:sz w:val="20"/>
          <w:szCs w:val="20"/>
          <w:color w:val="auto"/>
        </w:rPr>
      </w:pPr>
      <w:r>
        <w:rPr>
          <w:rFonts w:ascii="Times New Roman" w:cs="Times New Roman" w:eastAsia="Times New Roman" w:hAnsi="Times New Roman"/>
          <w:sz w:val="17"/>
          <w:szCs w:val="17"/>
          <w:color w:val="auto"/>
        </w:rPr>
        <w:t>We may not consolidate with or merge with or into, or convey, transfer or lease all or substantially all of our properties and assets to any person (a “successor person”) unless:</w:t>
      </w:r>
    </w:p>
    <w:p>
      <w:pPr>
        <w:spacing w:after="0" w:line="57" w:lineRule="exact"/>
        <w:rPr>
          <w:sz w:val="20"/>
          <w:szCs w:val="20"/>
          <w:color w:val="auto"/>
        </w:rPr>
      </w:pPr>
    </w:p>
    <w:p>
      <w:pPr>
        <w:ind w:left="1220" w:right="619" w:hanging="330"/>
        <w:spacing w:after="0" w:line="262" w:lineRule="auto"/>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the surviving corporation or the successor person (if other than Cartesian) is a corporation organized and validly existing under the laws of any U.S. domestic jurisdiction and expressly assumes our obligations on the debt securities and under the indenture; and</w:t>
      </w:r>
    </w:p>
    <w:p>
      <w:pPr>
        <w:spacing w:after="0" w:line="68" w:lineRule="exact"/>
        <w:rPr>
          <w:rFonts w:ascii="Times New Roman" w:cs="Times New Roman" w:eastAsia="Times New Roman" w:hAnsi="Times New Roman"/>
          <w:sz w:val="17"/>
          <w:szCs w:val="17"/>
          <w:color w:val="auto"/>
        </w:rPr>
      </w:pPr>
    </w:p>
    <w:p>
      <w:pPr>
        <w:ind w:left="1220" w:right="679" w:hanging="330"/>
        <w:spacing w:after="0" w:line="276" w:lineRule="auto"/>
        <w:tabs>
          <w:tab w:leader="none" w:pos="12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w:t>
      </w:r>
    </w:p>
    <w:p>
      <w:pPr>
        <w:spacing w:after="0" w:line="57" w:lineRule="exact"/>
        <w:rPr>
          <w:sz w:val="20"/>
          <w:szCs w:val="20"/>
          <w:color w:val="auto"/>
        </w:rPr>
      </w:pPr>
    </w:p>
    <w:p>
      <w:pPr>
        <w:ind w:left="560" w:right="579" w:firstLine="337"/>
        <w:spacing w:after="0" w:line="276" w:lineRule="auto"/>
        <w:rPr>
          <w:sz w:val="20"/>
          <w:szCs w:val="20"/>
          <w:color w:val="auto"/>
        </w:rPr>
      </w:pPr>
      <w:r>
        <w:rPr>
          <w:rFonts w:ascii="Times New Roman" w:cs="Times New Roman" w:eastAsia="Times New Roman" w:hAnsi="Times New Roman"/>
          <w:sz w:val="17"/>
          <w:szCs w:val="17"/>
          <w:color w:val="auto"/>
        </w:rPr>
        <w:t>Notwithstanding the above, any of our subsidiaries may consolidate with, merge into or transfer all or part of its properties to us. (Section 5.1)</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Events of Default</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“Event of Default” means with respect to any series of debt securities, any of the following:</w:t>
      </w:r>
    </w:p>
    <w:p>
      <w:pPr>
        <w:spacing w:after="0" w:line="108" w:lineRule="exact"/>
        <w:rPr>
          <w:sz w:val="20"/>
          <w:szCs w:val="20"/>
          <w:color w:val="auto"/>
        </w:rPr>
      </w:pPr>
    </w:p>
    <w:p>
      <w:pPr>
        <w:ind w:left="1220" w:right="679" w:hanging="330"/>
        <w:spacing w:after="0" w:line="286" w:lineRule="auto"/>
        <w:tabs>
          <w:tab w:leader="none" w:pos="12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51" w:lineRule="exact"/>
        <w:rPr>
          <w:rFonts w:ascii="Times New Roman" w:cs="Times New Roman" w:eastAsia="Times New Roman" w:hAnsi="Times New Roman"/>
          <w:sz w:val="16"/>
          <w:szCs w:val="16"/>
          <w:color w:val="auto"/>
        </w:rPr>
      </w:pPr>
    </w:p>
    <w:p>
      <w:pPr>
        <w:ind w:left="1220" w:hanging="330"/>
        <w:spacing w:after="0"/>
        <w:tabs>
          <w:tab w:leader="none" w:pos="12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principal of any security of that series at its maturity;</w:t>
      </w:r>
    </w:p>
    <w:p>
      <w:pPr>
        <w:spacing w:after="0" w:line="108" w:lineRule="exact"/>
        <w:rPr>
          <w:rFonts w:ascii="Times New Roman" w:cs="Times New Roman" w:eastAsia="Times New Roman" w:hAnsi="Times New Roman"/>
          <w:sz w:val="17"/>
          <w:szCs w:val="17"/>
          <w:color w:val="auto"/>
        </w:rPr>
      </w:pPr>
    </w:p>
    <w:p>
      <w:pPr>
        <w:ind w:left="1220" w:right="599" w:hanging="330"/>
        <w:spacing w:after="0" w:line="276" w:lineRule="auto"/>
        <w:tabs>
          <w:tab w:leader="none" w:pos="12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other covenant or warranty by us in the indenture (other than a covenant or warranty that has been included in the indenture solely for the benefit of a series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3" w:name="page24"/>
    <w:bookmarkEnd w:id="2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1220" w:right="619"/>
        <w:spacing w:after="0" w:line="258" w:lineRule="auto"/>
        <w:rPr>
          <w:sz w:val="20"/>
          <w:szCs w:val="20"/>
          <w:color w:val="auto"/>
        </w:rPr>
      </w:pPr>
      <w:r>
        <w:rPr>
          <w:rFonts w:ascii="Times New Roman" w:cs="Times New Roman" w:eastAsia="Times New Roman" w:hAnsi="Times New Roman"/>
          <w:sz w:val="17"/>
          <w:szCs w:val="17"/>
          <w:color w:val="auto"/>
        </w:rPr>
        <w:t>debt securities other than that series), which default continues uncured for a period of 60 days after we receive written notice from the trustee or Cartesian and the trustee receive written notice from the holders of not less than 25% in principal amount of the outstanding debt securities of that series as provided in the indenture;</w:t>
      </w:r>
    </w:p>
    <w:p>
      <w:pPr>
        <w:spacing w:after="0" w:line="71" w:lineRule="exact"/>
        <w:rPr>
          <w:sz w:val="20"/>
          <w:szCs w:val="20"/>
          <w:color w:val="auto"/>
        </w:rPr>
      </w:pPr>
    </w:p>
    <w:p>
      <w:pPr>
        <w:ind w:left="1220" w:hanging="330"/>
        <w:spacing w:after="0"/>
        <w:tabs>
          <w:tab w:leader="none" w:pos="12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voluntary or involuntary events of bankruptcy, insolvency or reorganization of Cartesian;</w:t>
      </w:r>
    </w:p>
    <w:p>
      <w:pPr>
        <w:spacing w:after="0" w:line="108" w:lineRule="exact"/>
        <w:rPr>
          <w:rFonts w:ascii="Times New Roman" w:cs="Times New Roman" w:eastAsia="Times New Roman" w:hAnsi="Times New Roman"/>
          <w:sz w:val="17"/>
          <w:szCs w:val="17"/>
          <w:color w:val="auto"/>
        </w:rPr>
      </w:pPr>
    </w:p>
    <w:p>
      <w:pPr>
        <w:ind w:left="1220" w:right="839" w:hanging="330"/>
        <w:spacing w:after="0" w:line="276" w:lineRule="auto"/>
        <w:tabs>
          <w:tab w:leader="none" w:pos="12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debt securities of that series that is described in the applicable prospectus supplement. (Section 6.1)</w:t>
      </w:r>
    </w:p>
    <w:p>
      <w:pPr>
        <w:spacing w:after="0" w:line="57" w:lineRule="exact"/>
        <w:rPr>
          <w:sz w:val="20"/>
          <w:szCs w:val="20"/>
          <w:color w:val="auto"/>
        </w:rPr>
      </w:pPr>
    </w:p>
    <w:p>
      <w:pPr>
        <w:ind w:left="560" w:right="579" w:firstLine="337"/>
        <w:spacing w:after="0" w:line="255"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76" w:lineRule="exact"/>
        <w:rPr>
          <w:sz w:val="20"/>
          <w:szCs w:val="20"/>
          <w:color w:val="auto"/>
        </w:rPr>
      </w:pPr>
    </w:p>
    <w:p>
      <w:pPr>
        <w:ind w:left="560" w:right="599" w:firstLine="337"/>
        <w:spacing w:after="0" w:line="286" w:lineRule="auto"/>
        <w:rPr>
          <w:sz w:val="20"/>
          <w:szCs w:val="20"/>
          <w:color w:val="auto"/>
        </w:rPr>
      </w:pPr>
      <w:r>
        <w:rPr>
          <w:rFonts w:ascii="Times New Roman" w:cs="Times New Roman" w:eastAsia="Times New Roman" w:hAnsi="Times New Roman"/>
          <w:sz w:val="16"/>
          <w:szCs w:val="16"/>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51" w:lineRule="exact"/>
        <w:rPr>
          <w:sz w:val="20"/>
          <w:szCs w:val="20"/>
          <w:color w:val="auto"/>
        </w:rPr>
      </w:pPr>
    </w:p>
    <w:p>
      <w:pPr>
        <w:ind w:left="560" w:right="579" w:firstLine="337"/>
        <w:spacing w:after="0" w:line="267" w:lineRule="auto"/>
        <w:rPr>
          <w:sz w:val="20"/>
          <w:szCs w:val="20"/>
          <w:color w:val="auto"/>
        </w:rPr>
      </w:pPr>
      <w:r>
        <w:rPr>
          <w:rFonts w:ascii="Times New Roman" w:cs="Times New Roman" w:eastAsia="Times New Roman" w:hAnsi="Times New Roman"/>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273" w:lineRule="exact"/>
        <w:rPr>
          <w:sz w:val="20"/>
          <w:szCs w:val="20"/>
          <w:color w:val="auto"/>
        </w:rPr>
      </w:pPr>
    </w:p>
    <w:p>
      <w:pPr>
        <w:ind w:left="560" w:right="559" w:firstLine="337"/>
        <w:spacing w:after="0" w:line="253" w:lineRule="auto"/>
        <w:rPr>
          <w:sz w:val="20"/>
          <w:szCs w:val="20"/>
          <w:color w:val="auto"/>
        </w:rPr>
      </w:pPr>
      <w:r>
        <w:rPr>
          <w:rFonts w:ascii="Times New Roman" w:cs="Times New Roman" w:eastAsia="Times New Roman" w:hAnsi="Times New Roman"/>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77" w:lineRule="exact"/>
        <w:rPr>
          <w:sz w:val="20"/>
          <w:szCs w:val="20"/>
          <w:color w:val="auto"/>
        </w:rPr>
      </w:pPr>
    </w:p>
    <w:p>
      <w:pPr>
        <w:ind w:left="560" w:right="719" w:firstLine="337"/>
        <w:spacing w:after="0" w:line="262" w:lineRule="auto"/>
        <w:rPr>
          <w:sz w:val="20"/>
          <w:szCs w:val="20"/>
          <w:color w:val="auto"/>
        </w:rPr>
      </w:pPr>
      <w:r>
        <w:rPr>
          <w:rFonts w:ascii="Times New Roman" w:cs="Times New Roman" w:eastAsia="Times New Roman" w:hAnsi="Times New Roman"/>
          <w:sz w:val="17"/>
          <w:szCs w:val="17"/>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9" w:lineRule="exact"/>
        <w:rPr>
          <w:sz w:val="20"/>
          <w:szCs w:val="20"/>
          <w:color w:val="auto"/>
        </w:rPr>
      </w:pPr>
    </w:p>
    <w:p>
      <w:pPr>
        <w:ind w:left="1220" w:right="659" w:hanging="330"/>
        <w:spacing w:after="0" w:line="276"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holder has previously given to the trustee written notice of a continuing Event of Default with respect to debt securities of that series; and</w:t>
      </w:r>
    </w:p>
    <w:p>
      <w:pPr>
        <w:spacing w:after="0" w:line="56" w:lineRule="exact"/>
        <w:rPr>
          <w:rFonts w:ascii="Times New Roman" w:cs="Times New Roman" w:eastAsia="Times New Roman" w:hAnsi="Times New Roman"/>
          <w:sz w:val="17"/>
          <w:szCs w:val="17"/>
          <w:color w:val="auto"/>
        </w:rPr>
      </w:pPr>
    </w:p>
    <w:p>
      <w:pPr>
        <w:ind w:left="1220" w:right="599" w:hanging="330"/>
        <w:spacing w:after="0" w:line="255" w:lineRule="auto"/>
        <w:tabs>
          <w:tab w:leader="none" w:pos="12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4" w:name="page25"/>
    <w:bookmarkEnd w:id="2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jc w:val="both"/>
        <w:ind w:left="560" w:right="639" w:firstLine="337"/>
        <w:spacing w:after="0" w:line="286" w:lineRule="auto"/>
        <w:rPr>
          <w:sz w:val="20"/>
          <w:szCs w:val="20"/>
          <w:color w:val="auto"/>
        </w:rPr>
      </w:pPr>
      <w:r>
        <w:rPr>
          <w:rFonts w:ascii="Times New Roman" w:cs="Times New Roman" w:eastAsia="Times New Roman" w:hAnsi="Times New Roman"/>
          <w:sz w:val="16"/>
          <w:szCs w:val="16"/>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51" w:lineRule="exact"/>
        <w:rPr>
          <w:sz w:val="20"/>
          <w:szCs w:val="20"/>
          <w:color w:val="auto"/>
        </w:rPr>
      </w:pPr>
    </w:p>
    <w:p>
      <w:pPr>
        <w:ind w:left="560" w:right="579" w:firstLine="337"/>
        <w:spacing w:after="0" w:line="252" w:lineRule="auto"/>
        <w:rPr>
          <w:sz w:val="20"/>
          <w:szCs w:val="20"/>
          <w:color w:val="auto"/>
        </w:rPr>
      </w:pPr>
      <w:r>
        <w:rPr>
          <w:rFonts w:ascii="Times New Roman" w:cs="Times New Roman" w:eastAsia="Times New Roman" w:hAnsi="Times New Roman"/>
          <w:sz w:val="17"/>
          <w:szCs w:val="17"/>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and in compliance with the indenture that withholding notice is in the interest of the holders of those debt securities. (Section 7.5)</w:t>
      </w:r>
    </w:p>
    <w:p>
      <w:pPr>
        <w:spacing w:after="0" w:line="3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112" w:lineRule="exact"/>
        <w:rPr>
          <w:sz w:val="20"/>
          <w:szCs w:val="20"/>
          <w:color w:val="auto"/>
        </w:rPr>
      </w:pPr>
    </w:p>
    <w:p>
      <w:pPr>
        <w:ind w:left="560" w:right="659" w:firstLine="337"/>
        <w:spacing w:after="0" w:line="276" w:lineRule="auto"/>
        <w:rPr>
          <w:sz w:val="20"/>
          <w:szCs w:val="20"/>
          <w:color w:val="auto"/>
        </w:rPr>
      </w:pPr>
      <w:r>
        <w:rPr>
          <w:rFonts w:ascii="Times New Roman" w:cs="Times New Roman" w:eastAsia="Times New Roman" w:hAnsi="Times New Roman"/>
          <w:sz w:val="17"/>
          <w:szCs w:val="17"/>
          <w:color w:val="auto"/>
        </w:rPr>
        <w:t>We and the trustee may modify, amend or supplement the indenture or the debt securities of any series without the consent of any holder of any debt security:</w:t>
      </w:r>
    </w:p>
    <w:p>
      <w:pPr>
        <w:spacing w:after="0" w:line="57" w:lineRule="exact"/>
        <w:rPr>
          <w:sz w:val="20"/>
          <w:szCs w:val="20"/>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w:t>
      </w:r>
    </w:p>
    <w:p>
      <w:pPr>
        <w:spacing w:after="0" w:line="104" w:lineRule="exact"/>
        <w:rPr>
          <w:rFonts w:ascii="Times New Roman" w:cs="Times New Roman" w:eastAsia="Times New Roman" w:hAnsi="Times New Roman"/>
          <w:sz w:val="17"/>
          <w:szCs w:val="17"/>
          <w:color w:val="auto"/>
        </w:rPr>
      </w:pPr>
    </w:p>
    <w:p>
      <w:pPr>
        <w:ind w:left="1220" w:right="739" w:hanging="330"/>
        <w:spacing w:after="0" w:line="281" w:lineRule="auto"/>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covenants in the indenture described above under the heading “—</w:t>
      </w:r>
      <w:r>
        <w:rPr>
          <w:rFonts w:ascii="Times New Roman" w:cs="Times New Roman" w:eastAsia="Times New Roman" w:hAnsi="Times New Roman"/>
          <w:sz w:val="17"/>
          <w:szCs w:val="17"/>
          <w:i w:val="1"/>
          <w:iCs w:val="1"/>
          <w:color w:val="auto"/>
        </w:rPr>
        <w:t>Consolidation,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Sale of Assets</w:t>
      </w:r>
      <w:r>
        <w:rPr>
          <w:rFonts w:ascii="Times New Roman" w:cs="Times New Roman" w:eastAsia="Times New Roman" w:hAnsi="Times New Roman"/>
          <w:sz w:val="17"/>
          <w:szCs w:val="17"/>
          <w:color w:val="auto"/>
        </w:rPr>
        <w:t>”;</w:t>
      </w:r>
    </w:p>
    <w:p>
      <w:pPr>
        <w:spacing w:after="0" w:line="52"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guarantees with respect to debt securities of any series or secure debt securities of any series;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our rights or powers under the indenture;</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the holders of debt securities of any series;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applicable procedures of the applicable depositary;</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 of debt securities;</w:t>
      </w:r>
    </w:p>
    <w:p>
      <w:pPr>
        <w:spacing w:after="0" w:line="108" w:lineRule="exact"/>
        <w:rPr>
          <w:rFonts w:ascii="Times New Roman" w:cs="Times New Roman" w:eastAsia="Times New Roman" w:hAnsi="Times New Roman"/>
          <w:sz w:val="17"/>
          <w:szCs w:val="17"/>
          <w:color w:val="auto"/>
        </w:rPr>
      </w:pPr>
    </w:p>
    <w:p>
      <w:pPr>
        <w:ind w:left="1220" w:right="899" w:hanging="330"/>
        <w:spacing w:after="0" w:line="276" w:lineRule="auto"/>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debt securities of any series as permitted by the indenture;</w:t>
      </w:r>
    </w:p>
    <w:p>
      <w:pPr>
        <w:spacing w:after="0" w:line="56" w:lineRule="exact"/>
        <w:rPr>
          <w:rFonts w:ascii="Times New Roman" w:cs="Times New Roman" w:eastAsia="Times New Roman" w:hAnsi="Times New Roman"/>
          <w:sz w:val="17"/>
          <w:szCs w:val="17"/>
          <w:color w:val="auto"/>
        </w:rPr>
      </w:pPr>
    </w:p>
    <w:p>
      <w:pPr>
        <w:jc w:val="both"/>
        <w:ind w:left="1220" w:right="659" w:hanging="330"/>
        <w:spacing w:after="0" w:line="262" w:lineRule="auto"/>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8" w:lineRule="exact"/>
        <w:rPr>
          <w:rFonts w:ascii="Times New Roman" w:cs="Times New Roman" w:eastAsia="Times New Roman" w:hAnsi="Times New Roman"/>
          <w:sz w:val="17"/>
          <w:szCs w:val="17"/>
          <w:color w:val="auto"/>
        </w:rPr>
      </w:pPr>
    </w:p>
    <w:p>
      <w:pPr>
        <w:ind w:left="1220" w:right="839" w:hanging="330"/>
        <w:spacing w:after="0" w:line="276" w:lineRule="auto"/>
        <w:tabs>
          <w:tab w:leader="none" w:pos="12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the indenture under the Trust Indenture Act. (Section 9.1)</w:t>
      </w:r>
    </w:p>
    <w:p>
      <w:pPr>
        <w:spacing w:after="0" w:line="57" w:lineRule="exact"/>
        <w:rPr>
          <w:sz w:val="20"/>
          <w:szCs w:val="20"/>
          <w:color w:val="auto"/>
        </w:rPr>
      </w:pPr>
    </w:p>
    <w:p>
      <w:pPr>
        <w:ind w:left="560" w:right="659" w:firstLine="337"/>
        <w:spacing w:after="0" w:line="258" w:lineRule="auto"/>
        <w:rPr>
          <w:sz w:val="20"/>
          <w:szCs w:val="20"/>
          <w:color w:val="auto"/>
        </w:rPr>
      </w:pPr>
      <w:r>
        <w:rPr>
          <w:rFonts w:ascii="Times New Roman" w:cs="Times New Roman" w:eastAsia="Times New Roman" w:hAnsi="Times New Roman"/>
          <w:sz w:val="17"/>
          <w:szCs w:val="17"/>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71" w:lineRule="exact"/>
        <w:rPr>
          <w:sz w:val="20"/>
          <w:szCs w:val="20"/>
          <w:color w:val="auto"/>
        </w:rPr>
      </w:pPr>
    </w:p>
    <w:p>
      <w:pPr>
        <w:ind w:left="1220" w:hanging="330"/>
        <w:spacing w:after="0"/>
        <w:tabs>
          <w:tab w:leader="none" w:pos="12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amount of debt securities whose holders must consent to an amendment, supplement or waiver;</w:t>
      </w:r>
    </w:p>
    <w:p>
      <w:pPr>
        <w:spacing w:after="0" w:line="119" w:lineRule="exact"/>
        <w:rPr>
          <w:rFonts w:ascii="Times New Roman" w:cs="Times New Roman" w:eastAsia="Times New Roman" w:hAnsi="Times New Roman"/>
          <w:sz w:val="16"/>
          <w:szCs w:val="16"/>
          <w:color w:val="auto"/>
        </w:rPr>
      </w:pPr>
    </w:p>
    <w:p>
      <w:pPr>
        <w:ind w:left="1220" w:right="1099" w:hanging="330"/>
        <w:spacing w:after="0" w:line="276" w:lineRule="auto"/>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(including default interest) on any debt security;</w:t>
      </w:r>
    </w:p>
    <w:p>
      <w:pPr>
        <w:spacing w:after="0" w:line="56" w:lineRule="exact"/>
        <w:rPr>
          <w:rFonts w:ascii="Times New Roman" w:cs="Times New Roman" w:eastAsia="Times New Roman" w:hAnsi="Times New Roman"/>
          <w:sz w:val="17"/>
          <w:szCs w:val="17"/>
          <w:color w:val="auto"/>
        </w:rPr>
      </w:pPr>
    </w:p>
    <w:p>
      <w:pPr>
        <w:ind w:left="1220" w:right="779" w:hanging="330"/>
        <w:spacing w:after="0" w:line="262" w:lineRule="auto"/>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maturity;</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5" w:name="page26"/>
    <w:bookmarkEnd w:id="2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1220" w:right="999" w:hanging="330"/>
        <w:spacing w:after="0" w:line="258" w:lineRule="auto"/>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71" w:lineRule="exact"/>
        <w:rPr>
          <w:rFonts w:ascii="Times New Roman" w:cs="Times New Roman" w:eastAsia="Times New Roman" w:hAnsi="Times New Roman"/>
          <w:sz w:val="17"/>
          <w:szCs w:val="17"/>
          <w:color w:val="auto"/>
        </w:rPr>
      </w:pPr>
    </w:p>
    <w:p>
      <w:pPr>
        <w:ind w:left="1220" w:right="579" w:hanging="330"/>
        <w:spacing w:after="0" w:line="276" w:lineRule="auto"/>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premium or interest on any debt security payable in currency other than that stated in the debt security;</w:t>
      </w:r>
    </w:p>
    <w:p>
      <w:pPr>
        <w:spacing w:after="0" w:line="56" w:lineRule="exact"/>
        <w:rPr>
          <w:rFonts w:ascii="Times New Roman" w:cs="Times New Roman" w:eastAsia="Times New Roman" w:hAnsi="Times New Roman"/>
          <w:sz w:val="17"/>
          <w:szCs w:val="17"/>
          <w:color w:val="auto"/>
        </w:rPr>
      </w:pPr>
    </w:p>
    <w:p>
      <w:pPr>
        <w:jc w:val="both"/>
        <w:ind w:left="1220" w:right="599" w:hanging="330"/>
        <w:spacing w:after="0" w:line="262" w:lineRule="auto"/>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redemption payment with respect to any debt security. (Section 9.3)</w:t>
      </w:r>
    </w:p>
    <w:p>
      <w:pPr>
        <w:spacing w:after="0" w:line="108" w:lineRule="exact"/>
        <w:rPr>
          <w:sz w:val="20"/>
          <w:szCs w:val="20"/>
          <w:color w:val="auto"/>
        </w:rPr>
      </w:pPr>
    </w:p>
    <w:p>
      <w:pPr>
        <w:ind w:left="560" w:right="639" w:firstLine="337"/>
        <w:spacing w:after="0" w:line="270" w:lineRule="auto"/>
        <w:rPr>
          <w:sz w:val="20"/>
          <w:szCs w:val="20"/>
          <w:color w:val="auto"/>
        </w:rPr>
      </w:pPr>
      <w:r>
        <w:rPr>
          <w:rFonts w:ascii="Times New Roman" w:cs="Times New Roman" w:eastAsia="Times New Roman" w:hAnsi="Times New Roman"/>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3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Defeasance of Debt Securities and Certain Covenants in Certain Circumstances</w:t>
      </w:r>
    </w:p>
    <w:p>
      <w:pPr>
        <w:spacing w:after="0" w:line="108" w:lineRule="exact"/>
        <w:rPr>
          <w:sz w:val="20"/>
          <w:szCs w:val="20"/>
          <w:color w:val="auto"/>
        </w:rPr>
      </w:pPr>
    </w:p>
    <w:p>
      <w:pPr>
        <w:ind w:left="560" w:right="63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Legal Defeasance</w:t>
      </w:r>
      <w:r>
        <w:rPr>
          <w:rFonts w:ascii="Times New Roman" w:cs="Times New Roman" w:eastAsia="Times New Roman" w:hAnsi="Times New Roman"/>
          <w:sz w:val="17"/>
          <w:szCs w:val="17"/>
          <w:color w:val="auto"/>
        </w:rPr>
        <w:t>. The indenture provides that, unless otherwise provided by the terms of the applicable 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79"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76" w:lineRule="exact"/>
        <w:rPr>
          <w:sz w:val="20"/>
          <w:szCs w:val="20"/>
          <w:color w:val="auto"/>
        </w:rPr>
      </w:pPr>
    </w:p>
    <w:p>
      <w:pPr>
        <w:ind w:left="560" w:right="75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Defeasance of Certain Covenants</w:t>
      </w:r>
      <w:r>
        <w:rPr>
          <w:rFonts w:ascii="Times New Roman" w:cs="Times New Roman" w:eastAsia="Times New Roman" w:hAnsi="Times New Roman"/>
          <w:sz w:val="17"/>
          <w:szCs w:val="17"/>
          <w:color w:val="auto"/>
        </w:rPr>
        <w:t>. The indenture provides that, unless otherwise provided by the terms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applicable series of debt securities, upon compliance with certain conditions:</w:t>
      </w:r>
    </w:p>
    <w:p>
      <w:pPr>
        <w:spacing w:after="0" w:line="49" w:lineRule="exact"/>
        <w:rPr>
          <w:sz w:val="20"/>
          <w:szCs w:val="20"/>
          <w:color w:val="auto"/>
        </w:rPr>
      </w:pPr>
    </w:p>
    <w:p>
      <w:pPr>
        <w:ind w:left="1220" w:right="739" w:hanging="330"/>
        <w:spacing w:after="0" w:line="265" w:lineRule="auto"/>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omit to comply with the covenant described under the heading “—</w:t>
      </w:r>
      <w:r>
        <w:rPr>
          <w:rFonts w:ascii="Times New Roman" w:cs="Times New Roman" w:eastAsia="Times New Roman" w:hAnsi="Times New Roman"/>
          <w:sz w:val="17"/>
          <w:szCs w:val="17"/>
          <w:i w:val="1"/>
          <w:iCs w:val="1"/>
          <w:color w:val="auto"/>
        </w:rPr>
        <w:t>Consolidation, Merger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Sale of Assets</w:t>
      </w:r>
      <w:r>
        <w:rPr>
          <w:rFonts w:ascii="Times New Roman" w:cs="Times New Roman" w:eastAsia="Times New Roman" w:hAnsi="Times New Roman"/>
          <w:sz w:val="17"/>
          <w:szCs w:val="17"/>
          <w:color w:val="auto"/>
        </w:rPr>
        <w:t>” and certain other covenants set forth in the indenture, as well as any additional covenants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may be set forth in the applicable prospectus supplement; and</w:t>
      </w:r>
    </w:p>
    <w:p>
      <w:pPr>
        <w:spacing w:after="0" w:line="65" w:lineRule="exact"/>
        <w:rPr>
          <w:rFonts w:ascii="Times New Roman" w:cs="Times New Roman" w:eastAsia="Times New Roman" w:hAnsi="Times New Roman"/>
          <w:sz w:val="17"/>
          <w:szCs w:val="17"/>
          <w:color w:val="auto"/>
        </w:rPr>
      </w:pPr>
    </w:p>
    <w:p>
      <w:pPr>
        <w:ind w:left="1220" w:right="899" w:hanging="330"/>
        <w:spacing w:after="0" w:line="276" w:lineRule="auto"/>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omission to comply with those covenants will not constitute a Default or an Event of Default with respect to the debt securities of that series (“covenant defeasance”).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6" w:name="page27"/>
    <w:bookmarkEnd w:id="2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conditions include:</w:t>
      </w:r>
    </w:p>
    <w:p>
      <w:pPr>
        <w:spacing w:after="0" w:line="108" w:lineRule="exact"/>
        <w:rPr>
          <w:sz w:val="20"/>
          <w:szCs w:val="20"/>
          <w:color w:val="auto"/>
        </w:rPr>
      </w:pPr>
    </w:p>
    <w:p>
      <w:pPr>
        <w:ind w:left="1220" w:right="699" w:hanging="330"/>
        <w:spacing w:after="0" w:line="252"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0" w:lineRule="exact"/>
        <w:rPr>
          <w:rFonts w:ascii="Times New Roman" w:cs="Times New Roman" w:eastAsia="Times New Roman" w:hAnsi="Times New Roman"/>
          <w:sz w:val="17"/>
          <w:szCs w:val="17"/>
          <w:color w:val="auto"/>
        </w:rPr>
      </w:pPr>
    </w:p>
    <w:p>
      <w:pPr>
        <w:ind w:left="1220" w:right="659" w:hanging="330"/>
        <w:spacing w:after="0" w:line="255"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3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No Personal Liability of Directors, Officers, Employees or Securityholders</w:t>
      </w:r>
    </w:p>
    <w:p>
      <w:pPr>
        <w:spacing w:after="0" w:line="112" w:lineRule="exact"/>
        <w:rPr>
          <w:sz w:val="20"/>
          <w:szCs w:val="20"/>
          <w:color w:val="auto"/>
        </w:rPr>
      </w:pPr>
    </w:p>
    <w:p>
      <w:pPr>
        <w:ind w:left="560" w:right="699" w:firstLine="337"/>
        <w:spacing w:after="0" w:line="254" w:lineRule="auto"/>
        <w:rPr>
          <w:sz w:val="20"/>
          <w:szCs w:val="20"/>
          <w:color w:val="auto"/>
        </w:rPr>
      </w:pPr>
      <w:r>
        <w:rPr>
          <w:rFonts w:ascii="Times New Roman" w:cs="Times New Roman" w:eastAsia="Times New Roman" w:hAnsi="Times New Roman"/>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31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12" w:lineRule="exact"/>
        <w:rPr>
          <w:sz w:val="20"/>
          <w:szCs w:val="20"/>
          <w:color w:val="auto"/>
        </w:rPr>
      </w:pPr>
    </w:p>
    <w:p>
      <w:pPr>
        <w:ind w:left="560" w:right="1079" w:firstLine="337"/>
        <w:spacing w:after="0" w:line="276" w:lineRule="auto"/>
        <w:rPr>
          <w:sz w:val="20"/>
          <w:szCs w:val="20"/>
          <w:color w:val="auto"/>
        </w:rPr>
      </w:pPr>
      <w:r>
        <w:rPr>
          <w:rFonts w:ascii="Times New Roman" w:cs="Times New Roman" w:eastAsia="Times New Roman" w:hAnsi="Times New Roman"/>
          <w:sz w:val="17"/>
          <w:szCs w:val="17"/>
          <w:color w:val="auto"/>
        </w:rPr>
        <w:t>The indenture and the debt securities, including any claim or controversy arising out of or relating to the indenture or the securities, will be governed by the laws of the State of New York.</w:t>
      </w:r>
    </w:p>
    <w:p>
      <w:pPr>
        <w:spacing w:after="0" w:line="57" w:lineRule="exact"/>
        <w:rPr>
          <w:sz w:val="20"/>
          <w:szCs w:val="20"/>
          <w:color w:val="auto"/>
        </w:rPr>
      </w:pPr>
    </w:p>
    <w:p>
      <w:pPr>
        <w:ind w:left="560" w:right="559" w:firstLine="337"/>
        <w:spacing w:after="0" w:line="258" w:lineRule="auto"/>
        <w:rPr>
          <w:sz w:val="20"/>
          <w:szCs w:val="20"/>
          <w:color w:val="auto"/>
        </w:rPr>
      </w:pPr>
      <w:r>
        <w:rPr>
          <w:rFonts w:ascii="Times New Roman" w:cs="Times New Roman" w:eastAsia="Times New Roman" w:hAnsi="Times New Roman"/>
          <w:sz w:val="17"/>
          <w:szCs w:val="17"/>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71" w:lineRule="exact"/>
        <w:rPr>
          <w:sz w:val="20"/>
          <w:szCs w:val="20"/>
          <w:color w:val="auto"/>
        </w:rPr>
      </w:pPr>
    </w:p>
    <w:p>
      <w:pPr>
        <w:ind w:left="560" w:right="579" w:firstLine="337"/>
        <w:spacing w:after="0" w:line="251" w:lineRule="auto"/>
        <w:rPr>
          <w:sz w:val="20"/>
          <w:szCs w:val="20"/>
          <w:color w:val="auto"/>
        </w:rPr>
      </w:pPr>
      <w:r>
        <w:rPr>
          <w:rFonts w:ascii="Times New Roman" w:cs="Times New Roman" w:eastAsia="Times New Roman" w:hAnsi="Times New Roman"/>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7" w:name="page28"/>
    <w:bookmarkEnd w:id="2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12" w:lineRule="exact"/>
        <w:rPr>
          <w:sz w:val="20"/>
          <w:szCs w:val="20"/>
          <w:color w:val="auto"/>
        </w:rPr>
      </w:pPr>
    </w:p>
    <w:p>
      <w:pPr>
        <w:ind w:left="560" w:right="579" w:firstLine="337"/>
        <w:spacing w:after="0" w:line="252" w:lineRule="auto"/>
        <w:rPr>
          <w:sz w:val="20"/>
          <w:szCs w:val="20"/>
          <w:color w:val="auto"/>
        </w:rPr>
      </w:pPr>
      <w:r>
        <w:rPr>
          <w:rFonts w:ascii="Times New Roman" w:cs="Times New Roman" w:eastAsia="Times New Roman" w:hAnsi="Times New Roman"/>
          <w:sz w:val="17"/>
          <w:szCs w:val="17"/>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78" w:lineRule="exact"/>
        <w:rPr>
          <w:sz w:val="20"/>
          <w:szCs w:val="20"/>
          <w:color w:val="auto"/>
        </w:rPr>
      </w:pPr>
    </w:p>
    <w:p>
      <w:pPr>
        <w:ind w:left="560" w:right="919" w:firstLine="337"/>
        <w:spacing w:after="0" w:line="276" w:lineRule="auto"/>
        <w:rPr>
          <w:sz w:val="20"/>
          <w:szCs w:val="20"/>
          <w:color w:val="auto"/>
        </w:rPr>
      </w:pPr>
      <w:r>
        <w:rPr>
          <w:rFonts w:ascii="Times New Roman" w:cs="Times New Roman" w:eastAsia="Times New Roman" w:hAnsi="Times New Roman"/>
          <w:sz w:val="17"/>
          <w:szCs w:val="17"/>
          <w:color w:val="auto"/>
        </w:rPr>
        <w:t>The particular terms of any issue of warrants will be described in the prospectus supplement relating to the issue. Those terms may include:</w:t>
      </w:r>
    </w:p>
    <w:p>
      <w:pPr>
        <w:spacing w:after="0" w:line="57" w:lineRule="exact"/>
        <w:rPr>
          <w:sz w:val="20"/>
          <w:szCs w:val="20"/>
          <w:color w:val="auto"/>
        </w:rPr>
      </w:pPr>
    </w:p>
    <w:p>
      <w:pPr>
        <w:ind w:left="1220" w:right="659" w:hanging="330"/>
        <w:spacing w:after="0" w:line="309" w:lineRule="auto"/>
        <w:tabs>
          <w:tab w:leader="none" w:pos="12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Common Stock or preferred stock purchasable upon the exercise of warrants to purchase such shares and the price at which such number of shares may be purchased upon such exercise;</w:t>
      </w:r>
    </w:p>
    <w:p>
      <w:pPr>
        <w:spacing w:after="0" w:line="32" w:lineRule="exact"/>
        <w:rPr>
          <w:rFonts w:ascii="Times New Roman" w:cs="Times New Roman" w:eastAsia="Times New Roman" w:hAnsi="Times New Roman"/>
          <w:sz w:val="16"/>
          <w:szCs w:val="16"/>
          <w:color w:val="auto"/>
        </w:rPr>
      </w:pPr>
    </w:p>
    <w:p>
      <w:pPr>
        <w:ind w:left="1220" w:right="839" w:hanging="330"/>
        <w:spacing w:after="0" w:line="262"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8" w:lineRule="exact"/>
        <w:rPr>
          <w:rFonts w:ascii="Times New Roman" w:cs="Times New Roman" w:eastAsia="Times New Roman" w:hAnsi="Times New Roman"/>
          <w:sz w:val="17"/>
          <w:szCs w:val="17"/>
          <w:color w:val="auto"/>
        </w:rPr>
      </w:pPr>
    </w:p>
    <w:p>
      <w:pPr>
        <w:ind w:left="1220" w:right="959" w:hanging="330"/>
        <w:spacing w:after="0" w:line="276"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debt securities that may be purchased upon exercise of a debt warrant and the exercise price for the warrants, which may be payable in cash, securities or other property;</w:t>
      </w:r>
    </w:p>
    <w:p>
      <w:pPr>
        <w:spacing w:after="0" w:line="56" w:lineRule="exact"/>
        <w:rPr>
          <w:rFonts w:ascii="Times New Roman" w:cs="Times New Roman" w:eastAsia="Times New Roman" w:hAnsi="Times New Roman"/>
          <w:sz w:val="17"/>
          <w:szCs w:val="17"/>
          <w:color w:val="auto"/>
        </w:rPr>
      </w:pPr>
    </w:p>
    <w:p>
      <w:pPr>
        <w:ind w:left="1220" w:right="579" w:hanging="330"/>
        <w:spacing w:after="0" w:line="276"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on and after which the warrants and the related debt securities, preferred stock or Common Stock will be separately transferable;</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any rights to redeem or call the warrants;</w:t>
      </w:r>
    </w:p>
    <w:p>
      <w:pPr>
        <w:spacing w:after="0" w:line="108" w:lineRule="exact"/>
        <w:rPr>
          <w:rFonts w:ascii="Times New Roman" w:cs="Times New Roman" w:eastAsia="Times New Roman" w:hAnsi="Times New Roman"/>
          <w:sz w:val="17"/>
          <w:szCs w:val="17"/>
          <w:color w:val="auto"/>
        </w:rPr>
      </w:pPr>
    </w:p>
    <w:p>
      <w:pPr>
        <w:ind w:left="1220" w:right="839" w:hanging="330"/>
        <w:spacing w:after="0" w:line="276"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commence and the date on which the right will expire;</w:t>
      </w:r>
    </w:p>
    <w:p>
      <w:pPr>
        <w:spacing w:after="0" w:line="56" w:lineRule="exact"/>
        <w:rPr>
          <w:rFonts w:ascii="Times New Roman" w:cs="Times New Roman" w:eastAsia="Times New Roman" w:hAnsi="Times New Roman"/>
          <w:sz w:val="17"/>
          <w:szCs w:val="17"/>
          <w:color w:val="auto"/>
        </w:rPr>
      </w:pPr>
    </w:p>
    <w:p>
      <w:pPr>
        <w:ind w:left="1220" w:right="1119" w:hanging="330"/>
        <w:spacing w:after="0" w:line="276"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and/or special U.S. federal income tax considerations applicable to the warrants; and</w:t>
      </w:r>
    </w:p>
    <w:p>
      <w:pPr>
        <w:spacing w:after="0" w:line="56" w:lineRule="exact"/>
        <w:rPr>
          <w:rFonts w:ascii="Times New Roman" w:cs="Times New Roman" w:eastAsia="Times New Roman" w:hAnsi="Times New Roman"/>
          <w:sz w:val="17"/>
          <w:szCs w:val="17"/>
          <w:color w:val="auto"/>
        </w:rPr>
      </w:pPr>
    </w:p>
    <w:p>
      <w:pPr>
        <w:ind w:left="1220" w:right="619" w:hanging="330"/>
        <w:spacing w:after="0" w:line="276"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exercise and settlement of the warrants.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Holders of equity warrants will not be entitled: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consent or receive dividends;</w:t>
      </w:r>
    </w:p>
    <w:p>
      <w:pPr>
        <w:spacing w:after="0" w:line="108" w:lineRule="exact"/>
        <w:rPr>
          <w:rFonts w:ascii="Times New Roman" w:cs="Times New Roman" w:eastAsia="Times New Roman" w:hAnsi="Times New Roman"/>
          <w:sz w:val="17"/>
          <w:szCs w:val="17"/>
          <w:color w:val="auto"/>
        </w:rPr>
      </w:pPr>
    </w:p>
    <w:p>
      <w:pPr>
        <w:ind w:left="1220" w:right="639" w:hanging="330"/>
        <w:spacing w:after="0" w:line="276" w:lineRule="auto"/>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 notice as shareholders with respect to any meeting of stockholders for the election of our directors or any other matter; or</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any rights as stockholders of Cartesian.</w:t>
      </w:r>
    </w:p>
    <w:p>
      <w:pPr>
        <w:spacing w:after="0" w:line="108" w:lineRule="exact"/>
        <w:rPr>
          <w:sz w:val="20"/>
          <w:szCs w:val="20"/>
          <w:color w:val="auto"/>
        </w:rPr>
      </w:pPr>
    </w:p>
    <w:p>
      <w:pPr>
        <w:ind w:left="560" w:right="599" w:firstLine="337"/>
        <w:spacing w:after="0" w:line="254" w:lineRule="auto"/>
        <w:rPr>
          <w:sz w:val="20"/>
          <w:szCs w:val="20"/>
          <w:color w:val="auto"/>
        </w:rPr>
      </w:pPr>
      <w:r>
        <w:rPr>
          <w:rFonts w:ascii="Times New Roman" w:cs="Times New Roman" w:eastAsia="Times New Roman" w:hAnsi="Times New Roman"/>
          <w:sz w:val="17"/>
          <w:szCs w:val="17"/>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76" w:lineRule="exact"/>
        <w:rPr>
          <w:sz w:val="20"/>
          <w:szCs w:val="20"/>
          <w:color w:val="auto"/>
        </w:rPr>
      </w:pPr>
    </w:p>
    <w:p>
      <w:pPr>
        <w:ind w:left="560" w:right="719" w:firstLine="337"/>
        <w:spacing w:after="0" w:line="252" w:lineRule="auto"/>
        <w:rPr>
          <w:sz w:val="20"/>
          <w:szCs w:val="20"/>
          <w:color w:val="auto"/>
        </w:rPr>
      </w:pPr>
      <w:r>
        <w:rPr>
          <w:rFonts w:ascii="Times New Roman" w:cs="Times New Roman" w:eastAsia="Times New Roman" w:hAnsi="Times New Roman"/>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8" w:name="page29"/>
    <w:bookmarkEnd w:id="2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112" w:lineRule="exact"/>
        <w:rPr>
          <w:sz w:val="20"/>
          <w:szCs w:val="20"/>
          <w:color w:val="auto"/>
        </w:rPr>
      </w:pPr>
    </w:p>
    <w:p>
      <w:pPr>
        <w:ind w:left="560" w:right="659" w:firstLine="337"/>
        <w:spacing w:after="0" w:line="255" w:lineRule="auto"/>
        <w:rPr>
          <w:sz w:val="20"/>
          <w:szCs w:val="20"/>
          <w:color w:val="auto"/>
        </w:rPr>
      </w:pPr>
      <w:r>
        <w:rPr>
          <w:rFonts w:ascii="Times New Roman" w:cs="Times New Roman" w:eastAsia="Times New Roman" w:hAnsi="Times New Roman"/>
          <w:sz w:val="17"/>
          <w:szCs w:val="17"/>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76" w:lineRule="exact"/>
        <w:rPr>
          <w:sz w:val="20"/>
          <w:szCs w:val="20"/>
          <w:color w:val="auto"/>
        </w:rPr>
      </w:pPr>
    </w:p>
    <w:p>
      <w:pPr>
        <w:ind w:left="560" w:right="619" w:firstLine="337"/>
        <w:spacing w:after="0" w:line="253" w:lineRule="auto"/>
        <w:rPr>
          <w:sz w:val="20"/>
          <w:szCs w:val="20"/>
          <w:color w:val="auto"/>
        </w:rPr>
      </w:pPr>
      <w:r>
        <w:rPr>
          <w:rFonts w:ascii="Times New Roman" w:cs="Times New Roman" w:eastAsia="Times New Roman" w:hAnsi="Times New Roman"/>
          <w:sz w:val="17"/>
          <w:szCs w:val="17"/>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77" w:lineRule="exact"/>
        <w:rPr>
          <w:sz w:val="20"/>
          <w:szCs w:val="20"/>
          <w:color w:val="auto"/>
        </w:rPr>
      </w:pPr>
    </w:p>
    <w:p>
      <w:pPr>
        <w:ind w:left="560" w:right="1219" w:firstLine="337"/>
        <w:spacing w:after="0" w:line="276" w:lineRule="auto"/>
        <w:rPr>
          <w:sz w:val="20"/>
          <w:szCs w:val="20"/>
          <w:color w:val="auto"/>
        </w:rPr>
      </w:pPr>
      <w:r>
        <w:rPr>
          <w:rFonts w:ascii="Times New Roman" w:cs="Times New Roman" w:eastAsia="Times New Roman" w:hAnsi="Times New Roman"/>
          <w:sz w:val="17"/>
          <w:szCs w:val="17"/>
          <w:color w:val="auto"/>
        </w:rPr>
        <w:t>If we offer any units, certain terms of that series of units will be described in the applicable prospectus supplement, including, without limitation, the following, as applicable:</w:t>
      </w:r>
    </w:p>
    <w:p>
      <w:pPr>
        <w:spacing w:after="0" w:line="57" w:lineRule="exact"/>
        <w:rPr>
          <w:sz w:val="20"/>
          <w:szCs w:val="20"/>
          <w:color w:val="auto"/>
        </w:rPr>
      </w:pPr>
    </w:p>
    <w:p>
      <w:pPr>
        <w:ind w:left="1220" w:hanging="3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of the series of units;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and description of the separate constituent securities comprising the units;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at which the units will be issued;</w:t>
      </w:r>
    </w:p>
    <w:p>
      <w:pPr>
        <w:spacing w:after="0" w:line="108" w:lineRule="exact"/>
        <w:rPr>
          <w:rFonts w:ascii="Times New Roman" w:cs="Times New Roman" w:eastAsia="Times New Roman" w:hAnsi="Times New Roman"/>
          <w:sz w:val="17"/>
          <w:szCs w:val="17"/>
          <w:color w:val="auto"/>
        </w:rPr>
      </w:pPr>
    </w:p>
    <w:p>
      <w:pPr>
        <w:ind w:left="1220" w:right="1099" w:hanging="330"/>
        <w:spacing w:after="0" w:line="276" w:lineRule="auto"/>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on and after which the constituent securities comprising the units will be separately transferable;</w:t>
      </w:r>
    </w:p>
    <w:p>
      <w:pPr>
        <w:spacing w:after="0" w:line="56" w:lineRule="exact"/>
        <w:rPr>
          <w:rFonts w:ascii="Times New Roman" w:cs="Times New Roman" w:eastAsia="Times New Roman" w:hAnsi="Times New Roman"/>
          <w:sz w:val="17"/>
          <w:szCs w:val="17"/>
          <w:color w:val="auto"/>
        </w:rPr>
      </w:pPr>
    </w:p>
    <w:p>
      <w:pPr>
        <w:ind w:left="1220" w:right="699" w:hanging="330"/>
        <w:spacing w:after="0" w:line="276" w:lineRule="auto"/>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discussion of any material and/or special U.S. federal income tax considerations applicable to the units; and</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terms of the units and their constituent securities.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29" w:name="page30"/>
    <w:bookmarkEnd w:id="2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3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Book-Entry, Delivery and Form</w:t>
      </w:r>
    </w:p>
    <w:p>
      <w:pPr>
        <w:spacing w:after="0" w:line="112" w:lineRule="exact"/>
        <w:rPr>
          <w:sz w:val="20"/>
          <w:szCs w:val="20"/>
          <w:color w:val="auto"/>
        </w:rPr>
      </w:pPr>
    </w:p>
    <w:p>
      <w:pPr>
        <w:ind w:left="560" w:right="579" w:firstLine="337"/>
        <w:spacing w:after="0" w:line="252" w:lineRule="auto"/>
        <w:rPr>
          <w:sz w:val="20"/>
          <w:szCs w:val="20"/>
          <w:color w:val="auto"/>
        </w:rPr>
      </w:pPr>
      <w:r>
        <w:rPr>
          <w:rFonts w:ascii="Times New Roman" w:cs="Times New Roman" w:eastAsia="Times New Roman" w:hAnsi="Times New Roman"/>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DTC has advised us that it is:</w:t>
      </w:r>
    </w:p>
    <w:p>
      <w:pPr>
        <w:spacing w:after="0" w:line="108" w:lineRule="exact"/>
        <w:rPr>
          <w:sz w:val="20"/>
          <w:szCs w:val="20"/>
          <w:color w:val="auto"/>
        </w:rPr>
      </w:pPr>
    </w:p>
    <w:p>
      <w:pPr>
        <w:ind w:left="1220" w:hanging="330"/>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limited-purpose trust company organized under the New York Banking Law;</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“banking organization” within the meaning of the New York Banking Law;</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member of the Federal Reserve System;</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corporation” within the meaning of the New York Uniform Commercial Code; and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agency” registered pursuant to the provisions of Section 17A of the Exchange Act.</w:t>
      </w:r>
    </w:p>
    <w:p>
      <w:pPr>
        <w:spacing w:after="0" w:line="108" w:lineRule="exact"/>
        <w:rPr>
          <w:sz w:val="20"/>
          <w:szCs w:val="20"/>
          <w:color w:val="auto"/>
        </w:rPr>
      </w:pPr>
    </w:p>
    <w:p>
      <w:pPr>
        <w:ind w:left="560" w:right="699" w:firstLine="337"/>
        <w:spacing w:after="0" w:line="269" w:lineRule="auto"/>
        <w:rPr>
          <w:sz w:val="20"/>
          <w:szCs w:val="20"/>
          <w:color w:val="auto"/>
        </w:rPr>
      </w:pPr>
      <w:r>
        <w:rPr>
          <w:rFonts w:ascii="Times New Roman" w:cs="Times New Roman" w:eastAsia="Times New Roman" w:hAnsi="Times New Roman"/>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65" w:lineRule="exact"/>
        <w:rPr>
          <w:sz w:val="20"/>
          <w:szCs w:val="20"/>
          <w:color w:val="auto"/>
        </w:rPr>
      </w:pPr>
    </w:p>
    <w:p>
      <w:pPr>
        <w:ind w:left="560" w:right="659" w:firstLine="337"/>
        <w:spacing w:after="0" w:line="269" w:lineRule="auto"/>
        <w:rPr>
          <w:sz w:val="20"/>
          <w:szCs w:val="20"/>
          <w:color w:val="auto"/>
        </w:rPr>
      </w:pPr>
      <w:r>
        <w:rPr>
          <w:rFonts w:ascii="Times New Roman" w:cs="Times New Roman" w:eastAsia="Times New Roman" w:hAnsi="Times New Roman"/>
          <w:sz w:val="16"/>
          <w:szCs w:val="16"/>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69" w:lineRule="exact"/>
        <w:rPr>
          <w:sz w:val="20"/>
          <w:szCs w:val="20"/>
          <w:color w:val="auto"/>
        </w:rPr>
      </w:pPr>
    </w:p>
    <w:p>
      <w:pPr>
        <w:ind w:left="560" w:right="579" w:firstLine="337"/>
        <w:spacing w:after="0" w:line="253"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77" w:lineRule="exact"/>
        <w:rPr>
          <w:sz w:val="20"/>
          <w:szCs w:val="20"/>
          <w:color w:val="auto"/>
        </w:rPr>
      </w:pPr>
    </w:p>
    <w:p>
      <w:pPr>
        <w:ind w:left="560" w:right="719" w:firstLine="337"/>
        <w:spacing w:after="0" w:line="255" w:lineRule="auto"/>
        <w:rPr>
          <w:sz w:val="20"/>
          <w:szCs w:val="20"/>
          <w:color w:val="auto"/>
        </w:rPr>
      </w:pPr>
      <w:r>
        <w:rPr>
          <w:rFonts w:ascii="Times New Roman" w:cs="Times New Roman" w:eastAsia="Times New Roman" w:hAnsi="Times New Roman"/>
          <w:sz w:val="17"/>
          <w:szCs w:val="17"/>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0" w:name="page31"/>
    <w:bookmarkEnd w:id="3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899" w:firstLine="337"/>
        <w:spacing w:after="0" w:line="262" w:lineRule="auto"/>
        <w:rPr>
          <w:sz w:val="20"/>
          <w:szCs w:val="20"/>
          <w:color w:val="auto"/>
        </w:rPr>
      </w:pPr>
      <w:r>
        <w:rPr>
          <w:rFonts w:ascii="Times New Roman" w:cs="Times New Roman" w:eastAsia="Times New Roman" w:hAnsi="Times New Roman"/>
          <w:sz w:val="17"/>
          <w:szCs w:val="17"/>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69" w:lineRule="exact"/>
        <w:rPr>
          <w:sz w:val="20"/>
          <w:szCs w:val="20"/>
          <w:color w:val="auto"/>
        </w:rPr>
      </w:pPr>
    </w:p>
    <w:p>
      <w:pPr>
        <w:ind w:left="560" w:right="639" w:firstLine="337"/>
        <w:spacing w:after="0" w:line="262" w:lineRule="auto"/>
        <w:rPr>
          <w:sz w:val="20"/>
          <w:szCs w:val="20"/>
          <w:color w:val="auto"/>
        </w:rPr>
      </w:pPr>
      <w:r>
        <w:rPr>
          <w:rFonts w:ascii="Times New Roman" w:cs="Times New Roman" w:eastAsia="Times New Roman" w:hAnsi="Times New Roman"/>
          <w:sz w:val="17"/>
          <w:szCs w:val="17"/>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69" w:lineRule="exact"/>
        <w:rPr>
          <w:sz w:val="20"/>
          <w:szCs w:val="20"/>
          <w:color w:val="auto"/>
        </w:rPr>
      </w:pPr>
    </w:p>
    <w:p>
      <w:pPr>
        <w:ind w:left="560" w:right="679" w:firstLine="337"/>
        <w:spacing w:after="0" w:line="279" w:lineRule="auto"/>
        <w:rPr>
          <w:sz w:val="20"/>
          <w:szCs w:val="20"/>
          <w:color w:val="auto"/>
        </w:rPr>
      </w:pPr>
      <w:r>
        <w:rPr>
          <w:rFonts w:ascii="Times New Roman" w:cs="Times New Roman" w:eastAsia="Times New Roman" w:hAnsi="Times New Roman"/>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56" w:lineRule="exact"/>
        <w:rPr>
          <w:sz w:val="20"/>
          <w:szCs w:val="20"/>
          <w:color w:val="auto"/>
        </w:rPr>
      </w:pPr>
    </w:p>
    <w:p>
      <w:pPr>
        <w:ind w:left="560" w:right="559" w:firstLine="337"/>
        <w:spacing w:after="0" w:line="252" w:lineRule="auto"/>
        <w:rPr>
          <w:sz w:val="20"/>
          <w:szCs w:val="20"/>
          <w:color w:val="auto"/>
        </w:rPr>
      </w:pPr>
      <w:r>
        <w:rPr>
          <w:rFonts w:ascii="Times New Roman" w:cs="Times New Roman" w:eastAsia="Times New Roman" w:hAnsi="Times New Roman"/>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80" w:lineRule="exact"/>
        <w:rPr>
          <w:sz w:val="20"/>
          <w:szCs w:val="20"/>
          <w:color w:val="auto"/>
        </w:rPr>
      </w:pPr>
    </w:p>
    <w:p>
      <w:pPr>
        <w:ind w:left="560" w:right="579" w:firstLine="337"/>
        <w:spacing w:after="0" w:line="251" w:lineRule="auto"/>
        <w:rPr>
          <w:sz w:val="20"/>
          <w:szCs w:val="20"/>
          <w:color w:val="auto"/>
        </w:rPr>
      </w:pPr>
      <w:r>
        <w:rPr>
          <w:rFonts w:ascii="Times New Roman" w:cs="Times New Roman" w:eastAsia="Times New Roman" w:hAnsi="Times New Roman"/>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81" w:lineRule="exact"/>
        <w:rPr>
          <w:sz w:val="20"/>
          <w:szCs w:val="20"/>
          <w:color w:val="auto"/>
        </w:rPr>
      </w:pPr>
    </w:p>
    <w:p>
      <w:pPr>
        <w:ind w:left="560" w:right="659" w:firstLine="337"/>
        <w:spacing w:after="0" w:line="258" w:lineRule="auto"/>
        <w:rPr>
          <w:sz w:val="20"/>
          <w:szCs w:val="20"/>
          <w:color w:val="auto"/>
        </w:rPr>
      </w:pPr>
      <w:r>
        <w:rPr>
          <w:rFonts w:ascii="Times New Roman" w:cs="Times New Roman" w:eastAsia="Times New Roman" w:hAnsi="Times New Roman"/>
          <w:sz w:val="17"/>
          <w:szCs w:val="17"/>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71" w:lineRule="exact"/>
        <w:rPr>
          <w:sz w:val="20"/>
          <w:szCs w:val="20"/>
          <w:color w:val="auto"/>
        </w:rPr>
      </w:pPr>
    </w:p>
    <w:p>
      <w:pPr>
        <w:ind w:left="560" w:right="599" w:firstLine="337"/>
        <w:spacing w:after="0" w:line="309" w:lineRule="auto"/>
        <w:rPr>
          <w:sz w:val="20"/>
          <w:szCs w:val="20"/>
          <w:color w:val="auto"/>
        </w:rPr>
      </w:pPr>
      <w:r>
        <w:rPr>
          <w:rFonts w:ascii="Times New Roman" w:cs="Times New Roman" w:eastAsia="Times New Roman" w:hAnsi="Times New Roman"/>
          <w:sz w:val="16"/>
          <w:szCs w:val="16"/>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33" w:lineRule="exact"/>
        <w:rPr>
          <w:sz w:val="20"/>
          <w:szCs w:val="20"/>
          <w:color w:val="auto"/>
        </w:rPr>
      </w:pPr>
    </w:p>
    <w:p>
      <w:pPr>
        <w:ind w:left="560" w:right="579" w:firstLine="337"/>
        <w:spacing w:after="0" w:line="262" w:lineRule="auto"/>
        <w:rPr>
          <w:sz w:val="20"/>
          <w:szCs w:val="20"/>
          <w:color w:val="auto"/>
        </w:rPr>
      </w:pPr>
      <w:r>
        <w:rPr>
          <w:rFonts w:ascii="Times New Roman" w:cs="Times New Roman" w:eastAsia="Times New Roman" w:hAnsi="Times New Roman"/>
          <w:sz w:val="17"/>
          <w:szCs w:val="17"/>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69" w:lineRule="exact"/>
        <w:rPr>
          <w:sz w:val="20"/>
          <w:szCs w:val="20"/>
          <w:color w:val="auto"/>
        </w:rPr>
      </w:pPr>
    </w:p>
    <w:p>
      <w:pPr>
        <w:ind w:left="560" w:right="979" w:firstLine="337"/>
        <w:spacing w:after="0" w:line="276" w:lineRule="auto"/>
        <w:rPr>
          <w:sz w:val="20"/>
          <w:szCs w:val="20"/>
          <w:color w:val="auto"/>
        </w:rPr>
      </w:pPr>
      <w:r>
        <w:rPr>
          <w:rFonts w:ascii="Times New Roman" w:cs="Times New Roman" w:eastAsia="Times New Roman" w:hAnsi="Times New Roman"/>
          <w:sz w:val="17"/>
          <w:szCs w:val="17"/>
          <w:color w:val="auto"/>
        </w:rPr>
        <w:t>As noted above, beneficial owners of a particular series of securities generally will not receive certificates representing their ownership interests in those securities. However, if:</w:t>
      </w:r>
    </w:p>
    <w:p>
      <w:pPr>
        <w:spacing w:after="0" w:line="57" w:lineRule="exact"/>
        <w:rPr>
          <w:sz w:val="20"/>
          <w:szCs w:val="20"/>
          <w:color w:val="auto"/>
        </w:rPr>
      </w:pPr>
    </w:p>
    <w:p>
      <w:pPr>
        <w:ind w:left="1220" w:right="639" w:hanging="330"/>
        <w:spacing w:after="0" w:line="255"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5" w:lineRule="exact"/>
        <w:rPr>
          <w:rFonts w:ascii="Times New Roman" w:cs="Times New Roman" w:eastAsia="Times New Roman" w:hAnsi="Times New Roman"/>
          <w:sz w:val="17"/>
          <w:szCs w:val="17"/>
          <w:color w:val="auto"/>
        </w:rPr>
      </w:pPr>
    </w:p>
    <w:p>
      <w:pPr>
        <w:ind w:left="1220" w:right="1159" w:hanging="330"/>
        <w:spacing w:after="0" w:line="276" w:lineRule="auto"/>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determine, in our sole discretion, not to have such securities represented by one or more global securities; or</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Event of Default has occurred and is continuing with respect to such series of securities,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1" w:name="page32"/>
    <w:bookmarkEnd w:id="3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619"/>
        <w:spacing w:after="0" w:line="255" w:lineRule="auto"/>
        <w:rPr>
          <w:sz w:val="20"/>
          <w:szCs w:val="20"/>
          <w:color w:val="auto"/>
        </w:rPr>
      </w:pPr>
      <w:r>
        <w:rPr>
          <w:rFonts w:ascii="Times New Roman" w:cs="Times New Roman" w:eastAsia="Times New Roman" w:hAnsi="Times New Roman"/>
          <w:sz w:val="17"/>
          <w:szCs w:val="17"/>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Euroclear and Clearstream</w:t>
      </w:r>
    </w:p>
    <w:p>
      <w:pPr>
        <w:spacing w:after="0" w:line="112" w:lineRule="exact"/>
        <w:rPr>
          <w:sz w:val="20"/>
          <w:szCs w:val="20"/>
          <w:color w:val="auto"/>
        </w:rPr>
      </w:pPr>
    </w:p>
    <w:p>
      <w:pPr>
        <w:ind w:left="560" w:right="719" w:firstLine="337"/>
        <w:spacing w:after="0" w:line="253" w:lineRule="auto"/>
        <w:rPr>
          <w:sz w:val="20"/>
          <w:szCs w:val="20"/>
          <w:color w:val="auto"/>
        </w:rPr>
      </w:pPr>
      <w:r>
        <w:rPr>
          <w:rFonts w:ascii="Times New Roman" w:cs="Times New Roman" w:eastAsia="Times New Roman" w:hAnsi="Times New Roman"/>
          <w:sz w:val="17"/>
          <w:szCs w:val="17"/>
          <w:color w:val="auto"/>
        </w:rPr>
        <w:t>If so provided in the applicable prospectus supplement, you may hold interests in a global security through Clearstream Banking S.A., or Clearstream, or Euroclear Bank S.A./N.V., as operator of the Euroclear System, or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77" w:lineRule="exact"/>
        <w:rPr>
          <w:sz w:val="20"/>
          <w:szCs w:val="20"/>
          <w:color w:val="auto"/>
        </w:rPr>
      </w:pPr>
    </w:p>
    <w:p>
      <w:pPr>
        <w:ind w:left="560" w:right="619" w:firstLine="337"/>
        <w:spacing w:after="0" w:line="258" w:lineRule="auto"/>
        <w:rPr>
          <w:sz w:val="20"/>
          <w:szCs w:val="20"/>
          <w:color w:val="auto"/>
        </w:rPr>
      </w:pPr>
      <w:r>
        <w:rPr>
          <w:rFonts w:ascii="Times New Roman" w:cs="Times New Roman" w:eastAsia="Times New Roman" w:hAnsi="Times New Roman"/>
          <w:sz w:val="17"/>
          <w:szCs w:val="17"/>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71" w:lineRule="exact"/>
        <w:rPr>
          <w:sz w:val="20"/>
          <w:szCs w:val="20"/>
          <w:color w:val="auto"/>
        </w:rPr>
      </w:pPr>
    </w:p>
    <w:p>
      <w:pPr>
        <w:ind w:left="560" w:right="759" w:firstLine="337"/>
        <w:spacing w:after="0" w:line="258" w:lineRule="auto"/>
        <w:rPr>
          <w:sz w:val="20"/>
          <w:szCs w:val="20"/>
          <w:color w:val="auto"/>
        </w:rPr>
      </w:pPr>
      <w:r>
        <w:rPr>
          <w:rFonts w:ascii="Times New Roman" w:cs="Times New Roman" w:eastAsia="Times New Roman" w:hAnsi="Times New Roman"/>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1" w:lineRule="exact"/>
        <w:rPr>
          <w:sz w:val="20"/>
          <w:szCs w:val="20"/>
          <w:color w:val="auto"/>
        </w:rPr>
      </w:pPr>
    </w:p>
    <w:p>
      <w:pPr>
        <w:ind w:left="560" w:right="559" w:firstLine="337"/>
        <w:spacing w:after="0" w:line="258" w:lineRule="auto"/>
        <w:rPr>
          <w:sz w:val="20"/>
          <w:szCs w:val="20"/>
          <w:color w:val="auto"/>
        </w:rPr>
      </w:pPr>
      <w:r>
        <w:rPr>
          <w:rFonts w:ascii="Times New Roman" w:cs="Times New Roman" w:eastAsia="Times New Roman" w:hAnsi="Times New Roman"/>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1" w:lineRule="exact"/>
        <w:rPr>
          <w:sz w:val="20"/>
          <w:szCs w:val="20"/>
          <w:color w:val="auto"/>
        </w:rPr>
      </w:pPr>
    </w:p>
    <w:p>
      <w:pPr>
        <w:ind w:left="560" w:right="579" w:firstLine="337"/>
        <w:spacing w:after="0" w:line="251" w:lineRule="auto"/>
        <w:rPr>
          <w:sz w:val="20"/>
          <w:szCs w:val="20"/>
          <w:color w:val="auto"/>
        </w:rPr>
      </w:pPr>
      <w:r>
        <w:rPr>
          <w:rFonts w:ascii="Times New Roman" w:cs="Times New Roman" w:eastAsia="Times New Roman" w:hAnsi="Times New Roman"/>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83"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6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Other</w:t>
      </w:r>
    </w:p>
    <w:p>
      <w:pPr>
        <w:spacing w:after="0" w:line="112" w:lineRule="exact"/>
        <w:rPr>
          <w:sz w:val="20"/>
          <w:szCs w:val="20"/>
          <w:color w:val="auto"/>
        </w:rPr>
      </w:pPr>
    </w:p>
    <w:p>
      <w:pPr>
        <w:ind w:left="560" w:right="559" w:firstLine="337"/>
        <w:spacing w:after="0" w:line="254" w:lineRule="auto"/>
        <w:rPr>
          <w:sz w:val="20"/>
          <w:szCs w:val="20"/>
          <w:color w:val="auto"/>
        </w:rPr>
      </w:pPr>
      <w:r>
        <w:rPr>
          <w:rFonts w:ascii="Times New Roman" w:cs="Times New Roman" w:eastAsia="Times New Roman" w:hAnsi="Times New Roman"/>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2" w:name="page33"/>
    <w:bookmarkEnd w:id="3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639"/>
        <w:spacing w:after="0" w:line="254" w:lineRule="auto"/>
        <w:rPr>
          <w:sz w:val="20"/>
          <w:szCs w:val="20"/>
          <w:color w:val="auto"/>
        </w:rPr>
      </w:pPr>
      <w:r>
        <w:rPr>
          <w:rFonts w:ascii="Times New Roman" w:cs="Times New Roman" w:eastAsia="Times New Roman" w:hAnsi="Times New Roman"/>
          <w:sz w:val="17"/>
          <w:szCs w:val="17"/>
          <w:color w:val="auto"/>
        </w:rPr>
        <w:t>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3" w:name="page34"/>
    <w:bookmarkEnd w:id="3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2" w:lineRule="exact"/>
        <w:rPr>
          <w:sz w:val="20"/>
          <w:szCs w:val="20"/>
          <w:color w:val="auto"/>
        </w:rPr>
      </w:pPr>
    </w:p>
    <w:p>
      <w:pPr>
        <w:ind w:left="560" w:right="739" w:firstLine="337"/>
        <w:spacing w:after="0" w:line="258" w:lineRule="auto"/>
        <w:rPr>
          <w:sz w:val="20"/>
          <w:szCs w:val="20"/>
          <w:color w:val="auto"/>
        </w:rPr>
      </w:pPr>
      <w:r>
        <w:rPr>
          <w:rFonts w:ascii="Times New Roman" w:cs="Times New Roman" w:eastAsia="Times New Roman" w:hAnsi="Times New Roman"/>
          <w:sz w:val="17"/>
          <w:szCs w:val="17"/>
          <w:color w:val="auto"/>
        </w:rPr>
        <w:t>We may sell the securities offered under this prospectus from time to time pursuant to underwritten public offerings, negotiated transactions, block trades or a combination of these methods or through underwriters, dealers or agents or directly to one or more purchasers. The securities may be distributed from time to time in one or more transactions (or in any combination) at:</w:t>
      </w:r>
    </w:p>
    <w:p>
      <w:pPr>
        <w:spacing w:after="0" w:line="71" w:lineRule="exact"/>
        <w:rPr>
          <w:sz w:val="20"/>
          <w:szCs w:val="20"/>
          <w:color w:val="auto"/>
        </w:rPr>
      </w:pPr>
    </w:p>
    <w:p>
      <w:pPr>
        <w:ind w:left="1220" w:hanging="3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otherwise-negotiated prices.</w:t>
      </w:r>
    </w:p>
    <w:p>
      <w:pPr>
        <w:spacing w:after="0" w:line="108" w:lineRule="exact"/>
        <w:rPr>
          <w:sz w:val="20"/>
          <w:szCs w:val="20"/>
          <w:color w:val="auto"/>
        </w:rPr>
      </w:pPr>
    </w:p>
    <w:p>
      <w:pPr>
        <w:ind w:left="560" w:right="739" w:firstLine="337"/>
        <w:spacing w:after="0" w:line="276" w:lineRule="auto"/>
        <w:rPr>
          <w:sz w:val="20"/>
          <w:szCs w:val="20"/>
          <w:color w:val="auto"/>
        </w:rPr>
      </w:pPr>
      <w:r>
        <w:rPr>
          <w:rFonts w:ascii="Times New Roman" w:cs="Times New Roman" w:eastAsia="Times New Roman" w:hAnsi="Times New Roman"/>
          <w:sz w:val="17"/>
          <w:szCs w:val="17"/>
          <w:color w:val="auto"/>
        </w:rPr>
        <w:t>For each type and series of securities offered, the applicable prospectus supplement will set forth the terms of the offering, including, without limitation:</w:t>
      </w:r>
    </w:p>
    <w:p>
      <w:pPr>
        <w:spacing w:after="0" w:line="57" w:lineRule="exact"/>
        <w:rPr>
          <w:sz w:val="20"/>
          <w:szCs w:val="20"/>
          <w:color w:val="auto"/>
        </w:rPr>
      </w:pPr>
    </w:p>
    <w:p>
      <w:pPr>
        <w:ind w:left="1220" w:hanging="3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offering price;</w:t>
      </w:r>
    </w:p>
    <w:p>
      <w:pPr>
        <w:spacing w:after="0" w:line="108" w:lineRule="exact"/>
        <w:rPr>
          <w:rFonts w:ascii="Times New Roman" w:cs="Times New Roman" w:eastAsia="Times New Roman" w:hAnsi="Times New Roman"/>
          <w:sz w:val="17"/>
          <w:szCs w:val="17"/>
          <w:color w:val="auto"/>
        </w:rPr>
      </w:pPr>
    </w:p>
    <w:p>
      <w:pPr>
        <w:ind w:left="1220" w:right="779" w:hanging="330"/>
        <w:spacing w:after="0" w:line="276"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names of any underwriters, dealers or agents and the amount of securities underwritten or purchased by each of them, if any;</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delayed delivery arrangements;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from the sale of securities to us and the use of proceeds from the sale of the securities;</w:t>
      </w:r>
    </w:p>
    <w:p>
      <w:pPr>
        <w:spacing w:after="0" w:line="108" w:lineRule="exact"/>
        <w:rPr>
          <w:rFonts w:ascii="Times New Roman" w:cs="Times New Roman" w:eastAsia="Times New Roman" w:hAnsi="Times New Roman"/>
          <w:sz w:val="17"/>
          <w:szCs w:val="17"/>
          <w:color w:val="auto"/>
        </w:rPr>
      </w:pPr>
    </w:p>
    <w:p>
      <w:pPr>
        <w:ind w:left="1220" w:right="939" w:hanging="330"/>
        <w:spacing w:after="0" w:line="276"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underwriting discounts, concessions, commissions, agency fees or other compensation payable to underwriters, dealers or agents;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or concessions allowed or re-allowed or repaid to dealers;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offering expenses; and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securities exchanges on which the securities will be listed, if any.</w:t>
      </w:r>
    </w:p>
    <w:p>
      <w:pPr>
        <w:spacing w:after="0" w:line="108" w:lineRule="exact"/>
        <w:rPr>
          <w:sz w:val="20"/>
          <w:szCs w:val="20"/>
          <w:color w:val="auto"/>
        </w:rPr>
      </w:pPr>
    </w:p>
    <w:p>
      <w:pPr>
        <w:jc w:val="both"/>
        <w:ind w:left="560" w:right="599" w:firstLine="337"/>
        <w:spacing w:after="0" w:line="262" w:lineRule="auto"/>
        <w:rPr>
          <w:sz w:val="20"/>
          <w:szCs w:val="20"/>
          <w:color w:val="auto"/>
        </w:rPr>
      </w:pPr>
      <w:r>
        <w:rPr>
          <w:rFonts w:ascii="Times New Roman" w:cs="Times New Roman" w:eastAsia="Times New Roman" w:hAnsi="Times New Roman"/>
          <w:sz w:val="17"/>
          <w:szCs w:val="17"/>
          <w:color w:val="auto"/>
        </w:rPr>
        <w:t>We may grant underwriters options to purchase additional securities at the public offering price, with additional underwriting commissions or discounts, as applicable, set forth in the prospectus supplement. The terms of any such option will be set forth in the prospectus supplement for those securities.</w:t>
      </w:r>
    </w:p>
    <w:p>
      <w:pPr>
        <w:spacing w:after="0" w:line="69" w:lineRule="exact"/>
        <w:rPr>
          <w:sz w:val="20"/>
          <w:szCs w:val="20"/>
          <w:color w:val="auto"/>
        </w:rPr>
      </w:pPr>
    </w:p>
    <w:p>
      <w:pPr>
        <w:ind w:left="560" w:right="679" w:firstLine="337"/>
        <w:spacing w:after="0" w:line="258" w:lineRule="auto"/>
        <w:rPr>
          <w:sz w:val="20"/>
          <w:szCs w:val="20"/>
          <w:color w:val="auto"/>
        </w:rPr>
      </w:pPr>
      <w:r>
        <w:rPr>
          <w:rFonts w:ascii="Times New Roman" w:cs="Times New Roman" w:eastAsia="Times New Roman" w:hAnsi="Times New Roman"/>
          <w:sz w:val="17"/>
          <w:szCs w:val="17"/>
          <w:color w:val="auto"/>
        </w:rPr>
        <w:t>Underwriters or agents may make sales in privately negotiated transactions and/or any other method permitted by law, including sales deemed to be an “at-the-market offering” as defined in Rule 415(a)(4) under the Securities Act, which includes sales made directly on Nasdaq, the existing trading market for our Common Stock, or sales made to or through a market maker other than on an exchange.</w:t>
      </w:r>
    </w:p>
    <w:p>
      <w:pPr>
        <w:spacing w:after="0" w:line="71" w:lineRule="exact"/>
        <w:rPr>
          <w:sz w:val="20"/>
          <w:szCs w:val="20"/>
          <w:color w:val="auto"/>
        </w:rPr>
      </w:pPr>
    </w:p>
    <w:p>
      <w:pPr>
        <w:ind w:left="560" w:right="679" w:firstLine="337"/>
        <w:spacing w:after="0" w:line="252" w:lineRule="auto"/>
        <w:rPr>
          <w:sz w:val="20"/>
          <w:szCs w:val="20"/>
          <w:color w:val="auto"/>
        </w:rPr>
      </w:pPr>
      <w:r>
        <w:rPr>
          <w:rFonts w:ascii="Times New Roman" w:cs="Times New Roman" w:eastAsia="Times New Roman" w:hAnsi="Times New Roman"/>
          <w:sz w:val="17"/>
          <w:szCs w:val="17"/>
          <w:color w:val="auto"/>
        </w:rPr>
        <w:t>We may issue to our existing security holders, though a dividend or similar distribution, rights to purchase shares of our Common Stock or preferred stock, which may or may not be transferable. In any distribution of rights to our existing security holders, if all of the underlying securities are not subscribed for, we may then sell the unsubscribed securities directly to third parties or may engage the services of one or more underwriters, dealers or agents, including standby underwriters, to facilitate the distribution of the unsubscribed securities. The applicable prospectus supplement will describe the specific terms of any offering of our Common Stock or preferred stock through the issuance of rights including, if applicable, the material terms of any standby underwriting agreement or purchase agreement.</w:t>
      </w:r>
    </w:p>
    <w:p>
      <w:pPr>
        <w:spacing w:after="0" w:line="3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Sales Through Underwriters, Dealers or Agents; Direct Sales</w:t>
      </w:r>
    </w:p>
    <w:p>
      <w:pPr>
        <w:spacing w:after="0" w:line="112" w:lineRule="exact"/>
        <w:rPr>
          <w:sz w:val="20"/>
          <w:szCs w:val="20"/>
          <w:color w:val="auto"/>
        </w:rPr>
      </w:pPr>
    </w:p>
    <w:p>
      <w:pPr>
        <w:ind w:left="560" w:right="559" w:firstLine="337"/>
        <w:spacing w:after="0" w:line="252" w:lineRule="auto"/>
        <w:rPr>
          <w:sz w:val="20"/>
          <w:szCs w:val="20"/>
          <w:color w:val="auto"/>
        </w:rPr>
      </w:pPr>
      <w:r>
        <w:rPr>
          <w:rFonts w:ascii="Times New Roman" w:cs="Times New Roman" w:eastAsia="Times New Roman" w:hAnsi="Times New Roman"/>
          <w:sz w:val="17"/>
          <w:szCs w:val="17"/>
          <w:color w:val="auto"/>
        </w:rPr>
        <w:t>If we use underwriters in any sale of securities offered under this prospectus, the underwriters will buy the securities for their own account, including through underwriting, purchase, security lending or repurchase agreements with us. The underwriters may then resell the securities in one or more transactions at a fixed public offering price or at varying prices determined at the time of sale or thereafter. Unless otherwise indicated in the prospectus supplement, the obligations of the underwriters to purchase the securities will be subject to certain conditions and the underwriters will be obligated to purchase all the securities offered if they purchase any securities. The public offering price for the securities and any discounts or concessions allowed or re-allowed or paid to dealers may be changed from time to time.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4" w:name="page35"/>
    <w:bookmarkEnd w:id="3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799" w:firstLine="337"/>
        <w:spacing w:after="0" w:line="262" w:lineRule="auto"/>
        <w:rPr>
          <w:sz w:val="20"/>
          <w:szCs w:val="20"/>
          <w:color w:val="auto"/>
        </w:rPr>
      </w:pPr>
      <w:r>
        <w:rPr>
          <w:rFonts w:ascii="Times New Roman" w:cs="Times New Roman" w:eastAsia="Times New Roman" w:hAnsi="Times New Roman"/>
          <w:sz w:val="17"/>
          <w:szCs w:val="17"/>
          <w:color w:val="auto"/>
        </w:rPr>
        <w:t>If we use dealers in any sale of securities offered under this prospectus, the securities will be sold to such dealers as principals. The dealers may then resell the securities to the public at varying prices to be determined by such dealers at the time of resale.</w:t>
      </w:r>
    </w:p>
    <w:p>
      <w:pPr>
        <w:spacing w:after="0" w:line="69" w:lineRule="exact"/>
        <w:rPr>
          <w:sz w:val="20"/>
          <w:szCs w:val="20"/>
          <w:color w:val="auto"/>
        </w:rPr>
      </w:pPr>
    </w:p>
    <w:p>
      <w:pPr>
        <w:ind w:left="560" w:right="639" w:firstLine="337"/>
        <w:spacing w:after="0" w:line="258" w:lineRule="auto"/>
        <w:rPr>
          <w:sz w:val="20"/>
          <w:szCs w:val="20"/>
          <w:color w:val="auto"/>
        </w:rPr>
      </w:pPr>
      <w:r>
        <w:rPr>
          <w:rFonts w:ascii="Times New Roman" w:cs="Times New Roman" w:eastAsia="Times New Roman" w:hAnsi="Times New Roman"/>
          <w:sz w:val="17"/>
          <w:szCs w:val="17"/>
          <w:color w:val="auto"/>
        </w:rPr>
        <w:t>If agents are used in any sale of securities offered under this prospectus, they will use their reasonable best efforts to solicit purchases for the period of their appointment or to sell our securities on a continuing basis. If required, the prospectus supplement relating to any particular offering of securities will name any agents designated to solicit offers and will include information about any commissions they may be paid in that offering.</w:t>
      </w:r>
    </w:p>
    <w:p>
      <w:pPr>
        <w:spacing w:after="0" w:line="71" w:lineRule="exact"/>
        <w:rPr>
          <w:sz w:val="20"/>
          <w:szCs w:val="20"/>
          <w:color w:val="auto"/>
        </w:rPr>
      </w:pPr>
    </w:p>
    <w:p>
      <w:pPr>
        <w:ind w:left="560" w:right="1179" w:firstLine="337"/>
        <w:spacing w:after="0" w:line="276" w:lineRule="auto"/>
        <w:rPr>
          <w:sz w:val="20"/>
          <w:szCs w:val="20"/>
          <w:color w:val="auto"/>
        </w:rPr>
      </w:pPr>
      <w:r>
        <w:rPr>
          <w:rFonts w:ascii="Times New Roman" w:cs="Times New Roman" w:eastAsia="Times New Roman" w:hAnsi="Times New Roman"/>
          <w:sz w:val="17"/>
          <w:szCs w:val="17"/>
          <w:color w:val="auto"/>
        </w:rPr>
        <w:t>If securities offered under this prospectus are sold directly, no underwriters, dealers or agents would be involved.</w:t>
      </w:r>
    </w:p>
    <w:p>
      <w:pPr>
        <w:spacing w:after="0" w:line="57" w:lineRule="exact"/>
        <w:rPr>
          <w:sz w:val="20"/>
          <w:szCs w:val="20"/>
          <w:color w:val="auto"/>
        </w:rPr>
      </w:pPr>
    </w:p>
    <w:p>
      <w:pPr>
        <w:jc w:val="both"/>
        <w:ind w:left="560" w:right="919" w:firstLine="337"/>
        <w:spacing w:after="0" w:line="262" w:lineRule="auto"/>
        <w:rPr>
          <w:sz w:val="20"/>
          <w:szCs w:val="20"/>
          <w:color w:val="auto"/>
        </w:rPr>
      </w:pPr>
      <w:r>
        <w:rPr>
          <w:rFonts w:ascii="Times New Roman" w:cs="Times New Roman" w:eastAsia="Times New Roman" w:hAnsi="Times New Roman"/>
          <w:sz w:val="17"/>
          <w:szCs w:val="17"/>
          <w:color w:val="auto"/>
        </w:rPr>
        <w:t>We are not making an offer of securities in any state that does not permit such an offer. If we sell securities through dealers or agents, or directly, the terms of any such sales will be described in the applicable prospectus supplement.</w:t>
      </w:r>
    </w:p>
    <w:p>
      <w:pPr>
        <w:spacing w:after="0" w:line="31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Delayed Delivery Contracts</w:t>
      </w:r>
    </w:p>
    <w:p>
      <w:pPr>
        <w:spacing w:after="0" w:line="112"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color w:val="auto"/>
        </w:rPr>
        <w:t>We may authorize underwriters, dealers or agents to solicit offers from certain institutions whereby the institution contractually agrees to purchase the securities offered under this prospectus from us on a future date at a specific price. This type of contract may be made only with institutions that we specifically approve. Such institutions could include banks, insurance companies, pension funds, investment companies and educational and charitable institutions. The underwriters, dealers or agents will not be responsible for the validity or performance of these contracts. The prospectus supplement relating to the contracts will set forth the price to be paid for offered securities pursuant to such contracts, the commission payable for solicitation of the contracts and the date or dates in the future for delivery of offered securities pursuant to the contracts.</w:t>
      </w:r>
    </w:p>
    <w:p>
      <w:pPr>
        <w:spacing w:after="0" w:line="3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Market Making, Stabilization and Other Transactions</w:t>
      </w:r>
    </w:p>
    <w:p>
      <w:pPr>
        <w:spacing w:after="0" w:line="112" w:lineRule="exact"/>
        <w:rPr>
          <w:sz w:val="20"/>
          <w:szCs w:val="20"/>
          <w:color w:val="auto"/>
        </w:rPr>
      </w:pPr>
    </w:p>
    <w:p>
      <w:pPr>
        <w:ind w:left="560" w:right="839" w:firstLine="337"/>
        <w:spacing w:after="0" w:line="258" w:lineRule="auto"/>
        <w:rPr>
          <w:sz w:val="20"/>
          <w:szCs w:val="20"/>
          <w:color w:val="auto"/>
        </w:rPr>
      </w:pPr>
      <w:r>
        <w:rPr>
          <w:rFonts w:ascii="Times New Roman" w:cs="Times New Roman" w:eastAsia="Times New Roman" w:hAnsi="Times New Roman"/>
          <w:sz w:val="17"/>
          <w:szCs w:val="17"/>
          <w:color w:val="auto"/>
        </w:rPr>
        <w:t>Each issue of a new series of securities, other than issuances of our Common Stock, will not have an established trading market. Unless indicated in the applicable prospectus supplement, we do not expect to list the offered securities on a securities exchange, except for our Common Stock, which is listed on Nasdaq. We can provide no assurance as to whether any of our securities will have a liquid trading market.</w:t>
      </w:r>
    </w:p>
    <w:p>
      <w:pPr>
        <w:spacing w:after="0" w:line="71" w:lineRule="exact"/>
        <w:rPr>
          <w:sz w:val="20"/>
          <w:szCs w:val="20"/>
          <w:color w:val="auto"/>
        </w:rPr>
      </w:pPr>
    </w:p>
    <w:p>
      <w:pPr>
        <w:ind w:left="560" w:right="639" w:firstLine="337"/>
        <w:spacing w:after="0" w:line="268" w:lineRule="auto"/>
        <w:rPr>
          <w:sz w:val="20"/>
          <w:szCs w:val="20"/>
          <w:color w:val="auto"/>
        </w:rPr>
      </w:pPr>
      <w:r>
        <w:rPr>
          <w:rFonts w:ascii="Times New Roman" w:cs="Times New Roman" w:eastAsia="Times New Roman" w:hAnsi="Times New Roman"/>
          <w:sz w:val="16"/>
          <w:szCs w:val="16"/>
          <w:color w:val="auto"/>
        </w:rPr>
        <w:t>In order to facilitate the offering of any of the securities offered under this prospectus, the underwriters with respect to any such offering may, as described in the prospectus supplement and in accordance with applicable law, engage in transactions that stabilize, maintain or otherwise affect the price of the securities or any other securities the prices of which may be used to determine payments on these securities. Stabilizing transactions involve bids to purchase the underlying security in the open market for the purpose of preventing or delaying a decline in the price of the securities. Syndicate covering transactions involve purchases of the securities in the open market after the distribution has been completed in order to cover syndicate short positions. Penalty bids permit the underwriters to reclaim a selling concession from a syndicate member when the securities originally sold by the syndicate member are purchased in a stabilizing or syndicate covering transaction to cover syndicate short positions. Any of these activities may have the effect of raising or maintaining the market price of our securities or preventing or delaying a decline in the market price of our securities. As a result, the market price of the securities may be higher than it otherwise would be in the absence of these transactions. The underwriters are not required to engage in these activities, and may end any of these activities at any time, all as described in the applicable prospectus supplement.</w:t>
      </w:r>
    </w:p>
    <w:p>
      <w:pPr>
        <w:spacing w:after="0" w:line="65" w:lineRule="exact"/>
        <w:rPr>
          <w:sz w:val="20"/>
          <w:szCs w:val="20"/>
          <w:color w:val="auto"/>
        </w:rPr>
      </w:pPr>
    </w:p>
    <w:p>
      <w:pPr>
        <w:ind w:left="560" w:right="579" w:firstLine="337"/>
        <w:spacing w:after="0" w:line="253" w:lineRule="auto"/>
        <w:rPr>
          <w:sz w:val="20"/>
          <w:szCs w:val="20"/>
          <w:color w:val="auto"/>
        </w:rPr>
      </w:pPr>
      <w:r>
        <w:rPr>
          <w:rFonts w:ascii="Times New Roman" w:cs="Times New Roman" w:eastAsia="Times New Roman" w:hAnsi="Times New Roman"/>
          <w:sz w:val="17"/>
          <w:szCs w:val="17"/>
          <w:color w:val="auto"/>
        </w:rPr>
        <w:t>Any person participating in the distribution of securities will be subject to applicable provisions of the Exchange Act and the rules and regulations under the Exchange Act, including Regulation M, which may limit the timing of transactions involving the securities offered under this prospectus. Furthermore, Regulation M may restrict the ability of any person engaged in the distribution of such securities to engage in market-making activities with respect to the particular securities being distributed. All of the above may affect the marketability of the securities offered under this prospectus and the ability of any person or entity to engage in market-making activities with respect to such securities.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5" w:name="page36"/>
    <w:bookmarkEnd w:id="3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Derivative Transactions and Hedging</w:t>
      </w:r>
    </w:p>
    <w:p>
      <w:pPr>
        <w:spacing w:after="0" w:line="112" w:lineRule="exact"/>
        <w:rPr>
          <w:sz w:val="20"/>
          <w:szCs w:val="20"/>
          <w:color w:val="auto"/>
        </w:rPr>
      </w:pPr>
    </w:p>
    <w:p>
      <w:pPr>
        <w:ind w:left="560" w:right="599" w:firstLine="337"/>
        <w:spacing w:after="0" w:line="269" w:lineRule="auto"/>
        <w:rPr>
          <w:sz w:val="20"/>
          <w:szCs w:val="20"/>
          <w:color w:val="auto"/>
        </w:rPr>
      </w:pPr>
      <w:r>
        <w:rPr>
          <w:rFonts w:ascii="Times New Roman" w:cs="Times New Roman" w:eastAsia="Times New Roman" w:hAnsi="Times New Roman"/>
          <w:sz w:val="16"/>
          <w:szCs w:val="16"/>
          <w:color w:val="auto"/>
        </w:rPr>
        <w:t>We, the underwriters or other agents engaged by us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31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Electronic Auctions</w:t>
      </w:r>
    </w:p>
    <w:p>
      <w:pPr>
        <w:spacing w:after="0" w:line="112" w:lineRule="exact"/>
        <w:rPr>
          <w:sz w:val="20"/>
          <w:szCs w:val="20"/>
          <w:color w:val="auto"/>
        </w:rPr>
      </w:pPr>
    </w:p>
    <w:p>
      <w:pPr>
        <w:ind w:left="560" w:right="559" w:firstLine="337"/>
        <w:spacing w:after="0" w:line="279" w:lineRule="auto"/>
        <w:rPr>
          <w:sz w:val="20"/>
          <w:szCs w:val="20"/>
          <w:color w:val="auto"/>
        </w:rPr>
      </w:pPr>
      <w:r>
        <w:rPr>
          <w:rFonts w:ascii="Times New Roman" w:cs="Times New Roman" w:eastAsia="Times New Roman" w:hAnsi="Times New Roman"/>
          <w:sz w:val="16"/>
          <w:szCs w:val="16"/>
          <w:color w:val="auto"/>
        </w:rPr>
        <w:t>We may also make sales through the Internet or through other electronic means. We may from time to time elect to offer securities directly to the public, with or without the involvement of agents, underwriters or dealers, utilizing the Internet or other forms of electronic bidding or ordering systems for the pricing and allocation of such securities. We will provide a description of any such system in the prospectus supplement for the applicable offering.</w:t>
      </w:r>
    </w:p>
    <w:p>
      <w:pPr>
        <w:spacing w:after="0" w:line="56" w:lineRule="exact"/>
        <w:rPr>
          <w:sz w:val="20"/>
          <w:szCs w:val="20"/>
          <w:color w:val="auto"/>
        </w:rPr>
      </w:pPr>
    </w:p>
    <w:p>
      <w:pPr>
        <w:ind w:left="560" w:right="559" w:firstLine="337"/>
        <w:spacing w:after="0" w:line="253" w:lineRule="auto"/>
        <w:rPr>
          <w:sz w:val="20"/>
          <w:szCs w:val="20"/>
          <w:color w:val="auto"/>
        </w:rPr>
      </w:pPr>
      <w:r>
        <w:rPr>
          <w:rFonts w:ascii="Times New Roman" w:cs="Times New Roman" w:eastAsia="Times New Roman" w:hAnsi="Times New Roman"/>
          <w:sz w:val="17"/>
          <w:szCs w:val="17"/>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debt security, the clearing spread could be indicated as a number of “basis points” above an index treasury note.</w:t>
      </w:r>
    </w:p>
    <w:p>
      <w:pPr>
        <w:spacing w:after="0" w:line="77" w:lineRule="exact"/>
        <w:rPr>
          <w:sz w:val="20"/>
          <w:szCs w:val="20"/>
          <w:color w:val="auto"/>
        </w:rPr>
      </w:pPr>
    </w:p>
    <w:p>
      <w:pPr>
        <w:ind w:left="560" w:right="579" w:firstLine="337"/>
        <w:spacing w:after="0" w:line="258" w:lineRule="auto"/>
        <w:rPr>
          <w:sz w:val="20"/>
          <w:szCs w:val="20"/>
          <w:color w:val="auto"/>
        </w:rPr>
      </w:pPr>
      <w:r>
        <w:rPr>
          <w:rFonts w:ascii="Times New Roman" w:cs="Times New Roman" w:eastAsia="Times New Roman" w:hAnsi="Times New Roman"/>
          <w:sz w:val="17"/>
          <w:szCs w:val="17"/>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30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General Information</w:t>
      </w:r>
    </w:p>
    <w:p>
      <w:pPr>
        <w:spacing w:after="0" w:line="112" w:lineRule="exact"/>
        <w:rPr>
          <w:sz w:val="20"/>
          <w:szCs w:val="20"/>
          <w:color w:val="auto"/>
        </w:rPr>
      </w:pPr>
    </w:p>
    <w:p>
      <w:pPr>
        <w:ind w:left="560" w:right="619" w:firstLine="337"/>
        <w:spacing w:after="0" w:line="255" w:lineRule="auto"/>
        <w:rPr>
          <w:sz w:val="20"/>
          <w:szCs w:val="20"/>
          <w:color w:val="auto"/>
        </w:rPr>
      </w:pPr>
      <w:r>
        <w:rPr>
          <w:rFonts w:ascii="Times New Roman" w:cs="Times New Roman" w:eastAsia="Times New Roman" w:hAnsi="Times New Roman"/>
          <w:sz w:val="17"/>
          <w:szCs w:val="17"/>
          <w:color w:val="auto"/>
        </w:rPr>
        <w:t>We expect that any agreements we may have with underwriters, dealers and agents will include provisions indemnifying them against certain civil liabilities, including certain liabilities under the Securities Act, or providing for contribution with respect to payments that they may be required to make. An underwriter, dealer or agent, or any of their affiliates, may be a customer of, or otherwise engage in transactions with or perform services for us in the ordinary course of business.</w:t>
      </w:r>
    </w:p>
    <w:p>
      <w:pPr>
        <w:spacing w:after="0" w:line="76" w:lineRule="exact"/>
        <w:rPr>
          <w:sz w:val="20"/>
          <w:szCs w:val="20"/>
          <w:color w:val="auto"/>
        </w:rPr>
      </w:pPr>
    </w:p>
    <w:p>
      <w:pPr>
        <w:ind w:left="560" w:right="1179" w:firstLine="337"/>
        <w:spacing w:after="0" w:line="276" w:lineRule="auto"/>
        <w:rPr>
          <w:sz w:val="20"/>
          <w:szCs w:val="20"/>
          <w:color w:val="auto"/>
        </w:rPr>
      </w:pPr>
      <w:r>
        <w:rPr>
          <w:rFonts w:ascii="Times New Roman" w:cs="Times New Roman" w:eastAsia="Times New Roman" w:hAnsi="Times New Roman"/>
          <w:sz w:val="17"/>
          <w:szCs w:val="17"/>
          <w:color w:val="auto"/>
        </w:rPr>
        <w:t>The specific terms of any lock-up provisions with respect to any given offering will be described in the applicable prospectus supplement.</w:t>
      </w:r>
    </w:p>
    <w:p>
      <w:pPr>
        <w:spacing w:after="0" w:line="57" w:lineRule="exact"/>
        <w:rPr>
          <w:sz w:val="20"/>
          <w:szCs w:val="20"/>
          <w:color w:val="auto"/>
        </w:rPr>
      </w:pPr>
    </w:p>
    <w:p>
      <w:pPr>
        <w:ind w:left="560" w:right="579" w:firstLine="337"/>
        <w:spacing w:after="0" w:line="255" w:lineRule="auto"/>
        <w:rPr>
          <w:sz w:val="20"/>
          <w:szCs w:val="20"/>
          <w:color w:val="auto"/>
        </w:rPr>
      </w:pPr>
      <w:r>
        <w:rPr>
          <w:rFonts w:ascii="Times New Roman" w:cs="Times New Roman" w:eastAsia="Times New Roman" w:hAnsi="Times New Roman"/>
          <w:sz w:val="17"/>
          <w:szCs w:val="17"/>
          <w:color w:val="auto"/>
        </w:rPr>
        <w:t>Under the securities laws of various states, the securities offered under this prospectus may be sold in those states only through registered or licensed brokers or dealers. In addition, in various states the securities offered under this prospectus may not be offered and sold unless such securities have been registered or qualified for sale in the state or an exemption from such registration or qualification is available. We are not making an offer of securities in any state that does not permit such an offer.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6" w:name="page37"/>
    <w:bookmarkEnd w:id="3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2" w:lineRule="exact"/>
        <w:rPr>
          <w:sz w:val="20"/>
          <w:szCs w:val="20"/>
          <w:color w:val="auto"/>
        </w:rPr>
      </w:pPr>
    </w:p>
    <w:p>
      <w:pPr>
        <w:ind w:left="560" w:right="619" w:firstLine="337"/>
        <w:spacing w:after="0" w:line="258" w:lineRule="auto"/>
        <w:rPr>
          <w:sz w:val="20"/>
          <w:szCs w:val="20"/>
          <w:color w:val="auto"/>
        </w:rPr>
      </w:pPr>
      <w:r>
        <w:rPr>
          <w:rFonts w:ascii="Times New Roman" w:cs="Times New Roman" w:eastAsia="Times New Roman" w:hAnsi="Times New Roman"/>
          <w:sz w:val="17"/>
          <w:szCs w:val="17"/>
          <w:color w:val="auto"/>
        </w:rPr>
        <w:t>Unless otherwise indicated in the applicable prospectus supplement, the validity of the securities will be passed upon for us by Covington &amp; Burling LLP, New York, New York. If legal matters are passed upon by counsel for the underwriters, dealers or agents, if any, such counsel will be named in the prospectus supplement relating to such offering.</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7" w:name="page38"/>
    <w:bookmarkEnd w:id="3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2" w:lineRule="exact"/>
        <w:rPr>
          <w:sz w:val="20"/>
          <w:szCs w:val="20"/>
          <w:color w:val="auto"/>
        </w:rPr>
      </w:pPr>
    </w:p>
    <w:p>
      <w:pPr>
        <w:ind w:left="560" w:right="779"/>
        <w:spacing w:after="0" w:line="254" w:lineRule="auto"/>
        <w:rPr>
          <w:sz w:val="20"/>
          <w:szCs w:val="20"/>
          <w:color w:val="auto"/>
        </w:rPr>
      </w:pPr>
      <w:r>
        <w:rPr>
          <w:rFonts w:ascii="Times New Roman" w:cs="Times New Roman" w:eastAsia="Times New Roman" w:hAnsi="Times New Roman"/>
          <w:sz w:val="17"/>
          <w:szCs w:val="17"/>
          <w:color w:val="auto"/>
        </w:rPr>
        <w:t>Ernst &amp; Young LLP, independent registered public accounting firm, has audited our consolidated financial statements included in our Annual Report on Form 10-K for the year ended December 31, 2023 and the effectiveness of our internal control over financial reporting as of December 31, 2023,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76" w:lineRule="exact"/>
        <w:rPr>
          <w:sz w:val="20"/>
          <w:szCs w:val="20"/>
          <w:color w:val="auto"/>
        </w:rPr>
      </w:pPr>
    </w:p>
    <w:p>
      <w:pPr>
        <w:ind w:left="560" w:right="599" w:firstLine="337"/>
        <w:spacing w:after="0" w:line="255" w:lineRule="auto"/>
        <w:rPr>
          <w:sz w:val="20"/>
          <w:szCs w:val="20"/>
          <w:color w:val="auto"/>
        </w:rPr>
      </w:pPr>
      <w:r>
        <w:rPr>
          <w:rFonts w:ascii="Times New Roman" w:cs="Times New Roman" w:eastAsia="Times New Roman" w:hAnsi="Times New Roman"/>
          <w:sz w:val="17"/>
          <w:szCs w:val="17"/>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660" w:right="779"/>
        <w:spacing w:after="0" w:line="244" w:lineRule="auto"/>
        <w:rPr>
          <w:sz w:val="20"/>
          <w:szCs w:val="20"/>
          <w:color w:val="auto"/>
        </w:rPr>
      </w:pPr>
      <w:r>
        <w:rPr>
          <w:rFonts w:ascii="Arial" w:cs="Arial" w:eastAsia="Arial" w:hAnsi="Arial"/>
          <w:sz w:val="17"/>
          <w:szCs w:val="17"/>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C0014"/>
        </w:rPr>
        <w:t>SUBJECT TO COMPLETION, DATED DECEMBER 13, 2024</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170180</wp:posOffset>
            </wp:positionV>
            <wp:extent cx="1986280" cy="6032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1986280" cy="60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w:t>
      </w:r>
    </w:p>
    <w:p>
      <w:pPr>
        <w:spacing w:after="0" w:line="35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4"/>
          <w:szCs w:val="24"/>
          <w:b w:val="1"/>
          <w:bCs w:val="1"/>
          <w:color w:val="auto"/>
        </w:rPr>
        <w:t>Up to $100,000,000</w:t>
      </w:r>
    </w:p>
    <w:p>
      <w:pPr>
        <w:spacing w:after="0" w:line="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b w:val="1"/>
          <w:bCs w:val="1"/>
          <w:color w:val="auto"/>
        </w:rPr>
        <w:t> </w:t>
      </w:r>
    </w:p>
    <w:p>
      <w:pPr>
        <w:spacing w:after="0" w:line="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151765</wp:posOffset>
            </wp:positionV>
            <wp:extent cx="10293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367" w:lineRule="exact"/>
        <w:rPr>
          <w:sz w:val="20"/>
          <w:szCs w:val="20"/>
          <w:color w:val="auto"/>
        </w:rPr>
      </w:pPr>
    </w:p>
    <w:p>
      <w:pPr>
        <w:jc w:val="both"/>
        <w:ind w:left="660" w:right="879" w:firstLine="338"/>
        <w:spacing w:after="0" w:line="255" w:lineRule="auto"/>
        <w:rPr>
          <w:sz w:val="20"/>
          <w:szCs w:val="20"/>
          <w:color w:val="auto"/>
        </w:rPr>
      </w:pPr>
      <w:r>
        <w:rPr>
          <w:rFonts w:ascii="Times New Roman" w:cs="Times New Roman" w:eastAsia="Times New Roman" w:hAnsi="Times New Roman"/>
          <w:sz w:val="17"/>
          <w:szCs w:val="17"/>
          <w:color w:val="auto"/>
        </w:rPr>
        <w:t>We have entered into a sales agreement, or the Sales Agreement, with Leerink Partners LLC, or Leerink Partners, dated December 13, 2024, relating to the sale of shares of our common stock, par value $0.0001 per share, or the Common Stock, offered by this prospectus. In accordance with the terms of the Sales Agreement, under this prospectus we may offer and sell shares of our Common Stock having an aggregate offering price of up to $100,000,000 from time to time through Leerink Partners, acting as our agent.</w:t>
      </w:r>
    </w:p>
    <w:p>
      <w:pPr>
        <w:spacing w:after="0" w:line="76" w:lineRule="exact"/>
        <w:rPr>
          <w:sz w:val="20"/>
          <w:szCs w:val="20"/>
          <w:color w:val="auto"/>
        </w:rPr>
      </w:pPr>
    </w:p>
    <w:p>
      <w:pPr>
        <w:ind w:left="660" w:right="1079" w:firstLine="338"/>
        <w:spacing w:after="0" w:line="309" w:lineRule="auto"/>
        <w:rPr>
          <w:sz w:val="20"/>
          <w:szCs w:val="20"/>
          <w:color w:val="auto"/>
        </w:rPr>
      </w:pPr>
      <w:r>
        <w:rPr>
          <w:rFonts w:ascii="Times New Roman" w:cs="Times New Roman" w:eastAsia="Times New Roman" w:hAnsi="Times New Roman"/>
          <w:sz w:val="16"/>
          <w:szCs w:val="16"/>
          <w:color w:val="auto"/>
        </w:rPr>
        <w:t>Our Common Stock is listed on the Nasdaq Global Market, or Nasdaq, under the symbol “RNAC.” On December 12, 2024, the last reported sale price of our Common Stock on Nasdaq was $20.12 per share.</w:t>
      </w:r>
    </w:p>
    <w:p>
      <w:pPr>
        <w:spacing w:after="0" w:line="33" w:lineRule="exact"/>
        <w:rPr>
          <w:sz w:val="20"/>
          <w:szCs w:val="20"/>
          <w:color w:val="auto"/>
        </w:rPr>
      </w:pPr>
    </w:p>
    <w:p>
      <w:pPr>
        <w:ind w:left="660" w:right="699" w:firstLine="338"/>
        <w:spacing w:after="0" w:line="255" w:lineRule="auto"/>
        <w:rPr>
          <w:sz w:val="20"/>
          <w:szCs w:val="20"/>
          <w:color w:val="auto"/>
        </w:rPr>
      </w:pPr>
      <w:r>
        <w:rPr>
          <w:rFonts w:ascii="Times New Roman" w:cs="Times New Roman" w:eastAsia="Times New Roman" w:hAnsi="Times New Roman"/>
          <w:sz w:val="17"/>
          <w:szCs w:val="17"/>
          <w:color w:val="auto"/>
        </w:rPr>
        <w:t>Sales of our Common Stock, if any, under this prospectus will be made by any method permitted that is deemed an “at the market offering” as defined in Rule 415(a)(4) under the Securities Act of 1933, as amended, or the Securities Act. Leerink Partners is not required to sell any specific amount of our Common Stock, but will act as our sales agent using commercially reasonable efforts consistent with its normal trading and sales practices. There is no arrangement for funds to be received in any escrow, trust or similar arrangement.</w:t>
      </w:r>
    </w:p>
    <w:p>
      <w:pPr>
        <w:spacing w:after="0" w:line="76" w:lineRule="exact"/>
        <w:rPr>
          <w:sz w:val="20"/>
          <w:szCs w:val="20"/>
          <w:color w:val="auto"/>
        </w:rPr>
      </w:pPr>
    </w:p>
    <w:p>
      <w:pPr>
        <w:ind w:left="660" w:right="719" w:firstLine="338"/>
        <w:spacing w:after="0" w:line="253" w:lineRule="auto"/>
        <w:rPr>
          <w:sz w:val="20"/>
          <w:szCs w:val="20"/>
          <w:color w:val="auto"/>
        </w:rPr>
      </w:pPr>
      <w:r>
        <w:rPr>
          <w:rFonts w:ascii="Times New Roman" w:cs="Times New Roman" w:eastAsia="Times New Roman" w:hAnsi="Times New Roman"/>
          <w:sz w:val="17"/>
          <w:szCs w:val="17"/>
          <w:color w:val="auto"/>
        </w:rPr>
        <w:t>Leerink Partners will be entitled to compensation at a commission rate of up to 3.0% of the gross sales price per share sold under the Sales Agreement. In connection with the sale of the Common Stock on our behalf, Leerink Partners will be deemed to be an “underwriter” within the meaning of the Securities Act and the compensation of Leerink Partners will be deemed to be underwriting commissions or discounts. We have also agreed to provide indemnification and contribution to Leerink Partners with respect to certain liabilities, including liabilities under the Securities Act.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18</w:t>
      </w:r>
      <w:r>
        <w:rPr>
          <w:rFonts w:ascii="Times New Roman" w:cs="Times New Roman" w:eastAsia="Times New Roman" w:hAnsi="Times New Roman"/>
          <w:sz w:val="17"/>
          <w:szCs w:val="17"/>
          <w:color w:val="auto"/>
        </w:rPr>
        <w:t xml:space="preserve"> for additional information regarding the compensation to be paid to Leerink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180340</wp:posOffset>
            </wp:positionV>
            <wp:extent cx="10293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60" w:right="879" w:firstLine="338"/>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INVESTING IN OUR SECURITIES INVOLVES SIGNIFICANT RISKS. SEE “RISK FACTORS” ON PAGE </w:t>
      </w:r>
      <w:r>
        <w:rPr>
          <w:rFonts w:ascii="Times New Roman" w:cs="Times New Roman" w:eastAsia="Times New Roman" w:hAnsi="Times New Roman"/>
          <w:sz w:val="17"/>
          <w:szCs w:val="17"/>
          <w:b w:val="1"/>
          <w:bCs w:val="1"/>
          <w:u w:val="single" w:color="auto"/>
          <w:color w:val="0000EE"/>
        </w:rPr>
        <w:t>9</w:t>
      </w:r>
      <w:r>
        <w:rPr>
          <w:rFonts w:ascii="Times New Roman" w:cs="Times New Roman" w:eastAsia="Times New Roman" w:hAnsi="Times New Roman"/>
          <w:sz w:val="17"/>
          <w:szCs w:val="17"/>
          <w:b w:val="1"/>
          <w:bCs w:val="1"/>
          <w:color w:val="auto"/>
        </w:rPr>
        <w:t xml:space="preserve"> OF THIS PROSPECTUS AND IN THE DOCUMENTS INCORPORATED BY REFERENCE IN THIS PROSPECTUS CONCERNING FACTORS YOU SHOULD CONSIDER BEFORE INVESTING IN OUR COMMON STOCK.</w:t>
      </w:r>
    </w:p>
    <w:p>
      <w:pPr>
        <w:spacing w:after="0" w:line="68" w:lineRule="exact"/>
        <w:rPr>
          <w:sz w:val="20"/>
          <w:szCs w:val="20"/>
          <w:color w:val="auto"/>
        </w:rPr>
      </w:pPr>
    </w:p>
    <w:p>
      <w:pPr>
        <w:ind w:left="660" w:right="679" w:firstLine="338"/>
        <w:spacing w:after="0" w:line="26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148590</wp:posOffset>
            </wp:positionV>
            <wp:extent cx="10293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Leerink Partners</w:t>
      </w:r>
    </w:p>
    <w:p>
      <w:pPr>
        <w:sectPr>
          <w:pgSz w:w="11900" w:h="16838" w:orient="portrait"/>
          <w:cols w:equalWidth="0" w:num="1">
            <w:col w:w="9019"/>
          </w:cols>
          <w:pgMar w:left="1440" w:top="2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date of this prospectus is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137160</wp:posOffset>
            </wp:positionV>
            <wp:extent cx="656209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type w:val="continuous"/>
        </w:sectPr>
      </w:pPr>
    </w:p>
    <w:bookmarkStart w:id="39" w:name="page40"/>
    <w:bookmarkEnd w:id="39"/>
    <w:tbl>
      <w:tblPr>
        <w:tblLayout w:type="fixed"/>
        <w:tblInd w:w="560" w:type="dxa"/>
        <w:tblCellMar>
          <w:top w:w="0" w:type="dxa"/>
          <w:left w:w="0" w:type="dxa"/>
          <w:bottom w:w="0" w:type="dxa"/>
          <w:right w:w="0" w:type="dxa"/>
        </w:tblCellMar>
      </w:tblPr>
      <w:tr>
        <w:trPr>
          <w:trHeight w:val="151"/>
        </w:trPr>
        <w:tc>
          <w:tcPr>
            <w:tcW w:w="7280" w:type="dxa"/>
            <w:vAlign w:val="bottom"/>
            <w:gridSpan w:val="15"/>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21"/>
        </w:trPr>
        <w:tc>
          <w:tcPr>
            <w:tcW w:w="7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2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
        </w:trPr>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66"/>
        </w:trPr>
        <w:tc>
          <w:tcPr>
            <w:tcW w:w="72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0000EE"/>
              </w:rPr>
              <w:t>1</w:t>
            </w:r>
          </w:p>
        </w:tc>
        <w:tc>
          <w:tcPr>
            <w:tcW w:w="20" w:type="dxa"/>
            <w:vAlign w:val="bottom"/>
            <w:shd w:val="clear" w:color="auto" w:fill="CCEEFF"/>
          </w:tcPr>
          <w:p>
            <w:pPr>
              <w:spacing w:after="0"/>
              <w:rPr>
                <w:sz w:val="23"/>
                <w:szCs w:val="23"/>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7280" w:type="dxa"/>
            <w:vAlign w:val="bottom"/>
            <w:gridSpan w:val="15"/>
          </w:tcPr>
          <w:p>
            <w:pPr>
              <w:spacing w:after="0" w:line="177"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6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2</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3580" w:type="dxa"/>
            <w:vAlign w:val="bottom"/>
            <w:gridSpan w:val="13"/>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8"/>
              </w:rPr>
              <w:t>WHERE YOU CAN FIND MORE INFORMATION</w:t>
            </w:r>
          </w:p>
        </w:tc>
        <w:tc>
          <w:tcPr>
            <w:tcW w:w="3700" w:type="dxa"/>
            <w:vAlign w:val="bottom"/>
            <w:gridSpan w:val="2"/>
            <w:shd w:val="clear" w:color="auto" w:fill="CCEEFF"/>
          </w:tcPr>
          <w:p>
            <w:pPr>
              <w:spacing w:after="0"/>
              <w:rPr>
                <w:sz w:val="15"/>
                <w:szCs w:val="15"/>
                <w:color w:val="auto"/>
              </w:rPr>
            </w:pPr>
          </w:p>
        </w:tc>
        <w:tc>
          <w:tcPr>
            <w:tcW w:w="60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0000EE"/>
              </w:rPr>
              <w:t>4</w:t>
            </w:r>
          </w:p>
        </w:tc>
        <w:tc>
          <w:tcPr>
            <w:tcW w:w="20" w:type="dxa"/>
            <w:vAlign w:val="bottom"/>
            <w:shd w:val="clear" w:color="auto" w:fill="CCEEFF"/>
          </w:tcPr>
          <w:p>
            <w:pPr>
              <w:spacing w:after="0"/>
              <w:rPr>
                <w:sz w:val="15"/>
                <w:szCs w:val="15"/>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3580" w:type="dxa"/>
            <w:vAlign w:val="bottom"/>
            <w:gridSpan w:val="13"/>
          </w:tcPr>
          <w:p>
            <w:pPr>
              <w:spacing w:after="0" w:line="177" w:lineRule="exact"/>
              <w:rPr>
                <w:sz w:val="20"/>
                <w:szCs w:val="20"/>
                <w:color w:val="auto"/>
              </w:rPr>
            </w:pPr>
            <w:r>
              <w:rPr>
                <w:rFonts w:ascii="Times New Roman" w:cs="Times New Roman" w:eastAsia="Times New Roman" w:hAnsi="Times New Roman"/>
                <w:sz w:val="17"/>
                <w:szCs w:val="17"/>
                <w:color w:val="0000EE"/>
              </w:rPr>
              <w:t>INCORPORATION BY REFERENCE</w:t>
            </w:r>
          </w:p>
        </w:tc>
        <w:tc>
          <w:tcPr>
            <w:tcW w:w="3700" w:type="dxa"/>
            <w:vAlign w:val="bottom"/>
            <w:gridSpan w:val="2"/>
          </w:tcPr>
          <w:p>
            <w:pPr>
              <w:spacing w:after="0"/>
              <w:rPr>
                <w:sz w:val="15"/>
                <w:szCs w:val="15"/>
                <w:color w:val="auto"/>
              </w:rPr>
            </w:pPr>
          </w:p>
        </w:tc>
        <w:tc>
          <w:tcPr>
            <w:tcW w:w="6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5</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280" w:type="dxa"/>
            <w:vAlign w:val="bottom"/>
            <w:gridSpan w:val="15"/>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PROSPECTUS SUMMARY</w:t>
            </w:r>
          </w:p>
        </w:tc>
        <w:tc>
          <w:tcPr>
            <w:tcW w:w="600" w:type="dxa"/>
            <w:vAlign w:val="bottom"/>
            <w:gridSpan w:val="3"/>
            <w:shd w:val="clear" w:color="auto" w:fill="CCEEFF"/>
          </w:tcPr>
          <w:p>
            <w:pPr>
              <w:jc w:val="right"/>
              <w:spacing w:after="0" w:line="177" w:lineRule="exact"/>
              <w:rPr>
                <w:sz w:val="20"/>
                <w:szCs w:val="20"/>
                <w:color w:val="auto"/>
              </w:rPr>
            </w:pPr>
            <w:r>
              <w:rPr>
                <w:rFonts w:ascii="Times New Roman" w:cs="Times New Roman" w:eastAsia="Times New Roman" w:hAnsi="Times New Roman"/>
                <w:sz w:val="17"/>
                <w:szCs w:val="17"/>
                <w:color w:val="0000EE"/>
              </w:rPr>
              <w:t>6</w:t>
            </w:r>
          </w:p>
        </w:tc>
        <w:tc>
          <w:tcPr>
            <w:tcW w:w="20" w:type="dxa"/>
            <w:vAlign w:val="bottom"/>
            <w:shd w:val="clear" w:color="auto" w:fill="CCEEFF"/>
          </w:tcPr>
          <w:p>
            <w:pPr>
              <w:spacing w:after="0"/>
              <w:rPr>
                <w:sz w:val="15"/>
                <w:szCs w:val="15"/>
                <w:color w:val="auto"/>
              </w:rPr>
            </w:pP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1940" w:type="dxa"/>
            <w:vAlign w:val="bottom"/>
            <w:gridSpan w:val="9"/>
          </w:tcPr>
          <w:p>
            <w:pPr>
              <w:spacing w:after="0" w:line="177" w:lineRule="exact"/>
              <w:rPr>
                <w:sz w:val="20"/>
                <w:szCs w:val="20"/>
                <w:color w:val="auto"/>
              </w:rPr>
            </w:pPr>
            <w:r>
              <w:rPr>
                <w:rFonts w:ascii="Times New Roman" w:cs="Times New Roman" w:eastAsia="Times New Roman" w:hAnsi="Times New Roman"/>
                <w:sz w:val="17"/>
                <w:szCs w:val="17"/>
                <w:color w:val="0000EE"/>
              </w:rPr>
              <w:t>RISK FACTORS</w:t>
            </w:r>
          </w:p>
        </w:tc>
        <w:tc>
          <w:tcPr>
            <w:tcW w:w="5340" w:type="dxa"/>
            <w:vAlign w:val="bottom"/>
            <w:gridSpan w:val="6"/>
          </w:tcPr>
          <w:p>
            <w:pPr>
              <w:spacing w:after="0"/>
              <w:rPr>
                <w:sz w:val="15"/>
                <w:szCs w:val="15"/>
                <w:color w:val="auto"/>
              </w:rPr>
            </w:pPr>
          </w:p>
        </w:tc>
        <w:tc>
          <w:tcPr>
            <w:tcW w:w="6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9</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480" w:type="dxa"/>
            <w:vAlign w:val="bottom"/>
            <w:gridSpan w:val="7"/>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7"/>
              </w:rPr>
              <w:t>USE OF PROCEEDS</w:t>
            </w:r>
          </w:p>
        </w:tc>
        <w:tc>
          <w:tcPr>
            <w:tcW w:w="5800" w:type="dxa"/>
            <w:vAlign w:val="bottom"/>
            <w:gridSpan w:val="8"/>
            <w:shd w:val="clear" w:color="auto" w:fill="CCEEFF"/>
          </w:tcPr>
          <w:p>
            <w:pPr>
              <w:spacing w:after="0"/>
              <w:rPr>
                <w:sz w:val="15"/>
                <w:szCs w:val="15"/>
                <w:color w:val="auto"/>
              </w:rPr>
            </w:pPr>
          </w:p>
        </w:tc>
        <w:tc>
          <w:tcPr>
            <w:tcW w:w="62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10</w:t>
            </w: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7280" w:type="dxa"/>
            <w:vAlign w:val="bottom"/>
            <w:gridSpan w:val="15"/>
          </w:tcPr>
          <w:p>
            <w:pPr>
              <w:spacing w:after="0" w:line="177" w:lineRule="exact"/>
              <w:rPr>
                <w:sz w:val="20"/>
                <w:szCs w:val="20"/>
                <w:color w:val="auto"/>
              </w:rPr>
            </w:pPr>
            <w:r>
              <w:rPr>
                <w:rFonts w:ascii="Times New Roman" w:cs="Times New Roman" w:eastAsia="Times New Roman" w:hAnsi="Times New Roman"/>
                <w:sz w:val="17"/>
                <w:szCs w:val="17"/>
                <w:color w:val="0000EE"/>
              </w:rPr>
              <w:t>DESCRIPTION OF COMMON STOCK</w:t>
            </w:r>
          </w:p>
        </w:tc>
        <w:tc>
          <w:tcPr>
            <w:tcW w:w="600" w:type="dxa"/>
            <w:vAlign w:val="bottom"/>
            <w:gridSpan w:val="3"/>
          </w:tcPr>
          <w:p>
            <w:pPr>
              <w:jc w:val="right"/>
              <w:spacing w:after="0" w:line="177" w:lineRule="exact"/>
              <w:rPr>
                <w:sz w:val="20"/>
                <w:szCs w:val="20"/>
                <w:color w:val="auto"/>
              </w:rPr>
            </w:pPr>
            <w:r>
              <w:rPr>
                <w:rFonts w:ascii="Times New Roman" w:cs="Times New Roman" w:eastAsia="Times New Roman" w:hAnsi="Times New Roman"/>
                <w:sz w:val="17"/>
                <w:szCs w:val="17"/>
                <w:color w:val="0000EE"/>
              </w:rPr>
              <w:t>11</w:t>
            </w:r>
          </w:p>
        </w:tc>
        <w:tc>
          <w:tcPr>
            <w:tcW w:w="20" w:type="dxa"/>
            <w:vAlign w:val="bottom"/>
          </w:tcPr>
          <w:p>
            <w:pPr>
              <w:spacing w:after="0"/>
              <w:rPr>
                <w:sz w:val="15"/>
                <w:szCs w:val="15"/>
                <w:color w:val="auto"/>
              </w:rPr>
            </w:pPr>
          </w:p>
        </w:tc>
      </w:tr>
      <w:tr>
        <w:trPr>
          <w:trHeight w:val="31"/>
        </w:trPr>
        <w:tc>
          <w:tcPr>
            <w:tcW w:w="7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280" w:type="dxa"/>
            <w:vAlign w:val="bottom"/>
            <w:gridSpan w:val="15"/>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DIVIDEND POLICY</w:t>
            </w:r>
          </w:p>
        </w:tc>
        <w:tc>
          <w:tcPr>
            <w:tcW w:w="62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15</w:t>
            </w: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1460" w:type="dxa"/>
            <w:vAlign w:val="bottom"/>
            <w:gridSpan w:val="6"/>
          </w:tcPr>
          <w:p>
            <w:pPr>
              <w:spacing w:after="0" w:line="177" w:lineRule="exact"/>
              <w:rPr>
                <w:sz w:val="20"/>
                <w:szCs w:val="20"/>
                <w:color w:val="auto"/>
              </w:rPr>
            </w:pPr>
            <w:r>
              <w:rPr>
                <w:rFonts w:ascii="Times New Roman" w:cs="Times New Roman" w:eastAsia="Times New Roman" w:hAnsi="Times New Roman"/>
                <w:sz w:val="17"/>
                <w:szCs w:val="17"/>
                <w:color w:val="0000EE"/>
              </w:rPr>
              <w:t>DILUTION</w:t>
            </w:r>
          </w:p>
        </w:tc>
        <w:tc>
          <w:tcPr>
            <w:tcW w:w="5820" w:type="dxa"/>
            <w:vAlign w:val="bottom"/>
            <w:gridSpan w:val="9"/>
          </w:tcPr>
          <w:p>
            <w:pPr>
              <w:spacing w:after="0"/>
              <w:rPr>
                <w:sz w:val="15"/>
                <w:szCs w:val="15"/>
                <w:color w:val="auto"/>
              </w:rPr>
            </w:pPr>
          </w:p>
        </w:tc>
        <w:tc>
          <w:tcPr>
            <w:tcW w:w="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16</w:t>
            </w:r>
          </w:p>
        </w:tc>
      </w:tr>
      <w:tr>
        <w:trPr>
          <w:trHeight w:val="31"/>
        </w:trPr>
        <w:tc>
          <w:tcPr>
            <w:tcW w:w="7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1920" w:type="dxa"/>
            <w:vAlign w:val="bottom"/>
            <w:gridSpan w:val="8"/>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w w:val="98"/>
              </w:rPr>
              <w:t>PLAN OF DISTRIBUTION</w:t>
            </w:r>
          </w:p>
        </w:tc>
        <w:tc>
          <w:tcPr>
            <w:tcW w:w="5360" w:type="dxa"/>
            <w:vAlign w:val="bottom"/>
            <w:gridSpan w:val="7"/>
            <w:shd w:val="clear" w:color="auto" w:fill="CCEEFF"/>
          </w:tcPr>
          <w:p>
            <w:pPr>
              <w:spacing w:after="0"/>
              <w:rPr>
                <w:sz w:val="15"/>
                <w:szCs w:val="15"/>
                <w:color w:val="auto"/>
              </w:rPr>
            </w:pPr>
          </w:p>
        </w:tc>
        <w:tc>
          <w:tcPr>
            <w:tcW w:w="62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18</w:t>
            </w:r>
          </w:p>
        </w:tc>
      </w:tr>
      <w:tr>
        <w:trPr>
          <w:trHeight w:val="31"/>
        </w:trPr>
        <w:tc>
          <w:tcPr>
            <w:tcW w:w="7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8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77"/>
        </w:trPr>
        <w:tc>
          <w:tcPr>
            <w:tcW w:w="1920" w:type="dxa"/>
            <w:vAlign w:val="bottom"/>
            <w:gridSpan w:val="8"/>
          </w:tcPr>
          <w:p>
            <w:pPr>
              <w:spacing w:after="0" w:line="177" w:lineRule="exact"/>
              <w:rPr>
                <w:sz w:val="20"/>
                <w:szCs w:val="20"/>
                <w:color w:val="auto"/>
              </w:rPr>
            </w:pPr>
            <w:r>
              <w:rPr>
                <w:rFonts w:ascii="Times New Roman" w:cs="Times New Roman" w:eastAsia="Times New Roman" w:hAnsi="Times New Roman"/>
                <w:sz w:val="17"/>
                <w:szCs w:val="17"/>
                <w:color w:val="0000EE"/>
              </w:rPr>
              <w:t>LEGAL MATTERS</w:t>
            </w:r>
          </w:p>
        </w:tc>
        <w:tc>
          <w:tcPr>
            <w:tcW w:w="5360" w:type="dxa"/>
            <w:vAlign w:val="bottom"/>
            <w:gridSpan w:val="7"/>
          </w:tcPr>
          <w:p>
            <w:pPr>
              <w:spacing w:after="0"/>
              <w:rPr>
                <w:sz w:val="15"/>
                <w:szCs w:val="15"/>
                <w:color w:val="auto"/>
              </w:rPr>
            </w:pPr>
          </w:p>
        </w:tc>
        <w:tc>
          <w:tcPr>
            <w:tcW w:w="620" w:type="dxa"/>
            <w:vAlign w:val="bottom"/>
            <w:gridSpan w:val="4"/>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19</w:t>
            </w:r>
          </w:p>
        </w:tc>
      </w:tr>
      <w:tr>
        <w:trPr>
          <w:trHeight w:val="31"/>
        </w:trPr>
        <w:tc>
          <w:tcPr>
            <w:tcW w:w="7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77"/>
        </w:trPr>
        <w:tc>
          <w:tcPr>
            <w:tcW w:w="7280" w:type="dxa"/>
            <w:vAlign w:val="bottom"/>
            <w:gridSpan w:val="15"/>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EXPERTS</w:t>
            </w:r>
          </w:p>
        </w:tc>
        <w:tc>
          <w:tcPr>
            <w:tcW w:w="620" w:type="dxa"/>
            <w:vAlign w:val="bottom"/>
            <w:gridSpan w:val="4"/>
            <w:shd w:val="clear" w:color="auto" w:fill="CCEEFF"/>
          </w:tcPr>
          <w:p>
            <w:pPr>
              <w:jc w:val="right"/>
              <w:ind w:right="20"/>
              <w:spacing w:after="0" w:line="177" w:lineRule="exact"/>
              <w:rPr>
                <w:sz w:val="20"/>
                <w:szCs w:val="20"/>
                <w:color w:val="auto"/>
              </w:rPr>
            </w:pPr>
            <w:r>
              <w:rPr>
                <w:rFonts w:ascii="Times New Roman" w:cs="Times New Roman" w:eastAsia="Times New Roman" w:hAnsi="Times New Roman"/>
                <w:sz w:val="17"/>
                <w:szCs w:val="17"/>
                <w:color w:val="0000EE"/>
              </w:rPr>
              <w:t>20</w:t>
            </w:r>
          </w:p>
        </w:tc>
      </w:tr>
      <w:tr>
        <w:trPr>
          <w:trHeight w:val="69"/>
        </w:trPr>
        <w:tc>
          <w:tcPr>
            <w:tcW w:w="7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840" w:type="dxa"/>
            <w:vAlign w:val="bottom"/>
            <w:tcBorders>
              <w:top w:val="single" w:sz="8" w:color="CCEEFF"/>
            </w:tcBorders>
            <w:shd w:val="clear" w:color="auto" w:fill="CCEEFF"/>
          </w:tcPr>
          <w:p>
            <w:pPr>
              <w:spacing w:after="0"/>
              <w:rPr>
                <w:sz w:val="5"/>
                <w:szCs w:val="5"/>
                <w:color w:val="auto"/>
              </w:rPr>
            </w:pPr>
          </w:p>
        </w:tc>
        <w:tc>
          <w:tcPr>
            <w:tcW w:w="18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0" w:name="page41"/>
    <w:bookmarkEnd w:id="4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12"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have filed with the Securities and Exchange Commission, or the SEC, utilizing a “shelf” registration process, and relates to the offering of our Common Stock. Under this shelf registration process, we may offer and sell shares of our Common Stock having an aggregate offering price of up to $100,000,000 from time to time under this prospectus at prices and on terms to be determined by market conditions at the time of the offering. Before buying any of the Common Stock that we are offering, we urge you to carefully read this prospectus and all of the information incorporated by reference herein, as well as the additional information described under the heading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These documents contain important information that you should consider when making your investment decision.</w:t>
      </w:r>
    </w:p>
    <w:p>
      <w:pPr>
        <w:spacing w:after="0" w:line="80" w:lineRule="exact"/>
        <w:rPr>
          <w:sz w:val="20"/>
          <w:szCs w:val="20"/>
          <w:color w:val="auto"/>
        </w:rPr>
      </w:pPr>
    </w:p>
    <w:p>
      <w:pPr>
        <w:ind w:left="560" w:right="699" w:firstLine="337"/>
        <w:spacing w:after="0" w:line="262" w:lineRule="auto"/>
        <w:rPr>
          <w:sz w:val="20"/>
          <w:szCs w:val="20"/>
          <w:color w:val="auto"/>
        </w:rPr>
      </w:pPr>
      <w:r>
        <w:rPr>
          <w:rFonts w:ascii="Times New Roman" w:cs="Times New Roman" w:eastAsia="Times New Roman" w:hAnsi="Times New Roman"/>
          <w:sz w:val="17"/>
          <w:szCs w:val="17"/>
          <w:color w:val="auto"/>
        </w:rPr>
        <w:t>When we refer to “Cartesian,” “we,” “our,” “us,” the “Company” and “our company” in this prospectus, we mean Cartesian Therapeutics, Inc., unless otherwise specified. When we refer to “you,” we mean the holders of the applicable series of securities.</w:t>
      </w:r>
    </w:p>
    <w:p>
      <w:pPr>
        <w:spacing w:after="0" w:line="69" w:lineRule="exact"/>
        <w:rPr>
          <w:sz w:val="20"/>
          <w:szCs w:val="20"/>
          <w:color w:val="auto"/>
        </w:rPr>
      </w:pPr>
    </w:p>
    <w:p>
      <w:pPr>
        <w:ind w:left="560" w:right="599" w:firstLine="337"/>
        <w:spacing w:after="0" w:line="251" w:lineRule="auto"/>
        <w:rPr>
          <w:sz w:val="20"/>
          <w:szCs w:val="20"/>
          <w:color w:val="auto"/>
        </w:rPr>
      </w:pPr>
      <w:r>
        <w:rPr>
          <w:rFonts w:ascii="Times New Roman" w:cs="Times New Roman" w:eastAsia="Times New Roman" w:hAnsi="Times New Roman"/>
          <w:sz w:val="17"/>
          <w:szCs w:val="17"/>
          <w:color w:val="auto"/>
        </w:rPr>
        <w:t>This prospectus describes the specific details regarding this offering of Common Stock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statements in one of these documents is inconsistent with a statement in another document having a later date (for example, a document incorporated by reference into this prospectus), the statement in the document having the later date modifies or supersedes the earlier statement. The information contained in this prospectus or any free writing prospectus, or incorporated by reference herein or therein, is accurate only as of the respective dates thereof, regardless of the time of delivery of this prospectus or of any sale of our shares of Common Stock. Our business, financial condition, results of operations and prospects may have changed since those dates.</w:t>
      </w:r>
    </w:p>
    <w:p>
      <w:pPr>
        <w:spacing w:after="0" w:line="81" w:lineRule="exact"/>
        <w:rPr>
          <w:sz w:val="20"/>
          <w:szCs w:val="20"/>
          <w:color w:val="auto"/>
        </w:rPr>
      </w:pPr>
    </w:p>
    <w:p>
      <w:pPr>
        <w:ind w:left="560" w:right="619" w:firstLine="337"/>
        <w:spacing w:after="0" w:line="273" w:lineRule="auto"/>
        <w:rPr>
          <w:sz w:val="20"/>
          <w:szCs w:val="20"/>
          <w:color w:val="auto"/>
        </w:rPr>
      </w:pPr>
      <w:r>
        <w:rPr>
          <w:rFonts w:ascii="Times New Roman" w:cs="Times New Roman" w:eastAsia="Times New Roman" w:hAnsi="Times New Roman"/>
          <w:sz w:val="16"/>
          <w:szCs w:val="16"/>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61"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including the exhibits to the registration statement, contains additional information about us and the securities offered under this prospectus. The registration statement can be obtained from the SEC’s website, www.sec.gov. Copies of information filed by us with the SEC are also available on our website at www.cartesiantherapeutics.com. The reference to our website is not intended to be an active link and the information on, or that can be accessed through, our website is not, and you must not consider the information to be, a part of this prospectus or any other filings we make with the SEC.</w:t>
      </w:r>
    </w:p>
    <w:p>
      <w:pPr>
        <w:spacing w:after="0" w:line="76" w:lineRule="exact"/>
        <w:rPr>
          <w:sz w:val="20"/>
          <w:szCs w:val="20"/>
          <w:color w:val="auto"/>
        </w:rPr>
      </w:pPr>
    </w:p>
    <w:p>
      <w:pPr>
        <w:ind w:left="560" w:right="779" w:firstLine="337"/>
        <w:spacing w:after="0" w:line="286" w:lineRule="auto"/>
        <w:rPr>
          <w:sz w:val="20"/>
          <w:szCs w:val="20"/>
          <w:color w:val="auto"/>
        </w:rPr>
      </w:pPr>
      <w:r>
        <w:rPr>
          <w:rFonts w:ascii="Times New Roman" w:cs="Times New Roman" w:eastAsia="Times New Roman" w:hAnsi="Times New Roman"/>
          <w:sz w:val="16"/>
          <w:szCs w:val="16"/>
          <w:color w:val="auto"/>
        </w:rPr>
        <w:t>This prospectus, including the documents incorporated by reference into this prospectus, also includes trademarks, tradenames and service marks of others, which are the property of their respective owners. Solely for convenience, trademarks and tradenames referred to in this prospectus may appear without the ® and ™ symbols.</w:t>
      </w:r>
    </w:p>
    <w:p>
      <w:pPr>
        <w:spacing w:after="0" w:line="47" w:lineRule="exact"/>
        <w:rPr>
          <w:sz w:val="20"/>
          <w:szCs w:val="20"/>
          <w:color w:val="auto"/>
        </w:rPr>
      </w:pPr>
    </w:p>
    <w:p>
      <w:pPr>
        <w:ind w:left="560" w:right="619" w:firstLine="337"/>
        <w:spacing w:after="0" w:line="268" w:lineRule="auto"/>
        <w:rPr>
          <w:sz w:val="20"/>
          <w:szCs w:val="20"/>
          <w:color w:val="auto"/>
        </w:rPr>
      </w:pPr>
      <w:r>
        <w:rPr>
          <w:rFonts w:ascii="Times New Roman" w:cs="Times New Roman" w:eastAsia="Times New Roman" w:hAnsi="Times New Roman"/>
          <w:sz w:val="16"/>
          <w:szCs w:val="16"/>
          <w:b w:val="1"/>
          <w:bCs w:val="1"/>
          <w:color w:val="auto"/>
        </w:rPr>
        <w:t>We have not, and Leerink Partners has not, authorized anyone to provide you with different information. We take no responsibility for, and can provide no assurance as to the reliability of, any information that others may give. We are not, and Leerink Partners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and the documents incorporated by reference herein and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and the documents incorporated by reference herein and any free writing prospectus that we have authorized for use in connection with this offering, in their entirety before making an investment decision. Our business, financial condition, results of operations and prospects may have changed since those dates.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1" w:name="page42"/>
    <w:bookmarkEnd w:id="4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12" w:lineRule="exact"/>
        <w:rPr>
          <w:sz w:val="20"/>
          <w:szCs w:val="20"/>
          <w:color w:val="auto"/>
        </w:rPr>
      </w:pPr>
    </w:p>
    <w:p>
      <w:pPr>
        <w:ind w:left="560" w:right="579" w:firstLine="337"/>
        <w:spacing w:after="0" w:line="250"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herein contain “forward-looking statements” within the meaning of Section 27A of the Securities Act, and Section 21E of the Exchange Act. These forward-looking statements reflect our current views with respect to, among other things, future events and our financial performance. Any statements about our management’s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All forward-looking statements, expressed or implied, included herewith are expressly qualified in their entirety by the cautionary statements contained or referred to herein. The inclusion of forward-looking information in this prospectus and the documents incorporated by reference herein should not be regarded as a representation by us or any other person that the future plans, estimates or expectations contemplated by us will be achieved. We have based these forward-looking statements largely on our current expectations and projections about future events and financial trends that we believe may affect our financial condition, results of operations, business strategy and financial needs. Factors that may affect our results are disclosed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u w:val="single" w:color="auto"/>
          <w:color w:val="0000EE"/>
        </w:rPr>
        <w:t>9</w:t>
      </w:r>
      <w:r>
        <w:rPr>
          <w:rFonts w:ascii="Times New Roman" w:cs="Times New Roman" w:eastAsia="Times New Roman" w:hAnsi="Times New Roman"/>
          <w:sz w:val="17"/>
          <w:szCs w:val="17"/>
          <w:color w:val="auto"/>
        </w:rPr>
        <w:t xml:space="preserve"> of this prospectus, and in the documents incorporated by reference into this prospectus and included or incorporated by reference in this prospectus. Some of the risks and uncertainties that may cause our actual results, performance or achievements to differ materially from those expressed include, but are not limited to, the following:</w:t>
      </w:r>
    </w:p>
    <w:p>
      <w:pPr>
        <w:spacing w:after="0" w:line="83" w:lineRule="exact"/>
        <w:rPr>
          <w:sz w:val="20"/>
          <w:szCs w:val="20"/>
          <w:color w:val="auto"/>
        </w:rPr>
      </w:pPr>
    </w:p>
    <w:p>
      <w:pPr>
        <w:ind w:left="1220" w:right="57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future payouts under the contingent value right, or CVR, issued to our holders of record as of the close of business on December 4, 2023;</w:t>
      </w:r>
    </w:p>
    <w:p>
      <w:pPr>
        <w:spacing w:after="0" w:line="56" w:lineRule="exact"/>
        <w:rPr>
          <w:rFonts w:ascii="Times New Roman" w:cs="Times New Roman" w:eastAsia="Times New Roman" w:hAnsi="Times New Roman"/>
          <w:sz w:val="17"/>
          <w:szCs w:val="17"/>
          <w:color w:val="auto"/>
        </w:rPr>
      </w:pPr>
    </w:p>
    <w:p>
      <w:pPr>
        <w:ind w:left="1220" w:right="69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the expected benefits or opportunities and related timing with respect to the Merger or to monetize any of our legacy assets;</w:t>
      </w:r>
    </w:p>
    <w:p>
      <w:pPr>
        <w:spacing w:after="0" w:line="56" w:lineRule="exact"/>
        <w:rPr>
          <w:rFonts w:ascii="Times New Roman" w:cs="Times New Roman" w:eastAsia="Times New Roman" w:hAnsi="Times New Roman"/>
          <w:sz w:val="17"/>
          <w:szCs w:val="17"/>
          <w:color w:val="auto"/>
        </w:rPr>
      </w:pPr>
    </w:p>
    <w:p>
      <w:pPr>
        <w:ind w:left="1220" w:right="89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results of operations and financial position, business strategy, and the length of time that we believe our existing cash resources will fund our operations;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size and our potential growth opportunities;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preclinical and clinical development activities;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our product candidates;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therapeutic benefits and economic value of our product candidates;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results of preclinical studies and clinical trials;</w:t>
      </w:r>
    </w:p>
    <w:p>
      <w:pPr>
        <w:spacing w:after="0" w:line="108" w:lineRule="exact"/>
        <w:rPr>
          <w:rFonts w:ascii="Times New Roman" w:cs="Times New Roman" w:eastAsia="Times New Roman" w:hAnsi="Times New Roman"/>
          <w:sz w:val="17"/>
          <w:szCs w:val="17"/>
          <w:color w:val="auto"/>
        </w:rPr>
      </w:pPr>
    </w:p>
    <w:p>
      <w:pPr>
        <w:ind w:left="1220" w:right="109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impact of macroeconomic conditions, including inflation, increasing interest rates and volatile market conditions, current or potential bank failures;</w:t>
      </w:r>
    </w:p>
    <w:p>
      <w:pPr>
        <w:spacing w:after="0" w:line="56" w:lineRule="exact"/>
        <w:rPr>
          <w:rFonts w:ascii="Times New Roman" w:cs="Times New Roman" w:eastAsia="Times New Roman" w:hAnsi="Times New Roman"/>
          <w:sz w:val="17"/>
          <w:szCs w:val="17"/>
          <w:color w:val="auto"/>
        </w:rPr>
      </w:pPr>
    </w:p>
    <w:p>
      <w:pPr>
        <w:ind w:left="1220" w:right="63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events, including the ongoing conflicts between Russia and Ukraine and between Hamas and Israel and geopolitical tensions in China on our operations;</w:t>
      </w:r>
    </w:p>
    <w:p>
      <w:pPr>
        <w:spacing w:after="0" w:line="56" w:lineRule="exact"/>
        <w:rPr>
          <w:rFonts w:ascii="Times New Roman" w:cs="Times New Roman" w:eastAsia="Times New Roman" w:hAnsi="Times New Roman"/>
          <w:sz w:val="17"/>
          <w:szCs w:val="17"/>
          <w:color w:val="auto"/>
        </w:rPr>
      </w:pPr>
    </w:p>
    <w:p>
      <w:pPr>
        <w:ind w:left="1220" w:right="81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and timing of potential regulatory designations, approvals and commercialization of product candidates;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litigation related to the Merger instituted against us or our directors;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or minimize the effects of litigation and other contingencies;</w:t>
      </w:r>
    </w:p>
    <w:p>
      <w:pPr>
        <w:spacing w:after="0" w:line="108" w:lineRule="exact"/>
        <w:rPr>
          <w:rFonts w:ascii="Times New Roman" w:cs="Times New Roman" w:eastAsia="Times New Roman" w:hAnsi="Times New Roman"/>
          <w:sz w:val="17"/>
          <w:szCs w:val="17"/>
          <w:color w:val="auto"/>
        </w:rPr>
      </w:pPr>
    </w:p>
    <w:p>
      <w:pPr>
        <w:ind w:left="1220" w:right="101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status as a preclinical and development-stage company and our expectation to incur losses in the future, and the possibility that we never achieve or maintain profitability;</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with respect to our ability to access future capital;</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maximize the value of our pipeline of product candidates;</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unproven approach to therapeutic intervention;</w:t>
      </w:r>
    </w:p>
    <w:p>
      <w:pPr>
        <w:spacing w:after="0" w:line="108" w:lineRule="exact"/>
        <w:rPr>
          <w:rFonts w:ascii="Times New Roman" w:cs="Times New Roman" w:eastAsia="Times New Roman" w:hAnsi="Times New Roman"/>
          <w:sz w:val="17"/>
          <w:szCs w:val="17"/>
          <w:color w:val="auto"/>
        </w:rPr>
      </w:pPr>
    </w:p>
    <w:p>
      <w:pPr>
        <w:ind w:left="1220" w:right="919" w:hanging="330"/>
        <w:spacing w:after="0" w:line="276" w:lineRule="auto"/>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enroll patients in clinical trials, timely and successfully complete those trials and receive necessary regulatory approvals;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grow our manufacturing capabilities and resources;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2" w:name="page43"/>
    <w:bookmarkEnd w:id="4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1220" w:right="659" w:hanging="330"/>
        <w:spacing w:after="0" w:line="276"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manufacture our product candidates, which in some cases are manufactured on a patient-by-patient basis;</w:t>
      </w:r>
    </w:p>
    <w:p>
      <w:pPr>
        <w:spacing w:after="0" w:line="56" w:lineRule="exact"/>
        <w:rPr>
          <w:rFonts w:ascii="Times New Roman" w:cs="Times New Roman" w:eastAsia="Times New Roman" w:hAnsi="Times New Roman"/>
          <w:sz w:val="17"/>
          <w:szCs w:val="17"/>
          <w:color w:val="auto"/>
        </w:rPr>
      </w:pPr>
    </w:p>
    <w:p>
      <w:pPr>
        <w:ind w:left="1220" w:right="919" w:hanging="330"/>
        <w:spacing w:after="0" w:line="276"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access manufacturing facilities and to receive or manufacture sufficient quantities of our product candidates;</w:t>
      </w:r>
    </w:p>
    <w:p>
      <w:pPr>
        <w:spacing w:after="0" w:line="56" w:lineRule="exact"/>
        <w:rPr>
          <w:rFonts w:ascii="Times New Roman" w:cs="Times New Roman" w:eastAsia="Times New Roman" w:hAnsi="Times New Roman"/>
          <w:sz w:val="17"/>
          <w:szCs w:val="17"/>
          <w:color w:val="auto"/>
        </w:rPr>
      </w:pPr>
    </w:p>
    <w:p>
      <w:pPr>
        <w:ind w:left="1220" w:right="899" w:hanging="330"/>
        <w:spacing w:after="0" w:line="276"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existing or future collaborations or licenses and to seek new collaborations, licenses or partnerships;</w:t>
      </w:r>
    </w:p>
    <w:p>
      <w:pPr>
        <w:spacing w:after="0" w:line="56" w:lineRule="exact"/>
        <w:rPr>
          <w:rFonts w:ascii="Times New Roman" w:cs="Times New Roman" w:eastAsia="Times New Roman" w:hAnsi="Times New Roman"/>
          <w:sz w:val="17"/>
          <w:szCs w:val="17"/>
          <w:color w:val="auto"/>
        </w:rPr>
      </w:pPr>
    </w:p>
    <w:p>
      <w:pPr>
        <w:ind w:left="1220" w:right="859" w:hanging="330"/>
        <w:spacing w:after="0" w:line="276"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resurgence of the COVID-19 pandemic on our operations, the continuity of our business, including our preclinical studies and clinical trials, and general economic conditions;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our intellectual property rights;</w:t>
      </w:r>
    </w:p>
    <w:p>
      <w:pPr>
        <w:spacing w:after="0" w:line="108" w:lineRule="exact"/>
        <w:rPr>
          <w:rFonts w:ascii="Times New Roman" w:cs="Times New Roman" w:eastAsia="Times New Roman" w:hAnsi="Times New Roman"/>
          <w:sz w:val="17"/>
          <w:szCs w:val="17"/>
          <w:color w:val="auto"/>
        </w:rPr>
      </w:pPr>
    </w:p>
    <w:p>
      <w:pPr>
        <w:ind w:left="1220" w:right="579" w:hanging="330"/>
        <w:spacing w:after="0" w:line="276" w:lineRule="auto"/>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state, and foreign regulatory requirements, including U.S. Food and Drug Administration, or FDA, regulation of our product candidates;</w:t>
      </w:r>
    </w:p>
    <w:p>
      <w:pPr>
        <w:spacing w:after="0" w:line="56"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retain key executives and retain qualified personnel; and</w:t>
      </w:r>
    </w:p>
    <w:p>
      <w:pPr>
        <w:spacing w:after="0" w:line="108" w:lineRule="exact"/>
        <w:rPr>
          <w:rFonts w:ascii="Times New Roman" w:cs="Times New Roman" w:eastAsia="Times New Roman" w:hAnsi="Times New Roman"/>
          <w:sz w:val="17"/>
          <w:szCs w:val="17"/>
          <w:color w:val="auto"/>
        </w:rPr>
      </w:pPr>
    </w:p>
    <w:p>
      <w:pPr>
        <w:ind w:left="1220" w:hanging="330"/>
        <w:spacing w:after="0"/>
        <w:tabs>
          <w:tab w:leader="none" w:pos="12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relating to our competitors and our industry, including the impact of government regulation.</w:t>
      </w:r>
    </w:p>
    <w:p>
      <w:pPr>
        <w:spacing w:after="0" w:line="17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foregoing list may not contain all of the forward-looking statements made in this prospectus.</w:t>
      </w:r>
    </w:p>
    <w:p>
      <w:pPr>
        <w:spacing w:after="0" w:line="108" w:lineRule="exact"/>
        <w:rPr>
          <w:sz w:val="20"/>
          <w:szCs w:val="20"/>
          <w:color w:val="auto"/>
        </w:rPr>
      </w:pPr>
    </w:p>
    <w:p>
      <w:pPr>
        <w:ind w:left="560" w:right="599" w:firstLine="337"/>
        <w:spacing w:after="0" w:line="252" w:lineRule="auto"/>
        <w:rPr>
          <w:sz w:val="20"/>
          <w:szCs w:val="20"/>
          <w:color w:val="auto"/>
        </w:rPr>
      </w:pPr>
      <w:r>
        <w:rPr>
          <w:rFonts w:ascii="Times New Roman" w:cs="Times New Roman" w:eastAsia="Times New Roman" w:hAnsi="Times New Roman"/>
          <w:sz w:val="17"/>
          <w:szCs w:val="17"/>
          <w:color w:val="auto"/>
        </w:rPr>
        <w:t>These forward-looking statements are only predictions based on our current expectations and projections about future events and are subject to a number of risks, uncertainties and assumptions, including those described in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and elsewhere in this prospectus. Moreover, we operate in a competitive industry, and new risks emerge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time to time. It is not possible for the management of Cartesian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 in this prospectus.</w:t>
      </w:r>
    </w:p>
    <w:p>
      <w:pPr>
        <w:spacing w:after="0" w:line="78" w:lineRule="exact"/>
        <w:rPr>
          <w:sz w:val="20"/>
          <w:szCs w:val="20"/>
          <w:color w:val="auto"/>
        </w:rPr>
      </w:pPr>
    </w:p>
    <w:p>
      <w:pPr>
        <w:ind w:left="560" w:right="599" w:firstLine="337"/>
        <w:spacing w:after="0" w:line="253" w:lineRule="auto"/>
        <w:rPr>
          <w:sz w:val="20"/>
          <w:szCs w:val="20"/>
          <w:color w:val="auto"/>
        </w:rPr>
      </w:pPr>
      <w:r>
        <w:rPr>
          <w:rFonts w:ascii="Times New Roman" w:cs="Times New Roman" w:eastAsia="Times New Roman" w:hAnsi="Times New Roman"/>
          <w:sz w:val="17"/>
          <w:szCs w:val="17"/>
          <w:color w:val="auto"/>
        </w:rPr>
        <w:t>The forward-looking statements included in this prospectus are made only as of the date hereof. You should not rely upon forward-looking statements as predictions of future events. Although we believe that the expectations reflected in our forward-looking statements are reasonable, we cannot guarantee that the future results, levels of activity, performance or events and circumstances reflected in the forward-looking statements will be achieved or occur. We do not undertake any obligation to update publicly any forward-looking statements for any reason after the date of this prospectus to conform these statements to actual results or to changes in expectations, except as required by law.</w:t>
      </w:r>
    </w:p>
    <w:p>
      <w:pPr>
        <w:spacing w:after="0" w:line="77" w:lineRule="exact"/>
        <w:rPr>
          <w:sz w:val="20"/>
          <w:szCs w:val="20"/>
          <w:color w:val="auto"/>
        </w:rPr>
      </w:pPr>
    </w:p>
    <w:p>
      <w:pPr>
        <w:ind w:left="560" w:right="679" w:firstLine="337"/>
        <w:spacing w:after="0" w:line="258" w:lineRule="auto"/>
        <w:rPr>
          <w:sz w:val="20"/>
          <w:szCs w:val="20"/>
          <w:color w:val="auto"/>
        </w:rPr>
      </w:pPr>
      <w:r>
        <w:rPr>
          <w:rFonts w:ascii="Times New Roman" w:cs="Times New Roman" w:eastAsia="Times New Roman" w:hAnsi="Times New Roman"/>
          <w:sz w:val="17"/>
          <w:szCs w:val="17"/>
          <w:color w:val="auto"/>
        </w:rPr>
        <w:t>You should read this prospectus, the documents that have been filed as exhibits to the registration statement of which this prospectus forms a part, any accompanying prospectus supplement, and the documents incorporated by reference herein and therein with the understanding that the actual future results, levels of activity, performance, events and circumstances of Cartesian may be materially different from what is expected.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3" w:name="page44"/>
    <w:bookmarkEnd w:id="4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12" w:lineRule="exact"/>
        <w:rPr>
          <w:sz w:val="20"/>
          <w:szCs w:val="20"/>
          <w:color w:val="auto"/>
        </w:rPr>
      </w:pPr>
    </w:p>
    <w:p>
      <w:pPr>
        <w:ind w:left="560" w:right="579" w:firstLine="337"/>
        <w:spacing w:after="0" w:line="252"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S-3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our securities offered by this prospectus, we refer you to the registration statement and its exhibits. Statements contained in this prospectus as to the contents of any document referred to are not necessarily complete, and in each instance, we refer you to the copy of the document filed as an exhibit to the registration statement. Each of these statements is qualified in all respects by this reference. You can read our SEC filings, including the registration statement, at the SEC’s website at www.sec.gov.</w:t>
      </w:r>
    </w:p>
    <w:p>
      <w:pPr>
        <w:spacing w:after="0" w:line="80" w:lineRule="exact"/>
        <w:rPr>
          <w:sz w:val="20"/>
          <w:szCs w:val="20"/>
          <w:color w:val="auto"/>
        </w:rPr>
      </w:pPr>
    </w:p>
    <w:p>
      <w:pPr>
        <w:ind w:left="560" w:right="659" w:firstLine="337"/>
        <w:spacing w:after="0" w:line="253" w:lineRule="auto"/>
        <w:rPr>
          <w:sz w:val="20"/>
          <w:szCs w:val="20"/>
          <w:color w:val="auto"/>
        </w:rPr>
      </w:pPr>
      <w:r>
        <w:rPr>
          <w:rFonts w:ascii="Times New Roman" w:cs="Times New Roman" w:eastAsia="Times New Roman" w:hAnsi="Times New Roman"/>
          <w:sz w:val="17"/>
          <w:szCs w:val="17"/>
          <w:color w:val="auto"/>
        </w:rPr>
        <w:t>We are subject to the information reporting requirements of the Exchange Act, and we file reports, proxy statements and other information with the SEC. These reports, proxy statements and other information are available for review at the SEC’s website at www.sec.gov. We also maintain a website at www.cartesiantherapeutics.com, at which you may access these materials free of charge as soon as reasonably practicable after they are electronically filed with, or furnished to, the SEC. Cartesian’s website and the information contained on, or that can be accessed through, such website are not deemed to be incorporated by reference in, and are not considered part of, this prospectus.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4" w:name="page45"/>
    <w:bookmarkEnd w:id="4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112" w:lineRule="exact"/>
        <w:rPr>
          <w:sz w:val="20"/>
          <w:szCs w:val="20"/>
          <w:color w:val="auto"/>
        </w:rPr>
      </w:pPr>
    </w:p>
    <w:p>
      <w:pPr>
        <w:ind w:left="560" w:right="599" w:firstLine="337"/>
        <w:spacing w:after="0" w:line="251" w:lineRule="auto"/>
        <w:rPr>
          <w:sz w:val="20"/>
          <w:szCs w:val="20"/>
          <w:color w:val="auto"/>
        </w:rPr>
      </w:pPr>
      <w:r>
        <w:rPr>
          <w:rFonts w:ascii="Times New Roman" w:cs="Times New Roman" w:eastAsia="Times New Roman" w:hAnsi="Times New Roman"/>
          <w:sz w:val="17"/>
          <w:szCs w:val="17"/>
          <w:color w:val="auto"/>
        </w:rPr>
        <w:t>The SEC allows us to “incorporate by reference” into this prospectus the information in certain documents we file with the SEC, which means that we can disclose important information to you by referring you to those documents. The information incorporated by reference is considered to be a part of this prospectus. When we update the information contained in documents that have been incorporated by reference by making future filings with the SEC, the information incorporated by reference into this prospectus is considered to be automatically updated and superseded. In other words, in all cases, if you are considering whether to rely on information contained in this prospectus or information incorporated by reference into this prospectus, you should rely on the information contained in the document that was filed later. We incorporate by reference (other than any information furnished to, rather than filed with, the SEC, unless expressly stated otherwise therein) the documents listed below (File No. 001-37798 unless otherwise stated), which are considered to be a part of this prospectus:</w:t>
      </w:r>
    </w:p>
    <w:p>
      <w:pPr>
        <w:spacing w:after="0" w:line="83" w:lineRule="exact"/>
        <w:rPr>
          <w:sz w:val="20"/>
          <w:szCs w:val="20"/>
          <w:color w:val="auto"/>
        </w:rPr>
      </w:pPr>
    </w:p>
    <w:p>
      <w:pPr>
        <w:ind w:left="1220" w:right="659" w:hanging="330"/>
        <w:spacing w:after="0" w:line="276" w:lineRule="auto"/>
        <w:tabs>
          <w:tab w:leader="none" w:pos="1220" w:val="left"/>
        </w:tabs>
        <w:numPr>
          <w:ilvl w:val="0"/>
          <w:numId w:val="27"/>
        </w:numPr>
        <w:rPr>
          <w:rFonts w:ascii="Times New Roman" w:cs="Times New Roman" w:eastAsia="Times New Roman" w:hAnsi="Times New Roman"/>
          <w:sz w:val="17"/>
          <w:szCs w:val="17"/>
          <w:color w:val="0000EE"/>
        </w:rPr>
      </w:pPr>
      <w:hyperlink r:id="rId28">
        <w:r>
          <w:rPr>
            <w:rFonts w:ascii="Times New Roman" w:cs="Times New Roman" w:eastAsia="Times New Roman" w:hAnsi="Times New Roman"/>
            <w:sz w:val="17"/>
            <w:szCs w:val="17"/>
            <w:color w:val="auto"/>
          </w:rPr>
          <w:t xml:space="preserve">Our Annual Report on Form 10-K for the year ended December 31, 2023, filed with the SEC on </w:t>
        </w:r>
        <w:r>
          <w:rPr>
            <w:rFonts w:ascii="Times New Roman" w:cs="Times New Roman" w:eastAsia="Times New Roman" w:hAnsi="Times New Roman"/>
            <w:sz w:val="17"/>
            <w:szCs w:val="17"/>
            <w:u w:val="single" w:color="auto"/>
            <w:color w:val="0000EE"/>
          </w:rPr>
          <w:t>March 7,</w:t>
        </w:r>
      </w:hyperlink>
      <w:r>
        <w:rPr>
          <w:rFonts w:ascii="Times New Roman" w:cs="Times New Roman" w:eastAsia="Times New Roman" w:hAnsi="Times New Roman"/>
          <w:sz w:val="17"/>
          <w:szCs w:val="17"/>
          <w:color w:val="auto"/>
        </w:rPr>
        <w:t xml:space="preserve"> </w:t>
      </w:r>
      <w:hyperlink r:id="rId28">
        <w:r>
          <w:rPr>
            <w:rFonts w:ascii="Times New Roman" w:cs="Times New Roman" w:eastAsia="Times New Roman" w:hAnsi="Times New Roman"/>
            <w:sz w:val="17"/>
            <w:szCs w:val="17"/>
            <w:u w:val="single" w:color="auto"/>
            <w:color w:val="0000EE"/>
          </w:rPr>
          <w:t>2024</w:t>
        </w:r>
        <w:r>
          <w:rPr>
            <w:rFonts w:ascii="Times New Roman" w:cs="Times New Roman" w:eastAsia="Times New Roman" w:hAnsi="Times New Roman"/>
            <w:sz w:val="17"/>
            <w:szCs w:val="17"/>
            <w:color w:val="000000"/>
          </w:rPr>
          <w:t>.</w:t>
        </w:r>
      </w:hyperlink>
    </w:p>
    <w:p>
      <w:pPr>
        <w:spacing w:after="0" w:line="56" w:lineRule="exact"/>
        <w:rPr>
          <w:rFonts w:ascii="Times New Roman" w:cs="Times New Roman" w:eastAsia="Times New Roman" w:hAnsi="Times New Roman"/>
          <w:sz w:val="17"/>
          <w:szCs w:val="17"/>
          <w:color w:val="0000EE"/>
        </w:rPr>
      </w:pPr>
    </w:p>
    <w:p>
      <w:pPr>
        <w:ind w:left="1220" w:right="719" w:hanging="330"/>
        <w:spacing w:after="0" w:line="262" w:lineRule="auto"/>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specifically incorporated by reference into our Annual Report on Form 10-K from our Definitive Proxy Statement on Schedule 14A relating to our 2024 Annual Meeting of Stockholders, filed with the SEC on </w:t>
      </w:r>
      <w:hyperlink r:id="rId29">
        <w:r>
          <w:rPr>
            <w:rFonts w:ascii="Times New Roman" w:cs="Times New Roman" w:eastAsia="Times New Roman" w:hAnsi="Times New Roman"/>
            <w:sz w:val="17"/>
            <w:szCs w:val="17"/>
            <w:u w:val="single" w:color="auto"/>
            <w:color w:val="0000EE"/>
          </w:rPr>
          <w:t>April 26, 2024</w:t>
        </w:r>
      </w:hyperlink>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7"/>
          <w:szCs w:val="17"/>
          <w:color w:val="auto"/>
        </w:rPr>
      </w:pPr>
    </w:p>
    <w:p>
      <w:pPr>
        <w:ind w:left="1220" w:right="1199" w:hanging="330"/>
        <w:spacing w:after="0" w:line="262" w:lineRule="auto"/>
        <w:tabs>
          <w:tab w:leader="none" w:pos="1220" w:val="left"/>
        </w:tabs>
        <w:numPr>
          <w:ilvl w:val="0"/>
          <w:numId w:val="27"/>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Quarterly Reports on Form 10-Q for the quarters ended </w:t>
      </w:r>
      <w:hyperlink r:id="rId30">
        <w:r>
          <w:rPr>
            <w:rFonts w:ascii="Times New Roman" w:cs="Times New Roman" w:eastAsia="Times New Roman" w:hAnsi="Times New Roman"/>
            <w:sz w:val="17"/>
            <w:szCs w:val="17"/>
            <w:u w:val="single" w:color="auto"/>
            <w:color w:val="0000EE"/>
          </w:rPr>
          <w:t>March 31, 2024</w:t>
        </w:r>
      </w:hyperlink>
      <w:r>
        <w:rPr>
          <w:rFonts w:ascii="Times New Roman" w:cs="Times New Roman" w:eastAsia="Times New Roman" w:hAnsi="Times New Roman"/>
          <w:sz w:val="17"/>
          <w:szCs w:val="17"/>
          <w:color w:val="auto"/>
        </w:rPr>
        <w:t xml:space="preserve">, </w:t>
      </w:r>
      <w:hyperlink r:id="rId31">
        <w:r>
          <w:rPr>
            <w:rFonts w:ascii="Times New Roman" w:cs="Times New Roman" w:eastAsia="Times New Roman" w:hAnsi="Times New Roman"/>
            <w:sz w:val="17"/>
            <w:szCs w:val="17"/>
            <w:u w:val="single" w:color="auto"/>
            <w:color w:val="0000EE"/>
          </w:rPr>
          <w:t>June 30, 2024</w:t>
        </w:r>
      </w:hyperlink>
      <w:r>
        <w:rPr>
          <w:rFonts w:ascii="Times New Roman" w:cs="Times New Roman" w:eastAsia="Times New Roman" w:hAnsi="Times New Roman"/>
          <w:sz w:val="17"/>
          <w:szCs w:val="17"/>
          <w:color w:val="auto"/>
        </w:rPr>
        <w:t xml:space="preserve">, and </w:t>
      </w:r>
      <w:hyperlink r:id="rId32">
        <w:r>
          <w:rPr>
            <w:rFonts w:ascii="Times New Roman" w:cs="Times New Roman" w:eastAsia="Times New Roman" w:hAnsi="Times New Roman"/>
            <w:sz w:val="17"/>
            <w:szCs w:val="17"/>
            <w:u w:val="single" w:color="auto"/>
            <w:color w:val="0000EE"/>
          </w:rPr>
          <w:t>September 30,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filed with the SEC on May 8, 2024, August 8, 2024, and November 7, 2024,</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respectively.</w:t>
      </w:r>
    </w:p>
    <w:p>
      <w:pPr>
        <w:spacing w:after="0" w:line="68" w:lineRule="exact"/>
        <w:rPr>
          <w:rFonts w:ascii="Times New Roman" w:cs="Times New Roman" w:eastAsia="Times New Roman" w:hAnsi="Times New Roman"/>
          <w:sz w:val="17"/>
          <w:szCs w:val="17"/>
          <w:color w:val="0000EE"/>
        </w:rPr>
      </w:pPr>
    </w:p>
    <w:p>
      <w:pPr>
        <w:ind w:left="1220" w:right="699" w:hanging="330"/>
        <w:spacing w:after="0" w:line="253" w:lineRule="auto"/>
        <w:tabs>
          <w:tab w:leader="none" w:pos="1220" w:val="left"/>
        </w:tabs>
        <w:numPr>
          <w:ilvl w:val="0"/>
          <w:numId w:val="27"/>
        </w:numPr>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Our Current Reports on Form 8-K (or amendments thereto) filed with the SEC on </w:t>
      </w:r>
      <w:hyperlink r:id="rId33">
        <w:r>
          <w:rPr>
            <w:rFonts w:ascii="Times New Roman" w:cs="Times New Roman" w:eastAsia="Times New Roman" w:hAnsi="Times New Roman"/>
            <w:sz w:val="17"/>
            <w:szCs w:val="17"/>
            <w:u w:val="single" w:color="auto"/>
            <w:color w:val="0000EE"/>
          </w:rPr>
          <w:t>January 19, 2024</w:t>
        </w:r>
      </w:hyperlink>
      <w:r>
        <w:rPr>
          <w:rFonts w:ascii="Times New Roman" w:cs="Times New Roman" w:eastAsia="Times New Roman" w:hAnsi="Times New Roman"/>
          <w:sz w:val="17"/>
          <w:szCs w:val="17"/>
          <w:color w:val="auto"/>
        </w:rPr>
        <w:t xml:space="preserve">, </w:t>
      </w:r>
      <w:hyperlink r:id="rId34">
        <w:r>
          <w:rPr>
            <w:rFonts w:ascii="Times New Roman" w:cs="Times New Roman" w:eastAsia="Times New Roman" w:hAnsi="Times New Roman"/>
            <w:sz w:val="17"/>
            <w:szCs w:val="17"/>
            <w:u w:val="single" w:color="auto"/>
            <w:color w:val="0000EE"/>
          </w:rPr>
          <w:t>January 23,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5">
        <w:r>
          <w:rPr>
            <w:rFonts w:ascii="Times New Roman" w:cs="Times New Roman" w:eastAsia="Times New Roman" w:hAnsi="Times New Roman"/>
            <w:sz w:val="17"/>
            <w:szCs w:val="17"/>
            <w:u w:val="single" w:color="auto"/>
            <w:color w:val="0000EE"/>
          </w:rPr>
          <w:t xml:space="preserve">March 5, 2024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Item 7.01 and Exhibit 99.1 thereto),</w:t>
      </w:r>
      <w:r>
        <w:rPr>
          <w:rFonts w:ascii="Times New Roman" w:cs="Times New Roman" w:eastAsia="Times New Roman" w:hAnsi="Times New Roman"/>
          <w:sz w:val="17"/>
          <w:szCs w:val="17"/>
          <w:color w:val="0000EE"/>
        </w:rPr>
        <w:t xml:space="preserve"> </w:t>
      </w:r>
      <w:hyperlink r:id="rId36">
        <w:r>
          <w:rPr>
            <w:rFonts w:ascii="Times New Roman" w:cs="Times New Roman" w:eastAsia="Times New Roman" w:hAnsi="Times New Roman"/>
            <w:sz w:val="17"/>
            <w:szCs w:val="17"/>
            <w:u w:val="single" w:color="auto"/>
            <w:color w:val="0000EE"/>
          </w:rPr>
          <w:t>March 14,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7">
        <w:r>
          <w:rPr>
            <w:rFonts w:ascii="Times New Roman" w:cs="Times New Roman" w:eastAsia="Times New Roman" w:hAnsi="Times New Roman"/>
            <w:sz w:val="17"/>
            <w:szCs w:val="17"/>
            <w:u w:val="single" w:color="auto"/>
            <w:color w:val="0000EE"/>
          </w:rPr>
          <w:t>March 28, 2024</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Item 7.01 and Exhibit 99.1 thereto),</w:t>
      </w:r>
      <w:r>
        <w:rPr>
          <w:rFonts w:ascii="Times New Roman" w:cs="Times New Roman" w:eastAsia="Times New Roman" w:hAnsi="Times New Roman"/>
          <w:sz w:val="17"/>
          <w:szCs w:val="17"/>
          <w:color w:val="0000EE"/>
        </w:rPr>
        <w:t xml:space="preserve"> </w:t>
      </w:r>
      <w:hyperlink r:id="rId38">
        <w:r>
          <w:rPr>
            <w:rFonts w:ascii="Times New Roman" w:cs="Times New Roman" w:eastAsia="Times New Roman" w:hAnsi="Times New Roman"/>
            <w:sz w:val="17"/>
            <w:szCs w:val="17"/>
            <w:u w:val="single" w:color="auto"/>
            <w:color w:val="0000EE"/>
          </w:rPr>
          <w:t>April 1,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39">
        <w:r>
          <w:rPr>
            <w:rFonts w:ascii="Times New Roman" w:cs="Times New Roman" w:eastAsia="Times New Roman" w:hAnsi="Times New Roman"/>
            <w:sz w:val="17"/>
            <w:szCs w:val="17"/>
            <w:u w:val="single" w:color="auto"/>
            <w:color w:val="0000EE"/>
          </w:rPr>
          <w:t xml:space="preserve">April 9, 2024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 xml:space="preserve">Item 7.01 and Exhibit 99.1 thereto), </w:t>
      </w:r>
      <w:hyperlink r:id="rId40">
        <w:r>
          <w:rPr>
            <w:rFonts w:ascii="Times New Roman" w:cs="Times New Roman" w:eastAsia="Times New Roman" w:hAnsi="Times New Roman"/>
            <w:sz w:val="17"/>
            <w:szCs w:val="17"/>
            <w:u w:val="single" w:color="auto"/>
            <w:color w:val="0000EE"/>
          </w:rPr>
          <w:t>April 22, 2024</w:t>
        </w:r>
      </w:hyperlink>
      <w:r>
        <w:rPr>
          <w:rFonts w:ascii="Times New Roman" w:cs="Times New Roman" w:eastAsia="Times New Roman" w:hAnsi="Times New Roman"/>
          <w:sz w:val="17"/>
          <w:szCs w:val="17"/>
          <w:color w:val="000000"/>
        </w:rPr>
        <w:t xml:space="preserve">, </w:t>
      </w:r>
      <w:hyperlink r:id="rId41">
        <w:r>
          <w:rPr>
            <w:rFonts w:ascii="Times New Roman" w:cs="Times New Roman" w:eastAsia="Times New Roman" w:hAnsi="Times New Roman"/>
            <w:sz w:val="17"/>
            <w:szCs w:val="17"/>
            <w:u w:val="single" w:color="auto"/>
            <w:color w:val="0000EE"/>
          </w:rPr>
          <w:t>May 22,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(except for Item 7.01 and Exhibit 99.1 thereto), </w:t>
      </w:r>
      <w:hyperlink r:id="rId42">
        <w:r>
          <w:rPr>
            <w:rFonts w:ascii="Times New Roman" w:cs="Times New Roman" w:eastAsia="Times New Roman" w:hAnsi="Times New Roman"/>
            <w:sz w:val="17"/>
            <w:szCs w:val="17"/>
            <w:u w:val="single" w:color="auto"/>
            <w:color w:val="0000EE"/>
          </w:rPr>
          <w:t>June 17, 2024</w:t>
        </w:r>
      </w:hyperlink>
      <w:r>
        <w:rPr>
          <w:rFonts w:ascii="Times New Roman" w:cs="Times New Roman" w:eastAsia="Times New Roman" w:hAnsi="Times New Roman"/>
          <w:sz w:val="17"/>
          <w:szCs w:val="17"/>
          <w:color w:val="000000"/>
        </w:rPr>
        <w:t xml:space="preserve">, </w:t>
      </w:r>
      <w:hyperlink r:id="rId43">
        <w:r>
          <w:rPr>
            <w:rFonts w:ascii="Times New Roman" w:cs="Times New Roman" w:eastAsia="Times New Roman" w:hAnsi="Times New Roman"/>
            <w:sz w:val="17"/>
            <w:szCs w:val="17"/>
            <w:u w:val="single" w:color="auto"/>
            <w:color w:val="0000EE"/>
          </w:rPr>
          <w:t>July 2, 2024</w:t>
        </w:r>
        <w:r>
          <w:rPr>
            <w:rFonts w:ascii="Times New Roman" w:cs="Times New Roman" w:eastAsia="Times New Roman" w:hAnsi="Times New Roman"/>
            <w:sz w:val="17"/>
            <w:szCs w:val="17"/>
            <w:u w:val="single" w:color="auto"/>
            <w:color w:val="000000"/>
          </w:rPr>
          <w:t xml:space="preserve"> </w:t>
        </w:r>
      </w:hyperlink>
      <w:r>
        <w:rPr>
          <w:rFonts w:ascii="Times New Roman" w:cs="Times New Roman" w:eastAsia="Times New Roman" w:hAnsi="Times New Roman"/>
          <w:sz w:val="17"/>
          <w:szCs w:val="17"/>
          <w:color w:val="000000"/>
        </w:rPr>
        <w:t xml:space="preserve">(except for Item 7.01 and Exhibits 99.1 and 99.2 thereto), </w:t>
      </w:r>
      <w:hyperlink r:id="rId44">
        <w:r>
          <w:rPr>
            <w:rFonts w:ascii="Times New Roman" w:cs="Times New Roman" w:eastAsia="Times New Roman" w:hAnsi="Times New Roman"/>
            <w:sz w:val="17"/>
            <w:szCs w:val="17"/>
            <w:u w:val="single" w:color="auto"/>
            <w:color w:val="0000EE"/>
          </w:rPr>
          <w:t>September 23,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hyperlink r:id="rId45">
        <w:r>
          <w:rPr>
            <w:rFonts w:ascii="Times New Roman" w:cs="Times New Roman" w:eastAsia="Times New Roman" w:hAnsi="Times New Roman"/>
            <w:sz w:val="17"/>
            <w:szCs w:val="17"/>
            <w:u w:val="single" w:color="auto"/>
            <w:color w:val="0000EE"/>
          </w:rPr>
          <w:t>September 26, 2024</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EE"/>
        </w:rPr>
        <w:t xml:space="preserve"> </w:t>
      </w:r>
      <w:hyperlink r:id="rId46">
        <w:r>
          <w:rPr>
            <w:rFonts w:ascii="Times New Roman" w:cs="Times New Roman" w:eastAsia="Times New Roman" w:hAnsi="Times New Roman"/>
            <w:sz w:val="17"/>
            <w:szCs w:val="17"/>
            <w:u w:val="single" w:color="auto"/>
            <w:color w:val="0000EE"/>
          </w:rPr>
          <w:t xml:space="preserve">December 3, 2024 </w:t>
        </w:r>
      </w:hyperlink>
      <w:r>
        <w:rPr>
          <w:rFonts w:ascii="Times New Roman" w:cs="Times New Roman" w:eastAsia="Times New Roman" w:hAnsi="Times New Roman"/>
          <w:sz w:val="17"/>
          <w:szCs w:val="17"/>
          <w:color w:val="000000"/>
        </w:rPr>
        <w:t>(except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for Item 7.01 and Exhibits 99.1</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and 99.2 thereto).</w:t>
      </w:r>
    </w:p>
    <w:p>
      <w:pPr>
        <w:spacing w:after="0" w:line="77" w:lineRule="exact"/>
        <w:rPr>
          <w:rFonts w:ascii="Times New Roman" w:cs="Times New Roman" w:eastAsia="Times New Roman" w:hAnsi="Times New Roman"/>
          <w:sz w:val="17"/>
          <w:szCs w:val="17"/>
          <w:color w:val="0000EE"/>
        </w:rPr>
      </w:pPr>
    </w:p>
    <w:p>
      <w:pPr>
        <w:ind w:left="1220" w:right="699" w:hanging="330"/>
        <w:spacing w:after="0" w:line="255" w:lineRule="auto"/>
        <w:tabs>
          <w:tab w:leader="none" w:pos="12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our Registration Statement on Form 8-A, filed with the SEC on June 8, 2016, as amended by the description of our Common Stock contained in </w:t>
      </w:r>
      <w:hyperlink r:id="rId47">
        <w:r>
          <w:rPr>
            <w:rFonts w:ascii="Times New Roman" w:cs="Times New Roman" w:eastAsia="Times New Roman" w:hAnsi="Times New Roman"/>
            <w:sz w:val="17"/>
            <w:szCs w:val="17"/>
            <w:u w:val="single" w:color="auto"/>
            <w:color w:val="0000EE"/>
          </w:rPr>
          <w:t>Exhibit 4.14</w:t>
        </w:r>
      </w:hyperlink>
      <w:r>
        <w:rPr>
          <w:rFonts w:ascii="Times New Roman" w:cs="Times New Roman" w:eastAsia="Times New Roman" w:hAnsi="Times New Roman"/>
          <w:sz w:val="17"/>
          <w:szCs w:val="17"/>
          <w:color w:val="auto"/>
        </w:rPr>
        <w:t xml:space="preserve"> to our Annual Report on Form 10-K for the year ended December 31, 2023, filed with the SEC on March 7, 2024, and any further amendment or report filed with the SEC for the purpose of updating such description.</w:t>
      </w:r>
    </w:p>
    <w:p>
      <w:pPr>
        <w:spacing w:after="0" w:line="76" w:lineRule="exact"/>
        <w:rPr>
          <w:rFonts w:ascii="Times New Roman" w:cs="Times New Roman" w:eastAsia="Times New Roman" w:hAnsi="Times New Roman"/>
          <w:sz w:val="17"/>
          <w:szCs w:val="17"/>
          <w:color w:val="0000EE"/>
        </w:rPr>
      </w:pPr>
    </w:p>
    <w:p>
      <w:pPr>
        <w:ind w:left="560" w:right="579" w:firstLine="337"/>
        <w:spacing w:after="0" w:line="271" w:lineRule="auto"/>
        <w:rPr>
          <w:sz w:val="20"/>
          <w:szCs w:val="20"/>
          <w:color w:val="auto"/>
        </w:rPr>
      </w:pPr>
      <w:r>
        <w:rPr>
          <w:rFonts w:ascii="Times New Roman" w:cs="Times New Roman" w:eastAsia="Times New Roman" w:hAnsi="Times New Roman"/>
          <w:sz w:val="16"/>
          <w:szCs w:val="16"/>
          <w:color w:val="auto"/>
        </w:rPr>
        <w:t>All reports and other documents we subsequently file with the SEC under Sections 13(a), 13(c), 14 or 15(d) of the Securities Exchange Act of 1934, as amended, or the Exchange Act, until our offering is completed, including all such reports and other documents filed with the SEC after the date of the initial filing of the registration statement of which this prospectus forms a part and prior to the effectiveness of such registration statement, will also be incorporated by reference into this prospectus and deemed to be part hereof (other than any information furnished to, rather than filed with, the SEC, unless expressly stated otherwise therein). The information contained in any such filing will be deemed to be a part of this prospectus commencing on the date on which the document is filed.</w:t>
      </w:r>
    </w:p>
    <w:p>
      <w:pPr>
        <w:spacing w:after="0" w:line="65" w:lineRule="exact"/>
        <w:rPr>
          <w:rFonts w:ascii="Times New Roman" w:cs="Times New Roman" w:eastAsia="Times New Roman" w:hAnsi="Times New Roman"/>
          <w:sz w:val="17"/>
          <w:szCs w:val="17"/>
          <w:color w:val="0000EE"/>
        </w:rPr>
      </w:pPr>
    </w:p>
    <w:p>
      <w:pPr>
        <w:ind w:left="560" w:right="599" w:firstLine="337"/>
        <w:spacing w:after="0" w:line="276" w:lineRule="auto"/>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08" w:lineRule="exact"/>
        <w:rPr>
          <w:rFonts w:ascii="Times New Roman" w:cs="Times New Roman" w:eastAsia="Times New Roman" w:hAnsi="Times New Roman"/>
          <w:sz w:val="17"/>
          <w:szCs w:val="17"/>
          <w:color w:val="0000EE"/>
        </w:rPr>
      </w:pPr>
    </w:p>
    <w:p>
      <w:pPr>
        <w:ind w:left="3560"/>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3" w:lineRule="exact"/>
        <w:rPr>
          <w:rFonts w:ascii="Times New Roman" w:cs="Times New Roman" w:eastAsia="Times New Roman" w:hAnsi="Times New Roman"/>
          <w:sz w:val="17"/>
          <w:szCs w:val="17"/>
          <w:color w:val="0000EE"/>
        </w:rPr>
      </w:pPr>
    </w:p>
    <w:p>
      <w:pPr>
        <w:ind w:left="3660"/>
        <w:spacing w:after="0"/>
        <w:rPr>
          <w:sz w:val="20"/>
          <w:szCs w:val="20"/>
          <w:color w:val="auto"/>
        </w:rPr>
      </w:pPr>
      <w:r>
        <w:rPr>
          <w:rFonts w:ascii="Times New Roman" w:cs="Times New Roman" w:eastAsia="Times New Roman" w:hAnsi="Times New Roman"/>
          <w:sz w:val="17"/>
          <w:szCs w:val="17"/>
          <w:color w:val="auto"/>
        </w:rPr>
        <w:t>7495 New Horizon Way</w:t>
      </w:r>
    </w:p>
    <w:p>
      <w:pPr>
        <w:spacing w:after="0" w:line="7" w:lineRule="exact"/>
        <w:rPr>
          <w:rFonts w:ascii="Times New Roman" w:cs="Times New Roman" w:eastAsia="Times New Roman" w:hAnsi="Times New Roman"/>
          <w:sz w:val="17"/>
          <w:szCs w:val="17"/>
          <w:color w:val="0000EE"/>
        </w:rPr>
      </w:pPr>
    </w:p>
    <w:p>
      <w:pPr>
        <w:ind w:left="3740"/>
        <w:spacing w:after="0"/>
        <w:rPr>
          <w:sz w:val="20"/>
          <w:szCs w:val="20"/>
          <w:color w:val="auto"/>
        </w:rPr>
      </w:pPr>
      <w:r>
        <w:rPr>
          <w:rFonts w:ascii="Times New Roman" w:cs="Times New Roman" w:eastAsia="Times New Roman" w:hAnsi="Times New Roman"/>
          <w:sz w:val="17"/>
          <w:szCs w:val="17"/>
          <w:color w:val="auto"/>
        </w:rPr>
        <w:t>Frederick, MD 21703</w:t>
      </w:r>
    </w:p>
    <w:p>
      <w:pPr>
        <w:spacing w:after="0" w:line="7" w:lineRule="exact"/>
        <w:rPr>
          <w:rFonts w:ascii="Times New Roman" w:cs="Times New Roman" w:eastAsia="Times New Roman" w:hAnsi="Times New Roman"/>
          <w:sz w:val="17"/>
          <w:szCs w:val="17"/>
          <w:color w:val="0000EE"/>
        </w:rPr>
      </w:pPr>
    </w:p>
    <w:p>
      <w:pPr>
        <w:ind w:left="3980"/>
        <w:spacing w:after="0"/>
        <w:rPr>
          <w:sz w:val="20"/>
          <w:szCs w:val="20"/>
          <w:color w:val="auto"/>
        </w:rPr>
      </w:pPr>
      <w:r>
        <w:rPr>
          <w:rFonts w:ascii="Times New Roman" w:cs="Times New Roman" w:eastAsia="Times New Roman" w:hAnsi="Times New Roman"/>
          <w:sz w:val="17"/>
          <w:szCs w:val="17"/>
          <w:color w:val="auto"/>
        </w:rPr>
        <w:t>(301) 348-8698</w:t>
      </w:r>
    </w:p>
    <w:p>
      <w:pPr>
        <w:spacing w:after="0" w:line="93" w:lineRule="exact"/>
        <w:rPr>
          <w:rFonts w:ascii="Times New Roman" w:cs="Times New Roman" w:eastAsia="Times New Roman" w:hAnsi="Times New Roman"/>
          <w:sz w:val="17"/>
          <w:szCs w:val="17"/>
          <w:color w:val="0000EE"/>
        </w:rPr>
      </w:pPr>
    </w:p>
    <w:p>
      <w:pPr>
        <w:ind w:left="560" w:right="799" w:firstLine="337"/>
        <w:spacing w:after="0" w:line="276" w:lineRule="auto"/>
        <w:rPr>
          <w:sz w:val="20"/>
          <w:szCs w:val="20"/>
          <w:color w:val="auto"/>
        </w:rPr>
      </w:pPr>
      <w:r>
        <w:rPr>
          <w:rFonts w:ascii="Times New Roman" w:cs="Times New Roman" w:eastAsia="Times New Roman" w:hAnsi="Times New Roman"/>
          <w:sz w:val="17"/>
          <w:szCs w:val="17"/>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7"/>
          <w:szCs w:val="17"/>
          <w:color w:val="0000EE"/>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0000EE"/>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5" w:name="page46"/>
    <w:bookmarkEnd w:id="45"/>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86995</wp:posOffset>
            </wp:positionV>
            <wp:extent cx="5304155" cy="55454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5304155" cy="55454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3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The Company</w:t>
      </w:r>
    </w:p>
    <w:p>
      <w:pPr>
        <w:spacing w:after="0" w:line="112" w:lineRule="exact"/>
        <w:rPr>
          <w:sz w:val="20"/>
          <w:szCs w:val="20"/>
          <w:color w:val="auto"/>
        </w:rPr>
      </w:pPr>
    </w:p>
    <w:p>
      <w:pPr>
        <w:ind w:left="560" w:right="579" w:firstLine="338"/>
        <w:spacing w:after="0" w:line="268" w:lineRule="auto"/>
        <w:rPr>
          <w:sz w:val="20"/>
          <w:szCs w:val="20"/>
          <w:color w:val="auto"/>
        </w:rPr>
      </w:pPr>
      <w:r>
        <w:rPr>
          <w:rFonts w:ascii="Times New Roman" w:cs="Times New Roman" w:eastAsia="Times New Roman" w:hAnsi="Times New Roman"/>
          <w:sz w:val="16"/>
          <w:szCs w:val="16"/>
          <w:color w:val="auto"/>
        </w:rPr>
        <w:t>We are a clinical-stage biotechnology company developing mRNA cell therapies for the treatment of autoimmune diseases. We leverage our proprietary technology and manufacturing platform to introduce one or more mRNA molecules into cells to enhance their function. Unlike DNA, mRNA degrades naturally over time without integrating into the cell’s genetic material. Therefore, our mRNA cell therapies are distinguished by their capacity to be dosed repeatedly like conventional drugs, administered in an outpatient setting, and given without pre-treatment chemotherapy required with many conventional cell therapies. In an open-label Phase 2 clinical trial in patients with myasthenia gravis, or MG, a chronic autoimmune disease that causes disabling muscle weakness and fatigue, we observed that our lead product candidate, Descartes-08, generated a deep and durable clinical benefit, with all seven participants maintaining improvements in MG severity scales considered clinically meaningful by expert consensus at nine months, and five of the seven participants maintaining improvements in MG severity scales considered clinically meaningful by expert consensus at 12 months. Durability of response in MG is commonly measured over a period of 26 to 52 weeks, and maintenance of response over that period is considered durable.</w:t>
      </w:r>
    </w:p>
    <w:p>
      <w:pPr>
        <w:spacing w:after="0" w:line="67" w:lineRule="exact"/>
        <w:rPr>
          <w:sz w:val="20"/>
          <w:szCs w:val="20"/>
          <w:color w:val="auto"/>
        </w:rPr>
      </w:pPr>
    </w:p>
    <w:p>
      <w:pPr>
        <w:ind w:left="560" w:right="579" w:firstLine="338"/>
        <w:spacing w:after="0" w:line="258" w:lineRule="auto"/>
        <w:rPr>
          <w:sz w:val="20"/>
          <w:szCs w:val="20"/>
          <w:color w:val="auto"/>
        </w:rPr>
      </w:pPr>
      <w:r>
        <w:rPr>
          <w:rFonts w:ascii="Times New Roman" w:cs="Times New Roman" w:eastAsia="Times New Roman" w:hAnsi="Times New Roman"/>
          <w:sz w:val="17"/>
          <w:szCs w:val="17"/>
          <w:color w:val="auto"/>
        </w:rPr>
        <w:t>Our mRNA CAR-T modality is a personalized approach that collects a patient’s T-cells and uses mRNA to introduce a CAR into the cell. The CAR redirects the T-cells to target and destroy pathogenic self-reactive cells. Our mRNA in situ modality is designed to deliver mRNA into a patient’s lymph node to generate CAR-T cells and other proteins that target autoimmunity.</w:t>
      </w:r>
    </w:p>
    <w:p>
      <w:pPr>
        <w:spacing w:after="0" w:line="7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We filed our certificate of incorporation with the Secretary of State of Delaware on December 10, 2007.</w:t>
      </w:r>
    </w:p>
    <w:p>
      <w:pPr>
        <w:spacing w:after="0" w:line="23" w:lineRule="exact"/>
        <w:rPr>
          <w:sz w:val="20"/>
          <w:szCs w:val="20"/>
          <w:color w:val="auto"/>
        </w:rPr>
      </w:pPr>
    </w:p>
    <w:p>
      <w:pPr>
        <w:ind w:left="560" w:right="559"/>
        <w:spacing w:after="0" w:line="249" w:lineRule="auto"/>
        <w:rPr>
          <w:sz w:val="20"/>
          <w:szCs w:val="20"/>
          <w:color w:val="auto"/>
        </w:rPr>
      </w:pPr>
      <w:r>
        <w:rPr>
          <w:rFonts w:ascii="Times New Roman" w:cs="Times New Roman" w:eastAsia="Times New Roman" w:hAnsi="Times New Roman"/>
          <w:sz w:val="17"/>
          <w:szCs w:val="17"/>
          <w:color w:val="auto"/>
        </w:rPr>
        <w:t>On November 13, 2023, the Company and the Delaware corporation which, immediately prior to the Merger, was known as Cartesian Therapeutics, Inc., or Old Cartesian, entered into an Agreement and Plan of Merger, or the Merger Agreement, by and among the Company, Sakura Merger Sub I, Inc., a Delaware corporation and a wholly owned subsidiary of the Company, or First Merger Sub, Sakura Merger Sub II, LLC, a Delaware limited liability company and wholly owned subsidiary of the Company, or Second Merger Sub, and Old Cartesian. Pursuant to the Merger Agreement, and simultaneously with execution thereof, (i) First Merger Sub merged with and into Old Cartesian, pursuant to which Old Cartesian was the surviving corporation, or the First Step Surviving Corporation, and became a wholly owned subsidiary of the Company, or the First Merger, and (ii) immediately following the First Merger, Old Cartesian (as the First Step Surviving Corporation) merged with and into Second Merger Sub, pursuant to which Second Merger Sub was the surviving company, or the Surviving Company, and continued under the name “Cartesian Bio, LLC”, or the Second Merger and, together with the First Merger, the Merger. In connection with the Merger and pursuant to the Merger Agreement, the Company (which was known as Selecta Biosciences, Inc. until immediately prior to the Merger) changed its corporate name to Cartesian Therapeutics, Inc.</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2" w:lineRule="exact"/>
        <w:rPr>
          <w:sz w:val="20"/>
          <w:szCs w:val="20"/>
          <w:color w:val="auto"/>
        </w:rPr>
      </w:pPr>
    </w:p>
    <w:p>
      <w:pPr>
        <w:ind w:left="560" w:right="559" w:firstLine="338"/>
        <w:spacing w:after="0" w:line="276" w:lineRule="auto"/>
        <w:rPr>
          <w:sz w:val="20"/>
          <w:szCs w:val="20"/>
          <w:color w:val="auto"/>
        </w:rPr>
      </w:pPr>
      <w:r>
        <w:rPr>
          <w:rFonts w:ascii="Times New Roman" w:cs="Times New Roman" w:eastAsia="Times New Roman" w:hAnsi="Times New Roman"/>
          <w:sz w:val="17"/>
          <w:szCs w:val="17"/>
          <w:color w:val="auto"/>
        </w:rPr>
        <w:t>Our principal executive offices are located at 7495 New Horizon Way, Frederick, MD 21703, and our telephone number is (301) 348-8698.</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6" w:name="page47"/>
    <w:bookmarkEnd w:id="46"/>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86995</wp:posOffset>
            </wp:positionV>
            <wp:extent cx="5304155" cy="7531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5304155" cy="7531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560" w:type="dxa"/>
        <w:tblCellMar>
          <w:top w:w="0" w:type="dxa"/>
          <w:left w:w="0" w:type="dxa"/>
          <w:bottom w:w="0" w:type="dxa"/>
          <w:right w:w="0" w:type="dxa"/>
        </w:tblCellMar>
      </w:tblPr>
      <w:tr>
        <w:trPr>
          <w:trHeight w:val="222"/>
        </w:trPr>
        <w:tc>
          <w:tcPr>
            <w:tcW w:w="3260" w:type="dxa"/>
            <w:vAlign w:val="bottom"/>
          </w:tcPr>
          <w:p>
            <w:pPr>
              <w:spacing w:after="0"/>
              <w:rPr>
                <w:sz w:val="19"/>
                <w:szCs w:val="19"/>
                <w:color w:val="auto"/>
              </w:rPr>
            </w:pPr>
          </w:p>
        </w:tc>
        <w:tc>
          <w:tcPr>
            <w:tcW w:w="4640" w:type="dxa"/>
            <w:vAlign w:val="bottom"/>
            <w:gridSpan w:val="7"/>
          </w:tcPr>
          <w:p>
            <w:pPr>
              <w:ind w:left="60"/>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301"/>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Shares of our Common Stock having an aggregate</w:t>
            </w:r>
          </w:p>
        </w:tc>
      </w:tr>
      <w:tr>
        <w:trPr>
          <w:trHeight w:val="218"/>
        </w:trPr>
        <w:tc>
          <w:tcPr>
            <w:tcW w:w="3260" w:type="dxa"/>
            <w:vAlign w:val="bottom"/>
          </w:tcPr>
          <w:p>
            <w:pPr>
              <w:spacing w:after="0"/>
              <w:rPr>
                <w:sz w:val="18"/>
                <w:szCs w:val="18"/>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offering price of up to $100,000,000.</w:t>
            </w:r>
          </w:p>
        </w:tc>
      </w:tr>
      <w:tr>
        <w:trPr>
          <w:trHeight w:val="284"/>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 to be Outstanding After this</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7"/>
        </w:trPr>
        <w:tc>
          <w:tcPr>
            <w:tcW w:w="32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Offering</w:t>
            </w: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Up to 28,866,703 shares of our Common Stock,</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assuming the sale of up to 4,970,178 shares of our</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Common Stock in this offering at a price of $20.12 per</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share, which was the closing price of our Common</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Stock on Nasdaq on December 12, 2024. The actual</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number of shares of Common Stock issued in this</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w w:val="99"/>
              </w:rPr>
              <w:t>offering will vary depending on how many shares of our</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Common Stock we choose to sell and the prices at</w:t>
            </w:r>
          </w:p>
        </w:tc>
      </w:tr>
      <w:tr>
        <w:trPr>
          <w:trHeight w:val="218"/>
        </w:trPr>
        <w:tc>
          <w:tcPr>
            <w:tcW w:w="3260" w:type="dxa"/>
            <w:vAlign w:val="bottom"/>
          </w:tcPr>
          <w:p>
            <w:pPr>
              <w:spacing w:after="0"/>
              <w:rPr>
                <w:sz w:val="18"/>
                <w:szCs w:val="18"/>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which such sales occur.</w:t>
            </w:r>
          </w:p>
        </w:tc>
      </w:tr>
      <w:tr>
        <w:trPr>
          <w:trHeight w:val="326"/>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Plan of Distribution</w:t>
            </w: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“At the market offering” that may be made from time to</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time on Nasdaq or other existing trading market for our</w:t>
            </w:r>
          </w:p>
        </w:tc>
      </w:tr>
      <w:tr>
        <w:trPr>
          <w:trHeight w:val="199"/>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w w:val="99"/>
              </w:rPr>
              <w:t>Common Stock through our agent, Leerink Partners. See</w:t>
            </w:r>
          </w:p>
        </w:tc>
      </w:tr>
      <w:tr>
        <w:trPr>
          <w:trHeight w:val="185"/>
        </w:trPr>
        <w:tc>
          <w:tcPr>
            <w:tcW w:w="3260" w:type="dxa"/>
            <w:vAlign w:val="bottom"/>
          </w:tcPr>
          <w:p>
            <w:pPr>
              <w:spacing w:after="0"/>
              <w:rPr>
                <w:sz w:val="16"/>
                <w:szCs w:val="16"/>
                <w:color w:val="auto"/>
              </w:rPr>
            </w:pPr>
          </w:p>
        </w:tc>
        <w:tc>
          <w:tcPr>
            <w:tcW w:w="4640" w:type="dxa"/>
            <w:vAlign w:val="bottom"/>
            <w:gridSpan w:val="7"/>
          </w:tcPr>
          <w:p>
            <w:pPr>
              <w:ind w:left="800"/>
              <w:spacing w:after="0" w:line="185" w:lineRule="exact"/>
              <w:rPr>
                <w:sz w:val="20"/>
                <w:szCs w:val="20"/>
                <w:color w:val="auto"/>
              </w:rPr>
            </w:pPr>
            <w:r>
              <w:rPr>
                <w:rFonts w:ascii="Times New Roman" w:cs="Times New Roman" w:eastAsia="Times New Roman" w:hAnsi="Times New Roman"/>
                <w:sz w:val="17"/>
                <w:szCs w:val="17"/>
                <w:color w:val="auto"/>
                <w:w w:val="99"/>
              </w:rPr>
              <w:t>the section entitled “</w:t>
            </w:r>
            <w:r>
              <w:rPr>
                <w:rFonts w:ascii="Times New Roman" w:cs="Times New Roman" w:eastAsia="Times New Roman" w:hAnsi="Times New Roman"/>
                <w:sz w:val="17"/>
                <w:szCs w:val="17"/>
                <w:i w:val="1"/>
                <w:iCs w:val="1"/>
                <w:color w:val="auto"/>
                <w:w w:val="99"/>
              </w:rPr>
              <w:t>Plan of Distribution</w:t>
            </w:r>
            <w:r>
              <w:rPr>
                <w:rFonts w:ascii="Times New Roman" w:cs="Times New Roman" w:eastAsia="Times New Roman" w:hAnsi="Times New Roman"/>
                <w:sz w:val="17"/>
                <w:szCs w:val="17"/>
                <w:color w:val="auto"/>
                <w:w w:val="99"/>
              </w:rPr>
              <w:t xml:space="preserve">” on page </w:t>
            </w:r>
            <w:r>
              <w:rPr>
                <w:rFonts w:ascii="Times New Roman" w:cs="Times New Roman" w:eastAsia="Times New Roman" w:hAnsi="Times New Roman"/>
                <w:sz w:val="17"/>
                <w:szCs w:val="17"/>
                <w:color w:val="0000EE"/>
                <w:w w:val="99"/>
              </w:rPr>
              <w:t>18</w:t>
            </w:r>
            <w:r>
              <w:rPr>
                <w:rFonts w:ascii="Times New Roman" w:cs="Times New Roman" w:eastAsia="Times New Roman" w:hAnsi="Times New Roman"/>
                <w:sz w:val="17"/>
                <w:szCs w:val="17"/>
                <w:color w:val="auto"/>
                <w:w w:val="99"/>
              </w:rPr>
              <w:t xml:space="preserve"> of</w:t>
            </w:r>
          </w:p>
        </w:tc>
      </w:tr>
      <w:tr>
        <w:trPr>
          <w:trHeight w:val="220"/>
        </w:trPr>
        <w:tc>
          <w:tcPr>
            <w:tcW w:w="3260" w:type="dxa"/>
            <w:vAlign w:val="bottom"/>
          </w:tcPr>
          <w:p>
            <w:pPr>
              <w:spacing w:after="0"/>
              <w:rPr>
                <w:sz w:val="19"/>
                <w:szCs w:val="19"/>
                <w:color w:val="auto"/>
              </w:rPr>
            </w:pPr>
          </w:p>
        </w:tc>
        <w:tc>
          <w:tcPr>
            <w:tcW w:w="4240" w:type="dxa"/>
            <w:vAlign w:val="bottom"/>
            <w:gridSpan w:val="5"/>
          </w:tcPr>
          <w:p>
            <w:pPr>
              <w:ind w:left="800"/>
              <w:spacing w:after="0"/>
              <w:rPr>
                <w:sz w:val="20"/>
                <w:szCs w:val="20"/>
                <w:color w:val="auto"/>
              </w:rPr>
            </w:pPr>
            <w:r>
              <w:rPr>
                <w:rFonts w:ascii="Times New Roman" w:cs="Times New Roman" w:eastAsia="Times New Roman" w:hAnsi="Times New Roman"/>
                <w:sz w:val="17"/>
                <w:szCs w:val="17"/>
                <w:color w:val="auto"/>
              </w:rPr>
              <w:t>this prospectus.</w:t>
            </w:r>
          </w:p>
        </w:tc>
        <w:tc>
          <w:tcPr>
            <w:tcW w:w="18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r>
      <w:tr>
        <w:trPr>
          <w:trHeight w:val="313"/>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We intend to use the net proceeds of this offering for</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working capital and general corporate purposes,</w:t>
            </w:r>
          </w:p>
        </w:tc>
      </w:tr>
      <w:tr>
        <w:trPr>
          <w:trHeight w:val="199"/>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including advancement of our product candidate</w:t>
            </w:r>
          </w:p>
        </w:tc>
      </w:tr>
      <w:tr>
        <w:trPr>
          <w:trHeight w:val="207"/>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pipeline. See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on</w:t>
            </w:r>
          </w:p>
        </w:tc>
      </w:tr>
      <w:tr>
        <w:trPr>
          <w:trHeight w:val="181"/>
        </w:trPr>
        <w:tc>
          <w:tcPr>
            <w:tcW w:w="3260" w:type="dxa"/>
            <w:vAlign w:val="bottom"/>
          </w:tcPr>
          <w:p>
            <w:pPr>
              <w:spacing w:after="0"/>
              <w:rPr>
                <w:sz w:val="15"/>
                <w:szCs w:val="15"/>
                <w:color w:val="auto"/>
              </w:rPr>
            </w:pPr>
          </w:p>
        </w:tc>
        <w:tc>
          <w:tcPr>
            <w:tcW w:w="4640" w:type="dxa"/>
            <w:vAlign w:val="bottom"/>
            <w:gridSpan w:val="7"/>
          </w:tcPr>
          <w:p>
            <w:pPr>
              <w:ind w:left="800"/>
              <w:spacing w:after="0" w:line="181" w:lineRule="exact"/>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color w:val="auto"/>
              </w:rPr>
              <w:t xml:space="preserve"> of this prospectus.</w:t>
            </w:r>
          </w:p>
        </w:tc>
      </w:tr>
      <w:tr>
        <w:trPr>
          <w:trHeight w:val="20"/>
        </w:trPr>
        <w:tc>
          <w:tcPr>
            <w:tcW w:w="3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322"/>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Risk Factors</w:t>
            </w: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beginning on page </w:t>
            </w:r>
            <w:r>
              <w:rPr>
                <w:rFonts w:ascii="Times New Roman" w:cs="Times New Roman" w:eastAsia="Times New Roman" w:hAnsi="Times New Roman"/>
                <w:sz w:val="17"/>
                <w:szCs w:val="17"/>
                <w:color w:val="0000EE"/>
              </w:rPr>
              <w:t>9</w:t>
            </w:r>
            <w:r>
              <w:rPr>
                <w:rFonts w:ascii="Times New Roman" w:cs="Times New Roman" w:eastAsia="Times New Roman" w:hAnsi="Times New Roman"/>
                <w:sz w:val="17"/>
                <w:szCs w:val="17"/>
                <w:color w:val="auto"/>
              </w:rPr>
              <w:t xml:space="preserve"> of this</w:t>
            </w:r>
          </w:p>
        </w:tc>
      </w:tr>
      <w:tr>
        <w:trPr>
          <w:trHeight w:val="20"/>
        </w:trPr>
        <w:tc>
          <w:tcPr>
            <w:tcW w:w="3260" w:type="dxa"/>
            <w:vAlign w:val="bottom"/>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r>
      <w:tr>
        <w:trPr>
          <w:trHeight w:val="204"/>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prospectus and the other information included in, or</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incorporated by reference into, this prospectus for a</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discussion of certain factors you should carefully</w:t>
            </w:r>
          </w:p>
        </w:tc>
      </w:tr>
      <w:tr>
        <w:trPr>
          <w:trHeight w:val="203"/>
        </w:trPr>
        <w:tc>
          <w:tcPr>
            <w:tcW w:w="3260" w:type="dxa"/>
            <w:vAlign w:val="bottom"/>
          </w:tcPr>
          <w:p>
            <w:pPr>
              <w:spacing w:after="0"/>
              <w:rPr>
                <w:sz w:val="17"/>
                <w:szCs w:val="17"/>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consider before deciding to invest in shares of our</w:t>
            </w:r>
          </w:p>
        </w:tc>
      </w:tr>
      <w:tr>
        <w:trPr>
          <w:trHeight w:val="218"/>
        </w:trPr>
        <w:tc>
          <w:tcPr>
            <w:tcW w:w="3260" w:type="dxa"/>
            <w:vAlign w:val="bottom"/>
          </w:tcPr>
          <w:p>
            <w:pPr>
              <w:spacing w:after="0"/>
              <w:rPr>
                <w:sz w:val="18"/>
                <w:szCs w:val="18"/>
                <w:color w:val="auto"/>
              </w:rPr>
            </w:pP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Common Stock.</w:t>
            </w:r>
          </w:p>
        </w:tc>
      </w:tr>
      <w:tr>
        <w:trPr>
          <w:trHeight w:val="342"/>
        </w:trPr>
        <w:tc>
          <w:tcPr>
            <w:tcW w:w="32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Nasdaq Symbol</w:t>
            </w:r>
          </w:p>
        </w:tc>
        <w:tc>
          <w:tcPr>
            <w:tcW w:w="4640" w:type="dxa"/>
            <w:vAlign w:val="bottom"/>
            <w:gridSpan w:val="7"/>
          </w:tcPr>
          <w:p>
            <w:pPr>
              <w:ind w:left="800"/>
              <w:spacing w:after="0"/>
              <w:rPr>
                <w:sz w:val="20"/>
                <w:szCs w:val="20"/>
                <w:color w:val="auto"/>
              </w:rPr>
            </w:pPr>
            <w:r>
              <w:rPr>
                <w:rFonts w:ascii="Times New Roman" w:cs="Times New Roman" w:eastAsia="Times New Roman" w:hAnsi="Times New Roman"/>
                <w:sz w:val="17"/>
                <w:szCs w:val="17"/>
                <w:color w:val="auto"/>
              </w:rPr>
              <w:t>RNAC</w:t>
            </w:r>
          </w:p>
        </w:tc>
      </w:tr>
    </w:tbl>
    <w:p>
      <w:pPr>
        <w:spacing w:after="0" w:line="86" w:lineRule="exact"/>
        <w:rPr>
          <w:sz w:val="20"/>
          <w:szCs w:val="20"/>
          <w:color w:val="auto"/>
        </w:rPr>
      </w:pPr>
    </w:p>
    <w:p>
      <w:pPr>
        <w:ind w:left="560" w:right="699" w:firstLine="338"/>
        <w:spacing w:after="0" w:line="262"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immediately after this offering is based on 23,896,525 shares of our Common Stock outstanding as of September 30, 2024. The number of shares outstanding as of September 30, 2024 excludes as of such date:</w:t>
      </w:r>
    </w:p>
    <w:p>
      <w:pPr>
        <w:spacing w:after="0" w:line="69" w:lineRule="exact"/>
        <w:rPr>
          <w:sz w:val="20"/>
          <w:szCs w:val="20"/>
          <w:color w:val="auto"/>
        </w:rPr>
      </w:pPr>
    </w:p>
    <w:p>
      <w:pPr>
        <w:ind w:left="1240" w:right="1039" w:hanging="333"/>
        <w:spacing w:after="0" w:line="276"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5,544,719 shares of Common Stock issuable upon the conversion of 166,341.592 shares of Series A Preferred Stock outstanding as of September 30, 2024;</w:t>
      </w:r>
    </w:p>
    <w:p>
      <w:pPr>
        <w:spacing w:after="0" w:line="56" w:lineRule="exact"/>
        <w:rPr>
          <w:rFonts w:ascii="Times New Roman" w:cs="Times New Roman" w:eastAsia="Times New Roman" w:hAnsi="Times New Roman"/>
          <w:sz w:val="17"/>
          <w:szCs w:val="17"/>
          <w:color w:val="auto"/>
        </w:rPr>
      </w:pPr>
    </w:p>
    <w:p>
      <w:pPr>
        <w:ind w:left="1240" w:right="799" w:hanging="333"/>
        <w:spacing w:after="0" w:line="276"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437,927 shares of Common Stock issuable upon the conversion of 437,927 shares of Series B Preferred Stock outstanding as of September 30, 2024;</w:t>
      </w:r>
    </w:p>
    <w:p>
      <w:pPr>
        <w:spacing w:after="0" w:line="56" w:lineRule="exact"/>
        <w:rPr>
          <w:rFonts w:ascii="Times New Roman" w:cs="Times New Roman" w:eastAsia="Times New Roman" w:hAnsi="Times New Roman"/>
          <w:sz w:val="17"/>
          <w:szCs w:val="17"/>
          <w:color w:val="auto"/>
        </w:rPr>
      </w:pPr>
    </w:p>
    <w:p>
      <w:pPr>
        <w:ind w:left="1240" w:right="859" w:hanging="333"/>
        <w:spacing w:after="0" w:line="258"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586,800 shares of Common Stock issuable upon the exercise of stock options outstanding as of September 30, 2024, at a weighted-average exercise price of $19.66 per share under our Amended and Restated 2016 Incentive Award Plan, or the 2016 Incentive Award Plan, of which 12,386 options were vested as of September 30, 2024;</w:t>
      </w:r>
    </w:p>
    <w:p>
      <w:pPr>
        <w:spacing w:after="0" w:line="71" w:lineRule="exact"/>
        <w:rPr>
          <w:rFonts w:ascii="Times New Roman" w:cs="Times New Roman" w:eastAsia="Times New Roman" w:hAnsi="Times New Roman"/>
          <w:sz w:val="17"/>
          <w:szCs w:val="17"/>
          <w:color w:val="auto"/>
        </w:rPr>
      </w:pPr>
    </w:p>
    <w:p>
      <w:pPr>
        <w:ind w:left="1240" w:right="859" w:hanging="333"/>
        <w:spacing w:after="0" w:line="258"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256,666 shares of Common Stock issuable upon the exercise of stock options outstanding as of September 30, 2024, at a weighted-average exercise price of $20.10 per share under our Amended and Restated 2018 Employment Inducement Incentive Award Plan, or the Inducement Plan, of which no options were vested as of September 30, 2024;</w:t>
      </w:r>
    </w:p>
    <w:p>
      <w:pPr>
        <w:spacing w:after="0" w:line="71" w:lineRule="exact"/>
        <w:rPr>
          <w:rFonts w:ascii="Times New Roman" w:cs="Times New Roman" w:eastAsia="Times New Roman" w:hAnsi="Times New Roman"/>
          <w:sz w:val="17"/>
          <w:szCs w:val="17"/>
          <w:color w:val="auto"/>
        </w:rPr>
      </w:pPr>
    </w:p>
    <w:p>
      <w:pPr>
        <w:ind w:left="1240" w:right="639" w:hanging="333"/>
        <w:spacing w:after="0" w:line="258" w:lineRule="auto"/>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1,128,723 shares of Common Stock issuable upon the exercise of stock options outstanding as of September 30, 2024, at a weighted-average exercise price of $2.72 per share under the Cartesian Therapeutics, Inc. 2016 Stock Incentive Plan, or the 2016 Stock Incentive Plan, of which 964,490 options were vested as of September 30, 2024;</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47" w:name="page48"/>
    <w:bookmarkEnd w:id="47"/>
    <w:p>
      <w:pPr>
        <w:ind w:left="3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86995</wp:posOffset>
            </wp:positionV>
            <wp:extent cx="5304155" cy="3253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5304155" cy="325310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40" w:right="619" w:hanging="333"/>
        <w:spacing w:after="0" w:line="262"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68" w:lineRule="exact"/>
        <w:rPr>
          <w:rFonts w:ascii="Times New Roman" w:cs="Times New Roman" w:eastAsia="Times New Roman" w:hAnsi="Times New Roman"/>
          <w:sz w:val="17"/>
          <w:szCs w:val="17"/>
          <w:color w:val="auto"/>
        </w:rPr>
      </w:pPr>
    </w:p>
    <w:p>
      <w:pPr>
        <w:ind w:left="1240" w:right="679" w:hanging="333"/>
        <w:spacing w:after="0" w:line="262"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8" w:lineRule="exact"/>
        <w:rPr>
          <w:rFonts w:ascii="Times New Roman" w:cs="Times New Roman" w:eastAsia="Times New Roman" w:hAnsi="Times New Roman"/>
          <w:sz w:val="17"/>
          <w:szCs w:val="17"/>
          <w:color w:val="auto"/>
        </w:rPr>
      </w:pPr>
    </w:p>
    <w:p>
      <w:pPr>
        <w:ind w:left="1240" w:right="659" w:hanging="333"/>
        <w:spacing w:after="0" w:line="276"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974,954 shares of Common Stock issuable upon the exercise of warrants outstanding as of September 30, 2024, at a weighted average exercise price of $46.04 per share;</w:t>
      </w:r>
    </w:p>
    <w:p>
      <w:pPr>
        <w:spacing w:after="0" w:line="56" w:lineRule="exact"/>
        <w:rPr>
          <w:rFonts w:ascii="Times New Roman" w:cs="Times New Roman" w:eastAsia="Times New Roman" w:hAnsi="Times New Roman"/>
          <w:sz w:val="17"/>
          <w:szCs w:val="17"/>
          <w:color w:val="auto"/>
        </w:rPr>
      </w:pPr>
    </w:p>
    <w:p>
      <w:pPr>
        <w:ind w:left="1240" w:right="1079" w:hanging="333"/>
        <w:spacing w:after="0" w:line="276"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3,511,101 shares of Common Stock reserved for issuance as of September 30, 2024 under the 2016 Incentive Award Plan;</w:t>
      </w:r>
    </w:p>
    <w:p>
      <w:pPr>
        <w:spacing w:after="0" w:line="56" w:lineRule="exact"/>
        <w:rPr>
          <w:rFonts w:ascii="Times New Roman" w:cs="Times New Roman" w:eastAsia="Times New Roman" w:hAnsi="Times New Roman"/>
          <w:sz w:val="17"/>
          <w:szCs w:val="17"/>
          <w:color w:val="auto"/>
        </w:rPr>
      </w:pPr>
    </w:p>
    <w:p>
      <w:pPr>
        <w:ind w:left="1240" w:right="859" w:hanging="333"/>
        <w:spacing w:after="0" w:line="276"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27,270 shares of Common Stock reserved for issuance as of September 30, 2024 under the 2016 Stock Incentive Plan;</w:t>
      </w:r>
    </w:p>
    <w:p>
      <w:pPr>
        <w:spacing w:after="0" w:line="56" w:lineRule="exact"/>
        <w:rPr>
          <w:rFonts w:ascii="Times New Roman" w:cs="Times New Roman" w:eastAsia="Times New Roman" w:hAnsi="Times New Roman"/>
          <w:sz w:val="17"/>
          <w:szCs w:val="17"/>
          <w:color w:val="auto"/>
        </w:rPr>
      </w:pPr>
    </w:p>
    <w:p>
      <w:pPr>
        <w:ind w:left="1240" w:right="739" w:hanging="333"/>
        <w:spacing w:after="0" w:line="276"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253,377 shares of Common Stock reserved for issuance as of September 30, 2024 under the Inducement Plan; and</w:t>
      </w:r>
    </w:p>
    <w:p>
      <w:pPr>
        <w:spacing w:after="0" w:line="56" w:lineRule="exact"/>
        <w:rPr>
          <w:rFonts w:ascii="Times New Roman" w:cs="Times New Roman" w:eastAsia="Times New Roman" w:hAnsi="Times New Roman"/>
          <w:sz w:val="17"/>
          <w:szCs w:val="17"/>
          <w:color w:val="auto"/>
        </w:rPr>
      </w:pPr>
    </w:p>
    <w:p>
      <w:pPr>
        <w:ind w:left="1240" w:right="899" w:hanging="333"/>
        <w:spacing w:after="0" w:line="276" w:lineRule="auto"/>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45,795 shares of Common Stock reserved for issuance as of September 30, 2024 pursuant to our 2016 Employee Stock Purchase Plan, or the 2016 ESPP.</w:t>
      </w:r>
    </w:p>
    <w:p>
      <w:pPr>
        <w:spacing w:after="0" w:line="57" w:lineRule="exact"/>
        <w:rPr>
          <w:sz w:val="20"/>
          <w:szCs w:val="20"/>
          <w:color w:val="auto"/>
        </w:rPr>
      </w:pPr>
    </w:p>
    <w:p>
      <w:pPr>
        <w:jc w:val="both"/>
        <w:ind w:left="560" w:right="719" w:firstLine="338"/>
        <w:spacing w:after="0" w:line="286" w:lineRule="auto"/>
        <w:rPr>
          <w:sz w:val="20"/>
          <w:szCs w:val="20"/>
          <w:color w:val="auto"/>
        </w:rPr>
      </w:pPr>
      <w:r>
        <w:rPr>
          <w:rFonts w:ascii="Times New Roman" w:cs="Times New Roman" w:eastAsia="Times New Roman" w:hAnsi="Times New Roman"/>
          <w:sz w:val="16"/>
          <w:szCs w:val="16"/>
          <w:color w:val="auto"/>
        </w:rPr>
        <w:t>The foregoing table does not give effect to the exercise of any outstanding options or warrants, the vesting of any restricted stock units, or the conversion of any outstanding shares of preferred stock. To the extent options and warrants are exercised, restricted stock units vest, or preferred stock is converted, there may be further dilution.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8" w:name="page49"/>
    <w:bookmarkEnd w:id="4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87" w:lineRule="exact"/>
        <w:rPr>
          <w:sz w:val="20"/>
          <w:szCs w:val="20"/>
          <w:color w:val="auto"/>
        </w:rPr>
      </w:pPr>
    </w:p>
    <w:p>
      <w:pPr>
        <w:ind w:left="560" w:right="639" w:firstLine="337"/>
        <w:spacing w:after="0" w:line="241" w:lineRule="auto"/>
        <w:rPr>
          <w:sz w:val="20"/>
          <w:szCs w:val="20"/>
          <w:color w:val="auto"/>
        </w:rPr>
      </w:pPr>
      <w:r>
        <w:rPr>
          <w:rFonts w:ascii="Times New Roman" w:cs="Times New Roman" w:eastAsia="Times New Roman" w:hAnsi="Times New Roman"/>
          <w:sz w:val="17"/>
          <w:szCs w:val="17"/>
          <w:color w:val="auto"/>
        </w:rPr>
        <w:t>Investment in any securities offered pursuant to this prospectus involves risks. You should carefully consider the risk factors described below and in our most recent Annual Report on Form 10-K and subsequently filed Quarterly Reports on 10-Q, incorporated by reference in this prospectus, any amendment or update thereto reflected in subsequent filings with the SEC, and all other information contained or incorporated by reference in this prospectus, as updated by our subsequent filings under the Exchange Act. These risks might cause you to lose all or part of your investment in the offered securities.</w:t>
      </w:r>
    </w:p>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Risks Relating to this Offering</w:t>
      </w:r>
    </w:p>
    <w:p>
      <w:pPr>
        <w:spacing w:after="0" w:line="108" w:lineRule="exact"/>
        <w:rPr>
          <w:sz w:val="20"/>
          <w:szCs w:val="20"/>
          <w:color w:val="auto"/>
        </w:rPr>
      </w:pPr>
    </w:p>
    <w:p>
      <w:pPr>
        <w:ind w:left="560" w:right="59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you.</w:t>
      </w:r>
    </w:p>
    <w:p>
      <w:pPr>
        <w:spacing w:after="0" w:line="40" w:lineRule="exact"/>
        <w:rPr>
          <w:sz w:val="20"/>
          <w:szCs w:val="20"/>
          <w:color w:val="auto"/>
        </w:rPr>
      </w:pPr>
    </w:p>
    <w:p>
      <w:pPr>
        <w:ind w:left="560" w:right="619" w:firstLine="337"/>
        <w:spacing w:after="0"/>
        <w:rPr>
          <w:sz w:val="20"/>
          <w:szCs w:val="20"/>
          <w:color w:val="auto"/>
        </w:rPr>
      </w:pPr>
      <w:r>
        <w:rPr>
          <w:rFonts w:ascii="Times New Roman" w:cs="Times New Roman" w:eastAsia="Times New Roman" w:hAnsi="Times New Roman"/>
          <w:sz w:val="17"/>
          <w:szCs w:val="17"/>
          <w:color w:val="auto"/>
        </w:rPr>
        <w:t>The price per share of our Common Stock being offered may be higher than the net tangible book value per share of our outstanding Common Stock prior to this offering. Assuming that an aggregate of 4,970,178 shares of our Common Stock are sold at a price of $20.12 per share, the last reported sale price of our Common Stock on Nasdaq on December 12, 2024, for aggregate gross proceeds of approximately $100 million, and after deducting commissions and estimated offering expenses payable by us, investors in this offering would incur immediate dilution of $23.63 per share. For a more detailed discussion of the foregoing, see the section entitled “</w:t>
      </w:r>
      <w:r>
        <w:rPr>
          <w:rFonts w:ascii="Times New Roman" w:cs="Times New Roman" w:eastAsia="Times New Roman" w:hAnsi="Times New Roman"/>
          <w:sz w:val="17"/>
          <w:szCs w:val="17"/>
          <w:i w:val="1"/>
          <w:iCs w:val="1"/>
          <w:color w:val="auto"/>
        </w:rPr>
        <w:t>Dilution</w:t>
      </w:r>
      <w:r>
        <w:rPr>
          <w:rFonts w:ascii="Times New Roman" w:cs="Times New Roman" w:eastAsia="Times New Roman" w:hAnsi="Times New Roman"/>
          <w:sz w:val="17"/>
          <w:szCs w:val="17"/>
          <w:color w:val="auto"/>
        </w:rPr>
        <w:t>” below. Additionally, to the extent outstanding stock options or warrants are exercised, investors will experience further dilution. Finally, to the extent we need to raise additional capital in the future and we issue additional shares of Common Stock or securities convertible or exchangeable for our Common Stock, our then-existing stockholders may experience dilution and the new securities may have rights senior to those of our Common Stock offered in this offering.</w:t>
      </w:r>
    </w:p>
    <w:p>
      <w:pPr>
        <w:spacing w:after="0" w:line="176" w:lineRule="exact"/>
        <w:rPr>
          <w:sz w:val="20"/>
          <w:szCs w:val="20"/>
          <w:color w:val="auto"/>
        </w:rPr>
      </w:pPr>
    </w:p>
    <w:p>
      <w:pPr>
        <w:ind w:left="560" w:right="939"/>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The Common Stock offered hereby will be sold in “at the market” offerings, and investors who buy shares at different times will likely pay different prices.</w:t>
      </w:r>
    </w:p>
    <w:p>
      <w:pPr>
        <w:spacing w:after="0" w:line="27" w:lineRule="exact"/>
        <w:rPr>
          <w:sz w:val="20"/>
          <w:szCs w:val="20"/>
          <w:color w:val="auto"/>
        </w:rPr>
      </w:pPr>
    </w:p>
    <w:p>
      <w:pPr>
        <w:ind w:left="560" w:right="619" w:firstLine="337"/>
        <w:spacing w:after="0" w:line="268" w:lineRule="auto"/>
        <w:rPr>
          <w:sz w:val="20"/>
          <w:szCs w:val="20"/>
          <w:color w:val="auto"/>
        </w:rPr>
      </w:pPr>
      <w:r>
        <w:rPr>
          <w:rFonts w:ascii="Times New Roman" w:cs="Times New Roman" w:eastAsia="Times New Roman" w:hAnsi="Times New Roman"/>
          <w:sz w:val="16"/>
          <w:szCs w:val="16"/>
          <w:color w:val="auto"/>
        </w:rPr>
        <w:t>Investors who purchase shares of Common Stock in this offering at different times will likely pay different prices. As a result, investors may experience different outcomes in their investment results. We will have discretion, subject to market demand, to vary the timing, prices and numbers of shares sold. Investors may experience a decline in the value of their shares as a result of share sales made at prices lower than the prices they paid.</w:t>
      </w:r>
    </w:p>
    <w:p>
      <w:pPr>
        <w:spacing w:after="0" w:line="149" w:lineRule="exact"/>
        <w:rPr>
          <w:sz w:val="20"/>
          <w:szCs w:val="20"/>
          <w:color w:val="auto"/>
        </w:rPr>
      </w:pPr>
    </w:p>
    <w:p>
      <w:pPr>
        <w:ind w:left="560" w:right="819"/>
        <w:spacing w:after="0" w:line="281" w:lineRule="auto"/>
        <w:rPr>
          <w:sz w:val="20"/>
          <w:szCs w:val="20"/>
          <w:color w:val="auto"/>
        </w:rPr>
      </w:pPr>
      <w:r>
        <w:rPr>
          <w:rFonts w:ascii="Times New Roman" w:cs="Times New Roman" w:eastAsia="Times New Roman" w:hAnsi="Times New Roman"/>
          <w:sz w:val="17"/>
          <w:szCs w:val="17"/>
          <w:b w:val="1"/>
          <w:bCs w:val="1"/>
          <w:i w:val="1"/>
          <w:iCs w:val="1"/>
          <w:color w:val="auto"/>
        </w:rPr>
        <w:t>The actual number of shares of Common Stock we will issue under the Sales Agreement, at any one time or in total, is uncertain.</w:t>
      </w:r>
    </w:p>
    <w:p>
      <w:pPr>
        <w:spacing w:after="0" w:line="15" w:lineRule="exact"/>
        <w:rPr>
          <w:sz w:val="20"/>
          <w:szCs w:val="20"/>
          <w:color w:val="auto"/>
        </w:rPr>
      </w:pPr>
    </w:p>
    <w:p>
      <w:pPr>
        <w:ind w:left="560" w:right="659" w:firstLine="337"/>
        <w:spacing w:after="0" w:line="243" w:lineRule="auto"/>
        <w:rPr>
          <w:sz w:val="20"/>
          <w:szCs w:val="20"/>
          <w:color w:val="auto"/>
        </w:rPr>
      </w:pPr>
      <w:r>
        <w:rPr>
          <w:rFonts w:ascii="Times New Roman" w:cs="Times New Roman" w:eastAsia="Times New Roman" w:hAnsi="Times New Roman"/>
          <w:sz w:val="17"/>
          <w:szCs w:val="17"/>
          <w:color w:val="auto"/>
        </w:rPr>
        <w:t>Subject to certain limitations in the Sales Agreement and compliance with applicable law, we have the discretion to deliver a sales notice to the sales agent at any time throughout the term of the Sales Agreement. The number of shares that are sold by Leerink Partners after we deliver a sales notice will depend on the market price of our Common Stock during the sales period and limits we set with the sales agent. Because of our discretion in delivering and setting the terms of the sales notices under the Sales Agreement and because the price per share of each share sold will vary based on the market price of our Common Stock during the sales period, it is not possible at this stage to predict the number of shares that will be ultimately issued in this offering.</w:t>
      </w:r>
    </w:p>
    <w:p>
      <w:pPr>
        <w:spacing w:after="0" w:line="2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the net proceeds from this offering and may not use them effectively.</w:t>
      </w:r>
    </w:p>
    <w:p>
      <w:pPr>
        <w:spacing w:after="0" w:line="74" w:lineRule="exact"/>
        <w:rPr>
          <w:sz w:val="20"/>
          <w:szCs w:val="20"/>
          <w:color w:val="auto"/>
        </w:rPr>
      </w:pPr>
    </w:p>
    <w:p>
      <w:pPr>
        <w:ind w:left="560" w:right="579" w:firstLine="337"/>
        <w:spacing w:after="0" w:line="257" w:lineRule="auto"/>
        <w:rPr>
          <w:sz w:val="20"/>
          <w:szCs w:val="20"/>
          <w:color w:val="auto"/>
        </w:rPr>
      </w:pPr>
      <w:r>
        <w:rPr>
          <w:rFonts w:ascii="Times New Roman" w:cs="Times New Roman" w:eastAsia="Times New Roman" w:hAnsi="Times New Roman"/>
          <w:sz w:val="16"/>
          <w:szCs w:val="16"/>
          <w:color w:val="auto"/>
        </w:rPr>
        <w:t>Our management will have broad discretion in the application of the net proceeds from this offering, including for any of the purposes described in the section entitled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the net proceeds in ways that ultimately increase the value of your investment. We currently expect to use the net proceeds from this offering for working capital and general corporate purposes, including advancement of our product candidate pipeline. The failure by our management to apply these funds effectively could harm our business. Pending these uses, we intend to invest the net proceeds in a variety of capital preservation instruments, which may include all or a combination of short-term and long-term interest-bearing instruments, investment-grade securities, and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the price or value of our Common Stock to decline.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49" w:name="page50"/>
    <w:bookmarkEnd w:id="4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We may issue and sell shares of our Common Stock having aggregate sales proceeds of up to</w:t>
      </w: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$100,000,000 from time to time. Because there is no minimum offering amount required as a condition to close this</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offering, the actual total public offering amount, commissions and proceeds to us, if any, are not determinable at this</w:t>
      </w:r>
    </w:p>
    <w:p>
      <w:pPr>
        <w:spacing w:after="0" w:line="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time.</w:t>
      </w:r>
    </w:p>
    <w:p>
      <w:pPr>
        <w:spacing w:after="0" w:line="93" w:lineRule="exact"/>
        <w:rPr>
          <w:sz w:val="20"/>
          <w:szCs w:val="20"/>
          <w:color w:val="auto"/>
        </w:rPr>
      </w:pPr>
    </w:p>
    <w:p>
      <w:pPr>
        <w:ind w:left="560" w:right="599" w:firstLine="337"/>
        <w:spacing w:after="0" w:line="276" w:lineRule="auto"/>
        <w:rPr>
          <w:sz w:val="20"/>
          <w:szCs w:val="20"/>
          <w:color w:val="auto"/>
        </w:rPr>
      </w:pPr>
      <w:r>
        <w:rPr>
          <w:rFonts w:ascii="Times New Roman" w:cs="Times New Roman" w:eastAsia="Times New Roman" w:hAnsi="Times New Roman"/>
          <w:sz w:val="17"/>
          <w:szCs w:val="17"/>
          <w:color w:val="auto"/>
        </w:rPr>
        <w:t>We intend to use the net proceeds of this offering for working capital and general corporate purposes, including advancement of our product candidate pipeline.</w:t>
      </w:r>
    </w:p>
    <w:p>
      <w:pPr>
        <w:spacing w:after="0" w:line="57" w:lineRule="exact"/>
        <w:rPr>
          <w:sz w:val="20"/>
          <w:szCs w:val="20"/>
          <w:color w:val="auto"/>
        </w:rPr>
      </w:pPr>
    </w:p>
    <w:p>
      <w:pPr>
        <w:ind w:left="560" w:right="659" w:firstLine="337"/>
        <w:spacing w:after="0" w:line="253" w:lineRule="auto"/>
        <w:rPr>
          <w:sz w:val="20"/>
          <w:szCs w:val="20"/>
          <w:color w:val="auto"/>
        </w:rPr>
      </w:pPr>
      <w:r>
        <w:rPr>
          <w:rFonts w:ascii="Times New Roman" w:cs="Times New Roman" w:eastAsia="Times New Roman" w:hAnsi="Times New Roman"/>
          <w:sz w:val="17"/>
          <w:szCs w:val="17"/>
          <w:color w:val="auto"/>
        </w:rPr>
        <w:t>The amounts and timing of our actual expenditures will depend on numerous factors, including the progress of our clinical trials and other development efforts and other factors described under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 and the documents incorporated by reference herein. We may find it necessary or advisable to use the net proceeds for other purposes, and we will have broad discretion in the application of the net proceeds. Pending the uses described above, we intend to invest the net proceeds in a variety of capital preservation instruments, which may include all or a combination of short-term and long-term interest-bearing instruments, investment-grade securities, and direct or guaranteed obligations of the U.S. government.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0" w:name="page51"/>
    <w:bookmarkEnd w:id="50"/>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112" w:lineRule="exact"/>
        <w:rPr>
          <w:sz w:val="20"/>
          <w:szCs w:val="20"/>
          <w:color w:val="auto"/>
        </w:rPr>
      </w:pPr>
    </w:p>
    <w:p>
      <w:pPr>
        <w:ind w:left="560" w:right="739" w:firstLine="337"/>
        <w:spacing w:after="0" w:line="254" w:lineRule="auto"/>
        <w:rPr>
          <w:sz w:val="20"/>
          <w:szCs w:val="20"/>
          <w:color w:val="auto"/>
        </w:rPr>
      </w:pPr>
      <w:r>
        <w:rPr>
          <w:rFonts w:ascii="Times New Roman" w:cs="Times New Roman" w:eastAsia="Times New Roman" w:hAnsi="Times New Roman"/>
          <w:sz w:val="17"/>
          <w:szCs w:val="17"/>
          <w:color w:val="auto"/>
        </w:rPr>
        <w:t>The following description of our Common Stock is not complete and may not contain all the information you should consider before investing in our Common Stock. This description is summarized from, and qualified in its entirety by reference to, our restated certificate of incorporation, as amended, or the Charter, our amended and restated by-laws, or the Bylaws, and the applicable provisions of the Delaware General Corporation Law, or the DGCL. Each of our Charter and Bylaws is filed as an exhibit to the registration statement of which this prospectus forms a part.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2" w:lineRule="exact"/>
        <w:rPr>
          <w:sz w:val="20"/>
          <w:szCs w:val="20"/>
          <w:color w:val="auto"/>
        </w:rPr>
      </w:pPr>
    </w:p>
    <w:p>
      <w:pPr>
        <w:ind w:left="560" w:right="579" w:firstLine="337"/>
        <w:spacing w:after="0" w:line="271" w:lineRule="auto"/>
        <w:rPr>
          <w:sz w:val="20"/>
          <w:szCs w:val="20"/>
          <w:color w:val="auto"/>
        </w:rPr>
      </w:pPr>
      <w:r>
        <w:rPr>
          <w:rFonts w:ascii="Times New Roman" w:cs="Times New Roman" w:eastAsia="Times New Roman" w:hAnsi="Times New Roman"/>
          <w:sz w:val="16"/>
          <w:szCs w:val="16"/>
          <w:color w:val="auto"/>
        </w:rPr>
        <w:t>As of the date of this prospectus, our authorized capital stock consists of 360,000,000 shares, comprised of 350,000,000 shares of Common Stock, and 10,000,000 shares of preferred stock, $0.0001 par value per share. As of September 30, 2024 there were 23,896,525 shares of our Common Stock outstanding and 604,268.592 shares of preferred stock outstanding, of which (i) 166,341.592 were designated as Series A Non-Voting Convertible Preferred Stock, $0.0001 par value per share, or the Series A Preferred Stock, and are convertible into 5,544,719 shares of Common Stock and (ii) 437,927 were designated as Series B Non-Voting Convertible Preferred Stock, $0.0001 par value per share, or the Series B Preferred Stock, and are convertible into 437,927 shares of Common Stock.</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Our Common Stock is listed on the Nasdaq Global Market under the symbol “RNAC.”</w:t>
      </w:r>
    </w:p>
    <w:p>
      <w:pPr>
        <w:spacing w:after="0" w:line="104" w:lineRule="exact"/>
        <w:rPr>
          <w:sz w:val="20"/>
          <w:szCs w:val="20"/>
          <w:color w:val="auto"/>
        </w:rPr>
      </w:pPr>
    </w:p>
    <w:p>
      <w:pPr>
        <w:ind w:left="560" w:right="679" w:firstLine="337"/>
        <w:spacing w:after="0" w:line="252"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our Common Stock are entitled to one vote for each share held on all matters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 Our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a majority of the voting power of the outstanding shares of capital stock entitled to vote thereon is required to amend or repeal, or to adopt any provision inconsistent with, several of the provisions of our Charter.</w:t>
      </w:r>
    </w:p>
    <w:p>
      <w:pPr>
        <w:spacing w:after="0" w:line="75" w:lineRule="exact"/>
        <w:rPr>
          <w:sz w:val="20"/>
          <w:szCs w:val="20"/>
          <w:color w:val="auto"/>
        </w:rPr>
      </w:pPr>
    </w:p>
    <w:p>
      <w:pPr>
        <w:ind w:left="560" w:right="81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Rights upon Liquidation</w:t>
      </w:r>
      <w:r>
        <w:rPr>
          <w:rFonts w:ascii="Times New Roman" w:cs="Times New Roman" w:eastAsia="Times New Roman" w:hAnsi="Times New Roman"/>
          <w:sz w:val="17"/>
          <w:szCs w:val="17"/>
          <w:color w:val="auto"/>
        </w:rPr>
        <w:t>. In the event of our liquidation or dissolution, the holders of Common Stock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receive proportionately our net assets available for distribution to stockholders after the payment of all debts and other liabilities and subject to the prior rights of any outstanding preferred stock</w:t>
      </w:r>
    </w:p>
    <w:p>
      <w:pPr>
        <w:spacing w:after="0" w:line="62" w:lineRule="exact"/>
        <w:rPr>
          <w:sz w:val="20"/>
          <w:szCs w:val="20"/>
          <w:color w:val="auto"/>
        </w:rPr>
      </w:pPr>
    </w:p>
    <w:p>
      <w:pPr>
        <w:ind w:left="560" w:right="85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Dividend Rights</w:t>
      </w:r>
      <w:r>
        <w:rPr>
          <w:rFonts w:ascii="Times New Roman" w:cs="Times New Roman" w:eastAsia="Times New Roman" w:hAnsi="Times New Roman"/>
          <w:sz w:val="17"/>
          <w:szCs w:val="17"/>
          <w:color w:val="auto"/>
        </w:rPr>
        <w:t>. Holders of Common Stock are entitled to receive proportionately any dividends as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declared by our board of directors, or the Board of Directors, subject to any preferential dividend rights of outstanding preferred stock.</w:t>
      </w:r>
    </w:p>
    <w:p>
      <w:pPr>
        <w:spacing w:after="0" w:line="62" w:lineRule="exact"/>
        <w:rPr>
          <w:sz w:val="20"/>
          <w:szCs w:val="20"/>
          <w:color w:val="auto"/>
        </w:rPr>
      </w:pPr>
    </w:p>
    <w:p>
      <w:pPr>
        <w:ind w:left="560" w:right="67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Other Rights</w:t>
      </w:r>
      <w:r>
        <w:rPr>
          <w:rFonts w:ascii="Times New Roman" w:cs="Times New Roman" w:eastAsia="Times New Roman" w:hAnsi="Times New Roman"/>
          <w:sz w:val="17"/>
          <w:szCs w:val="17"/>
          <w:color w:val="auto"/>
        </w:rPr>
        <w:t>. Holders of Common Stock have no preemptive, subscription, redemption or conversion rights.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rights, preferences and privileges of holders of Common Stock are subject to and may be adversely affected by the rights of the holders of shares of any series of preferred stock that we may designate and issue in the future.</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12" w:lineRule="exact"/>
        <w:rPr>
          <w:sz w:val="20"/>
          <w:szCs w:val="20"/>
          <w:color w:val="auto"/>
        </w:rPr>
      </w:pPr>
    </w:p>
    <w:p>
      <w:pPr>
        <w:ind w:left="560" w:right="619" w:firstLine="337"/>
        <w:spacing w:after="0" w:line="276" w:lineRule="auto"/>
        <w:rPr>
          <w:sz w:val="20"/>
          <w:szCs w:val="20"/>
          <w:color w:val="auto"/>
        </w:rPr>
      </w:pPr>
      <w:r>
        <w:rPr>
          <w:rFonts w:ascii="Times New Roman" w:cs="Times New Roman" w:eastAsia="Times New Roman" w:hAnsi="Times New Roman"/>
          <w:sz w:val="17"/>
          <w:szCs w:val="17"/>
          <w:color w:val="auto"/>
        </w:rPr>
        <w:t>Certain holders of our Common Stock or their transferees are entitled to the following rights with respect to the registration of such shares for public resale under the Securities Act.</w:t>
      </w:r>
    </w:p>
    <w:p>
      <w:pPr>
        <w:spacing w:after="0" w:line="57" w:lineRule="exact"/>
        <w:rPr>
          <w:sz w:val="20"/>
          <w:szCs w:val="20"/>
          <w:color w:val="auto"/>
        </w:rPr>
      </w:pPr>
    </w:p>
    <w:p>
      <w:pPr>
        <w:ind w:left="560" w:right="599" w:firstLine="337"/>
        <w:spacing w:after="0" w:line="269" w:lineRule="auto"/>
        <w:rPr>
          <w:sz w:val="20"/>
          <w:szCs w:val="20"/>
          <w:color w:val="auto"/>
        </w:rPr>
      </w:pPr>
      <w:r>
        <w:rPr>
          <w:rFonts w:ascii="Times New Roman" w:cs="Times New Roman" w:eastAsia="Times New Roman" w:hAnsi="Times New Roman"/>
          <w:sz w:val="16"/>
          <w:szCs w:val="16"/>
          <w:color w:val="auto"/>
        </w:rPr>
        <w:t>These registration rights are granted pursuant to (i) a registration rights agreement, or the RRA, we entered into June 2024 in connection with a private placement of our Common Stock and Series B Preferred Stock, (ii) a registration rights agreement, or the 2023 RRA, we entered into in November 2023 in connection with a private placement of our Common Stock and Series A Preferred Stock, or the 2023 Private Placement, and the Merger, and</w:t>
      </w:r>
    </w:p>
    <w:p>
      <w:pPr>
        <w:spacing w:after="0" w:line="1" w:lineRule="exact"/>
        <w:rPr>
          <w:sz w:val="20"/>
          <w:szCs w:val="20"/>
          <w:color w:val="auto"/>
        </w:rPr>
      </w:pPr>
    </w:p>
    <w:p>
      <w:pPr>
        <w:ind w:left="560" w:right="779" w:hanging="7"/>
        <w:spacing w:after="0" w:line="257" w:lineRule="auto"/>
        <w:tabs>
          <w:tab w:leader="none" w:pos="8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rights agreement, or the 2020 RRA, we entered into in connection with the private placement of our Common Stock, which closed on July 31, 2020.</w:t>
      </w:r>
    </w:p>
    <w:p>
      <w:pPr>
        <w:spacing w:after="0" w:line="16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RRA</w:t>
      </w:r>
    </w:p>
    <w:p>
      <w:pPr>
        <w:spacing w:after="0" w:line="112" w:lineRule="exact"/>
        <w:rPr>
          <w:sz w:val="20"/>
          <w:szCs w:val="20"/>
          <w:color w:val="auto"/>
        </w:rPr>
      </w:pPr>
    </w:p>
    <w:p>
      <w:pPr>
        <w:ind w:left="560" w:right="759" w:firstLine="337"/>
        <w:spacing w:after="0" w:line="262" w:lineRule="auto"/>
        <w:rPr>
          <w:sz w:val="20"/>
          <w:szCs w:val="20"/>
          <w:color w:val="auto"/>
        </w:rPr>
      </w:pPr>
      <w:r>
        <w:rPr>
          <w:rFonts w:ascii="Times New Roman" w:cs="Times New Roman" w:eastAsia="Times New Roman" w:hAnsi="Times New Roman"/>
          <w:sz w:val="17"/>
          <w:szCs w:val="17"/>
          <w:color w:val="auto"/>
        </w:rPr>
        <w:t>On July 2, 2024, we entered into the RRA with the purchasers party thereto. Pursuant to the RRA, we were obligated to prepare and file a resale registration statement with the SEC within 30 days of July 3, 2024 and to use our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1" w:name="page52"/>
    <w:bookmarkEnd w:id="5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779"/>
        <w:spacing w:after="0" w:line="309" w:lineRule="auto"/>
        <w:rPr>
          <w:sz w:val="20"/>
          <w:szCs w:val="20"/>
          <w:color w:val="auto"/>
        </w:rPr>
      </w:pPr>
      <w:r>
        <w:rPr>
          <w:rFonts w:ascii="Times New Roman" w:cs="Times New Roman" w:eastAsia="Times New Roman" w:hAnsi="Times New Roman"/>
          <w:sz w:val="16"/>
          <w:szCs w:val="16"/>
          <w:color w:val="auto"/>
        </w:rPr>
        <w:t>reasonable best efforts to cause such registration statement to be declared effective by the SEC within 90 calendar days of July 3, 2024 (or within 120 calendar days of July 3, 2024 if the SEC reviews the registration statement).</w:t>
      </w:r>
    </w:p>
    <w:p>
      <w:pPr>
        <w:spacing w:after="0" w:line="33"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We also agreed, among other things, to indemnify the purchasers party thereto and each of their respective officers, directors, agents, partners, members, managers, stockholders, affiliates, investment advisers and employees, each person who controls any such purchaser party and the officers, directors, partners, members, managers, stockholders, agents, investment advisers and employees of each such controlling person from certain liabilities and pay all fees and expenses (excluding any legal fees of the selling holder(s), and any underwriting discounts and selling commissions) incident to our obligations under the RRA.</w:t>
      </w:r>
    </w:p>
    <w:p>
      <w:pPr>
        <w:spacing w:after="0" w:line="76" w:lineRule="exact"/>
        <w:rPr>
          <w:sz w:val="20"/>
          <w:szCs w:val="20"/>
          <w:color w:val="auto"/>
        </w:rPr>
      </w:pPr>
    </w:p>
    <w:p>
      <w:pPr>
        <w:ind w:left="560" w:right="559" w:firstLine="337"/>
        <w:spacing w:after="0" w:line="254" w:lineRule="auto"/>
        <w:rPr>
          <w:sz w:val="20"/>
          <w:szCs w:val="20"/>
          <w:color w:val="auto"/>
        </w:rPr>
      </w:pPr>
      <w:r>
        <w:rPr>
          <w:rFonts w:ascii="Times New Roman" w:cs="Times New Roman" w:eastAsia="Times New Roman" w:hAnsi="Times New Roman"/>
          <w:sz w:val="17"/>
          <w:szCs w:val="17"/>
          <w:color w:val="auto"/>
        </w:rPr>
        <w:t>Securities of a holder cease to be registrable securities under the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by Rule 144(c) and Rule 144(i)(2) and without volume or manner-of-sale restrictions, pursuant to a written opinion letter of counsel for the Company to such effect, addressed, delivered and reasonably acceptable to the Company’s transfer agent.</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2023 RRA</w:t>
      </w:r>
    </w:p>
    <w:p>
      <w:pPr>
        <w:spacing w:after="0" w:line="112" w:lineRule="exact"/>
        <w:rPr>
          <w:sz w:val="20"/>
          <w:szCs w:val="20"/>
          <w:color w:val="auto"/>
        </w:rPr>
      </w:pPr>
    </w:p>
    <w:p>
      <w:pPr>
        <w:ind w:left="560" w:right="679" w:firstLine="337"/>
        <w:spacing w:after="0" w:line="252" w:lineRule="auto"/>
        <w:rPr>
          <w:sz w:val="20"/>
          <w:szCs w:val="20"/>
          <w:color w:val="auto"/>
        </w:rPr>
      </w:pPr>
      <w:r>
        <w:rPr>
          <w:rFonts w:ascii="Times New Roman" w:cs="Times New Roman" w:eastAsia="Times New Roman" w:hAnsi="Times New Roman"/>
          <w:sz w:val="17"/>
          <w:szCs w:val="17"/>
          <w:color w:val="auto"/>
        </w:rPr>
        <w:t>In connection with the Merger and the 2023 Private Placement, we entered into the 2023 RRA, pursuant to which we agreed to prepare and file a resale registration statement with the SEC within 90 calendar days following November 15, 2023, with respect to the shares of Common Stock underlying the Series A Preferred Stock issued in the 2023 Private Placement and the Common Stock and Series A Preferred Stock issued to the signatories to the 2023 RRA in the Merger. We also agreed to use our commercially reasonable efforts to cause such registration statement to be declared effective by the SEC by March 29, 2024 (or by May 13, 2024 if the SEC reviews the registration statement). The parties to the 2023 RRA previously waived these registration requirements, and one signatory to the 2023 RRA has irrevocably waived such registration requirements.</w:t>
      </w:r>
    </w:p>
    <w:p>
      <w:pPr>
        <w:spacing w:after="0" w:line="80" w:lineRule="exact"/>
        <w:rPr>
          <w:sz w:val="20"/>
          <w:szCs w:val="20"/>
          <w:color w:val="auto"/>
        </w:rPr>
      </w:pPr>
    </w:p>
    <w:p>
      <w:pPr>
        <w:ind w:left="560" w:right="579" w:firstLine="337"/>
        <w:spacing w:after="0" w:line="255" w:lineRule="auto"/>
        <w:rPr>
          <w:sz w:val="20"/>
          <w:szCs w:val="20"/>
          <w:color w:val="auto"/>
        </w:rPr>
      </w:pPr>
      <w:r>
        <w:rPr>
          <w:rFonts w:ascii="Times New Roman" w:cs="Times New Roman" w:eastAsia="Times New Roman" w:hAnsi="Times New Roman"/>
          <w:sz w:val="17"/>
          <w:szCs w:val="17"/>
          <w:color w:val="auto"/>
        </w:rPr>
        <w:t>We also agreed to, among other things, indemnify the holders of Common Stock and Series A Preferred Stock signatory thereto, their officers, directors, members, employees, partners, managers, stockholders, affiliates, investment advisors and agents under such registration statement from certain liabilities and pay all fees and expenses (excluding any legal fees of the selling holder(s), and any underwriting discounts and selling commissions) incident to our obligations under the 2023 RRA.</w:t>
      </w:r>
    </w:p>
    <w:p>
      <w:pPr>
        <w:spacing w:after="0" w:line="76" w:lineRule="exact"/>
        <w:rPr>
          <w:sz w:val="20"/>
          <w:szCs w:val="20"/>
          <w:color w:val="auto"/>
        </w:rPr>
      </w:pPr>
    </w:p>
    <w:p>
      <w:pPr>
        <w:ind w:left="560" w:right="599" w:firstLine="337"/>
        <w:spacing w:after="0" w:line="254" w:lineRule="auto"/>
        <w:rPr>
          <w:sz w:val="20"/>
          <w:szCs w:val="20"/>
          <w:color w:val="auto"/>
        </w:rPr>
      </w:pPr>
      <w:r>
        <w:rPr>
          <w:rFonts w:ascii="Times New Roman" w:cs="Times New Roman" w:eastAsia="Times New Roman" w:hAnsi="Times New Roman"/>
          <w:sz w:val="17"/>
          <w:szCs w:val="17"/>
          <w:color w:val="auto"/>
        </w:rPr>
        <w:t>Securities of a holder cease to be registrable securities under the 2023 RRA upon the earlier to occur of the following: (A) a sale pursuant to a registration statement or Rule 144 under the Securities Act; and (B) the time such shares become eligible for resale by such holder under Rule 144 without the requirement for the Company to be in compliance with the current public information required thereunder and without volume or manner-of-sale restrictions, pursuant to a written opinion letter of counsel for the Company to such effect, addressed, delivered and reasonably acceptable to the Company’s transfer agent.</w:t>
      </w:r>
    </w:p>
    <w:p>
      <w:pPr>
        <w:spacing w:after="0" w:line="1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b w:val="1"/>
          <w:bCs w:val="1"/>
          <w:i w:val="1"/>
          <w:iCs w:val="1"/>
          <w:color w:val="auto"/>
        </w:rPr>
        <w:t>2020 RRA</w:t>
      </w:r>
    </w:p>
    <w:p>
      <w:pPr>
        <w:spacing w:after="0" w:line="112"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Holders of registrable securities under the 2020 RRA have registration rights until the earlier of (i) such time as there are no longer any registrable securities held by the purchaser, its affiliates or permitted transferees and (ii) such time as all of the securities can otherwise be sold without regard to the volume or manner-of-sale restrictions pursuant to Rule 144.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72" w:lineRule="exact"/>
        <w:rPr>
          <w:sz w:val="20"/>
          <w:szCs w:val="20"/>
          <w:color w:val="auto"/>
        </w:rPr>
      </w:pPr>
    </w:p>
    <w:p>
      <w:pPr>
        <w:ind w:left="560" w:right="579" w:firstLine="337"/>
        <w:spacing w:after="0" w:line="257" w:lineRule="auto"/>
        <w:rPr>
          <w:sz w:val="20"/>
          <w:szCs w:val="20"/>
          <w:color w:val="auto"/>
        </w:rPr>
      </w:pPr>
      <w:r>
        <w:rPr>
          <w:rFonts w:ascii="Times New Roman" w:cs="Times New Roman" w:eastAsia="Times New Roman" w:hAnsi="Times New Roman"/>
          <w:sz w:val="17"/>
          <w:szCs w:val="17"/>
          <w:i w:val="1"/>
          <w:iCs w:val="1"/>
          <w:color w:val="auto"/>
        </w:rPr>
        <w:t>Piggyback Registration Rights</w:t>
      </w:r>
      <w:r>
        <w:rPr>
          <w:rFonts w:ascii="Times New Roman" w:cs="Times New Roman" w:eastAsia="Times New Roman" w:hAnsi="Times New Roman"/>
          <w:sz w:val="17"/>
          <w:szCs w:val="17"/>
          <w:color w:val="auto"/>
        </w:rPr>
        <w:t>. Any time we propose to register any shares of our Common Stock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Act, subject to certain exceptions, the holders of registrable securities are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68" w:lineRule="exact"/>
        <w:rPr>
          <w:sz w:val="20"/>
          <w:szCs w:val="20"/>
          <w:color w:val="auto"/>
        </w:rPr>
      </w:pPr>
    </w:p>
    <w:p>
      <w:pPr>
        <w:ind w:left="560" w:right="1299" w:firstLine="337"/>
        <w:spacing w:after="0" w:line="314"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If the holders of registrable securities request in writing that we effect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registration with respect to all of the registrable securities, we will be required to effect such registration.</w:t>
      </w:r>
    </w:p>
    <w:p>
      <w:pPr>
        <w:spacing w:after="0" w:line="25" w:lineRule="exact"/>
        <w:rPr>
          <w:sz w:val="20"/>
          <w:szCs w:val="20"/>
          <w:color w:val="auto"/>
        </w:rPr>
      </w:pPr>
    </w:p>
    <w:p>
      <w:pPr>
        <w:ind w:left="560" w:right="99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Ordinarily, other than underwriting discounts and commissions, we will be required to pay 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incurred by us related to any registration effected pursuant to the exercise of these registration rights. These expenses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2" w:name="page53"/>
    <w:bookmarkEnd w:id="5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879"/>
        <w:spacing w:after="0" w:line="276" w:lineRule="auto"/>
        <w:rPr>
          <w:sz w:val="20"/>
          <w:szCs w:val="20"/>
          <w:color w:val="auto"/>
        </w:rPr>
      </w:pPr>
      <w:r>
        <w:rPr>
          <w:rFonts w:ascii="Times New Roman" w:cs="Times New Roman" w:eastAsia="Times New Roman" w:hAnsi="Times New Roman"/>
          <w:sz w:val="17"/>
          <w:szCs w:val="17"/>
          <w:color w:val="auto"/>
        </w:rPr>
        <w:t>may include all registration and filing fees, printing expenses, fees and disbursements of our counsel, reasonable fees and disbursements of a counsel for the selling security holders and blue sky fees and expenses.</w:t>
      </w:r>
    </w:p>
    <w:p>
      <w:pPr>
        <w:spacing w:after="0" w:line="53" w:lineRule="exact"/>
        <w:rPr>
          <w:sz w:val="20"/>
          <w:szCs w:val="20"/>
          <w:color w:val="auto"/>
        </w:rPr>
      </w:pPr>
    </w:p>
    <w:p>
      <w:pPr>
        <w:ind w:left="560" w:right="61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Termination of Registration Rights</w:t>
      </w:r>
      <w:r>
        <w:rPr>
          <w:rFonts w:ascii="Times New Roman" w:cs="Times New Roman" w:eastAsia="Times New Roman" w:hAnsi="Times New Roman"/>
          <w:sz w:val="17"/>
          <w:szCs w:val="17"/>
          <w:color w:val="auto"/>
        </w:rPr>
        <w:t>. The registration rights terminate upon the earlier of (i) such time as there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no longer any registrable securities held by the purchaser, its affiliates or permitted transferees and (ii) such time as all of the securities can otherwise be sold without regard to the volume or manner-of-sale restrictions pursuant to Rule 144.</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Anti-Takeover Effects of Delaware Law and Our Charter and Bylaws</w:t>
      </w:r>
    </w:p>
    <w:p>
      <w:pPr>
        <w:spacing w:after="0" w:line="112" w:lineRule="exact"/>
        <w:rPr>
          <w:sz w:val="20"/>
          <w:szCs w:val="20"/>
          <w:color w:val="auto"/>
        </w:rPr>
      </w:pPr>
    </w:p>
    <w:p>
      <w:pPr>
        <w:ind w:left="560" w:right="619" w:firstLine="337"/>
        <w:spacing w:after="0" w:line="254" w:lineRule="auto"/>
        <w:rPr>
          <w:sz w:val="20"/>
          <w:szCs w:val="20"/>
          <w:color w:val="auto"/>
        </w:rPr>
      </w:pPr>
      <w:r>
        <w:rPr>
          <w:rFonts w:ascii="Times New Roman" w:cs="Times New Roman" w:eastAsia="Times New Roman" w:hAnsi="Times New Roman"/>
          <w:sz w:val="17"/>
          <w:szCs w:val="17"/>
          <w:color w:val="auto"/>
        </w:rPr>
        <w:t>Some provisions of the DGCL, our Charter and our Bylaws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 including transactions which provide for payment of a premium over the market price for our shares.</w:t>
      </w:r>
    </w:p>
    <w:p>
      <w:pPr>
        <w:spacing w:after="0" w:line="76" w:lineRule="exact"/>
        <w:rPr>
          <w:sz w:val="20"/>
          <w:szCs w:val="20"/>
          <w:color w:val="auto"/>
        </w:rPr>
      </w:pPr>
    </w:p>
    <w:p>
      <w:pPr>
        <w:ind w:left="560" w:right="579" w:firstLine="337"/>
        <w:spacing w:after="0" w:line="254" w:lineRule="auto"/>
        <w:rPr>
          <w:sz w:val="20"/>
          <w:szCs w:val="20"/>
          <w:color w:val="auto"/>
        </w:rPr>
      </w:pPr>
      <w:r>
        <w:rPr>
          <w:rFonts w:ascii="Times New Roman" w:cs="Times New Roman" w:eastAsia="Times New Roman" w:hAnsi="Times New Roman"/>
          <w:sz w:val="17"/>
          <w:szCs w:val="17"/>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2" w:lineRule="exact"/>
        <w:rPr>
          <w:sz w:val="20"/>
          <w:szCs w:val="20"/>
          <w:color w:val="auto"/>
        </w:rPr>
      </w:pPr>
    </w:p>
    <w:p>
      <w:pPr>
        <w:ind w:left="560" w:right="839" w:firstLine="337"/>
        <w:spacing w:after="0" w:line="257" w:lineRule="auto"/>
        <w:rPr>
          <w:sz w:val="20"/>
          <w:szCs w:val="20"/>
          <w:color w:val="auto"/>
        </w:rPr>
      </w:pPr>
      <w:r>
        <w:rPr>
          <w:rFonts w:ascii="Times New Roman" w:cs="Times New Roman" w:eastAsia="Times New Roman" w:hAnsi="Times New Roman"/>
          <w:sz w:val="17"/>
          <w:szCs w:val="17"/>
          <w:i w:val="1"/>
          <w:iCs w:val="1"/>
          <w:color w:val="auto"/>
        </w:rPr>
        <w:t>Undesignated Preferred Stock</w:t>
      </w:r>
      <w:r>
        <w:rPr>
          <w:rFonts w:ascii="Times New Roman" w:cs="Times New Roman" w:eastAsia="Times New Roman" w:hAnsi="Times New Roman"/>
          <w:sz w:val="17"/>
          <w:szCs w:val="17"/>
          <w:color w:val="auto"/>
        </w:rPr>
        <w:t>. The ability of our Board of Directors, without action by the stockholders,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 up to 10,000,000 shares of undesignated preferred stock with voting or other rights or preferences as designated by our Board of Directors could impede the success of any attempt to effect a change in control of us. These and other provisions may have the effect of deferring hostile takeovers or delaying changes in control or management of our company.</w:t>
      </w:r>
    </w:p>
    <w:p>
      <w:pPr>
        <w:spacing w:after="0" w:line="68" w:lineRule="exact"/>
        <w:rPr>
          <w:sz w:val="20"/>
          <w:szCs w:val="20"/>
          <w:color w:val="auto"/>
        </w:rPr>
      </w:pPr>
    </w:p>
    <w:p>
      <w:pPr>
        <w:ind w:left="560" w:right="819" w:firstLine="337"/>
        <w:spacing w:after="0" w:line="265" w:lineRule="auto"/>
        <w:rPr>
          <w:sz w:val="20"/>
          <w:szCs w:val="20"/>
          <w:color w:val="auto"/>
        </w:rPr>
      </w:pPr>
      <w:r>
        <w:rPr>
          <w:rFonts w:ascii="Times New Roman" w:cs="Times New Roman" w:eastAsia="Times New Roman" w:hAnsi="Times New Roman"/>
          <w:sz w:val="17"/>
          <w:szCs w:val="17"/>
          <w:i w:val="1"/>
          <w:iCs w:val="1"/>
          <w:color w:val="auto"/>
        </w:rPr>
        <w:t>Stockholder Meetings</w:t>
      </w:r>
      <w:r>
        <w:rPr>
          <w:rFonts w:ascii="Times New Roman" w:cs="Times New Roman" w:eastAsia="Times New Roman" w:hAnsi="Times New Roman"/>
          <w:sz w:val="17"/>
          <w:szCs w:val="17"/>
          <w:color w:val="auto"/>
        </w:rPr>
        <w:t>. Our Bylaws provide that a special meeting of stockholders may be called only by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chairman of the board, chief executive officer or president (in the absence of a chief executive officer), or by a resolution adopted by a majority of our Board of Directors.</w:t>
      </w:r>
    </w:p>
    <w:p>
      <w:pPr>
        <w:spacing w:after="0" w:line="62" w:lineRule="exact"/>
        <w:rPr>
          <w:sz w:val="20"/>
          <w:szCs w:val="20"/>
          <w:color w:val="auto"/>
        </w:rPr>
      </w:pPr>
    </w:p>
    <w:p>
      <w:pPr>
        <w:ind w:left="560" w:right="55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Requirements for Advance Notification of Stockholder Nominations and Proposals</w:t>
      </w:r>
      <w:r>
        <w:rPr>
          <w:rFonts w:ascii="Times New Roman" w:cs="Times New Roman" w:eastAsia="Times New Roman" w:hAnsi="Times New Roman"/>
          <w:sz w:val="17"/>
          <w:szCs w:val="17"/>
          <w:color w:val="auto"/>
        </w:rPr>
        <w:t>. Our Bylaws establish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8" w:lineRule="exact"/>
        <w:rPr>
          <w:sz w:val="20"/>
          <w:szCs w:val="20"/>
          <w:color w:val="auto"/>
        </w:rPr>
      </w:pPr>
    </w:p>
    <w:p>
      <w:pPr>
        <w:ind w:left="560" w:right="759" w:firstLine="337"/>
        <w:spacing w:after="0" w:line="281" w:lineRule="auto"/>
        <w:rPr>
          <w:sz w:val="20"/>
          <w:szCs w:val="20"/>
          <w:color w:val="auto"/>
        </w:rPr>
      </w:pPr>
      <w:r>
        <w:rPr>
          <w:rFonts w:ascii="Times New Roman" w:cs="Times New Roman" w:eastAsia="Times New Roman" w:hAnsi="Times New Roman"/>
          <w:sz w:val="17"/>
          <w:szCs w:val="17"/>
          <w:i w:val="1"/>
          <w:iCs w:val="1"/>
          <w:color w:val="auto"/>
        </w:rPr>
        <w:t>Elimination of Stockholder Action by Written Consent</w:t>
      </w:r>
      <w:r>
        <w:rPr>
          <w:rFonts w:ascii="Times New Roman" w:cs="Times New Roman" w:eastAsia="Times New Roman" w:hAnsi="Times New Roman"/>
          <w:sz w:val="17"/>
          <w:szCs w:val="17"/>
          <w:color w:val="auto"/>
        </w:rPr>
        <w:t>. Our Charter eliminates the right of stockholders to 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written consent without a meeting.</w:t>
      </w:r>
    </w:p>
    <w:p>
      <w:pPr>
        <w:spacing w:after="0" w:line="49" w:lineRule="exact"/>
        <w:rPr>
          <w:sz w:val="20"/>
          <w:szCs w:val="20"/>
          <w:color w:val="auto"/>
        </w:rPr>
      </w:pPr>
    </w:p>
    <w:p>
      <w:pPr>
        <w:ind w:left="560" w:right="61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Staggered Board</w:t>
      </w:r>
      <w:r>
        <w:rPr>
          <w:rFonts w:ascii="Times New Roman" w:cs="Times New Roman" w:eastAsia="Times New Roman" w:hAnsi="Times New Roman"/>
          <w:sz w:val="17"/>
          <w:szCs w:val="17"/>
          <w:color w:val="auto"/>
        </w:rPr>
        <w:t>. Our Board of Directors is divided into three classes. The directors in each class will serve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three-year term, one class being elected each year by our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68" w:lineRule="exact"/>
        <w:rPr>
          <w:sz w:val="20"/>
          <w:szCs w:val="20"/>
          <w:color w:val="auto"/>
        </w:rPr>
      </w:pPr>
    </w:p>
    <w:p>
      <w:pPr>
        <w:jc w:val="both"/>
        <w:ind w:left="560" w:right="63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Removal of Directors</w:t>
      </w:r>
      <w:r>
        <w:rPr>
          <w:rFonts w:ascii="Times New Roman" w:cs="Times New Roman" w:eastAsia="Times New Roman" w:hAnsi="Times New Roman"/>
          <w:sz w:val="17"/>
          <w:szCs w:val="17"/>
          <w:color w:val="auto"/>
        </w:rPr>
        <w:t>. Our Charter provides that no member of our Board of Directors may be removed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 by our stockholders except for cause and, in addition to any other vote required by law, upon the approval of the holders of at least two-thirds in voting power of the outstanding shares of stock entitled to vote in the election of directors.</w:t>
      </w:r>
    </w:p>
    <w:p>
      <w:pPr>
        <w:spacing w:after="0" w:line="68" w:lineRule="exact"/>
        <w:rPr>
          <w:sz w:val="20"/>
          <w:szCs w:val="20"/>
          <w:color w:val="auto"/>
        </w:rPr>
      </w:pPr>
    </w:p>
    <w:p>
      <w:pPr>
        <w:jc w:val="both"/>
        <w:ind w:left="560" w:right="75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Stockholders Not Entitled to Cumulative Voting</w:t>
      </w:r>
      <w:r>
        <w:rPr>
          <w:rFonts w:ascii="Times New Roman" w:cs="Times New Roman" w:eastAsia="Times New Roman" w:hAnsi="Times New Roman"/>
          <w:sz w:val="17"/>
          <w:szCs w:val="17"/>
          <w:color w:val="auto"/>
        </w:rPr>
        <w:t>. Our Charter does not permit stockholders to cumulate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8" w:lineRule="exact"/>
        <w:rPr>
          <w:sz w:val="20"/>
          <w:szCs w:val="20"/>
          <w:color w:val="auto"/>
        </w:rPr>
      </w:pPr>
    </w:p>
    <w:p>
      <w:pPr>
        <w:ind w:left="560" w:right="67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Delaware Anti-Takeover Statute</w:t>
      </w:r>
      <w:r>
        <w:rPr>
          <w:rFonts w:ascii="Times New Roman" w:cs="Times New Roman" w:eastAsia="Times New Roman" w:hAnsi="Times New Roman"/>
          <w:sz w:val="17"/>
          <w:szCs w:val="17"/>
          <w:color w:val="auto"/>
        </w:rPr>
        <w:t>. We are subject to Section 203 of the DGCL, which prohibits persons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53" w:name="page54"/>
    <w:bookmarkEnd w:id="5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679"/>
        <w:spacing w:after="0" w:line="254" w:lineRule="auto"/>
        <w:rPr>
          <w:sz w:val="20"/>
          <w:szCs w:val="20"/>
          <w:color w:val="auto"/>
        </w:rPr>
      </w:pPr>
      <w:r>
        <w:rPr>
          <w:rFonts w:ascii="Times New Roman" w:cs="Times New Roman" w:eastAsia="Times New Roman" w:hAnsi="Times New Roman"/>
          <w:sz w:val="17"/>
          <w:szCs w:val="17"/>
          <w:color w:val="auto"/>
        </w:rPr>
        <w:t>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law may have an anti-takeover effect with respect to transactions not approved in advance by the Board of Directors.</w:t>
      </w:r>
    </w:p>
    <w:p>
      <w:pPr>
        <w:spacing w:after="0" w:line="72" w:lineRule="exact"/>
        <w:rPr>
          <w:sz w:val="20"/>
          <w:szCs w:val="20"/>
          <w:color w:val="auto"/>
        </w:rPr>
      </w:pPr>
    </w:p>
    <w:p>
      <w:pPr>
        <w:ind w:left="560" w:right="559" w:firstLine="337"/>
        <w:spacing w:after="0" w:line="251" w:lineRule="auto"/>
        <w:rPr>
          <w:sz w:val="20"/>
          <w:szCs w:val="20"/>
          <w:color w:val="auto"/>
        </w:rPr>
      </w:pPr>
      <w:r>
        <w:rPr>
          <w:rFonts w:ascii="Times New Roman" w:cs="Times New Roman" w:eastAsia="Times New Roman" w:hAnsi="Times New Roman"/>
          <w:sz w:val="17"/>
          <w:szCs w:val="17"/>
          <w:i w:val="1"/>
          <w:iCs w:val="1"/>
          <w:color w:val="auto"/>
        </w:rPr>
        <w:t>Choice of Forum</w:t>
      </w:r>
      <w:r>
        <w:rPr>
          <w:rFonts w:ascii="Times New Roman" w:cs="Times New Roman" w:eastAsia="Times New Roman" w:hAnsi="Times New Roman"/>
          <w:sz w:val="17"/>
          <w:szCs w:val="17"/>
          <w:color w:val="auto"/>
        </w:rPr>
        <w:t>. Our Charter provides that, unless we consent in writing to the selection of an alternative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forum, the Court of Chancery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Charter or Bylaws; or (4) any action asserting a claim governed by the internal affairs doctrine. Our Charter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Charter is inapplicable or unenforceable if it is challenged in a proceeding or otherwise. Investors cannot waive compliance with the federal securities laws and the rules and regulations thereunder and Section 22 of the Securities Act generally creates concurrent jurisdiction for state and federal courts over suits brought to enforce any duty or liability created by the Securities Act or the rules and regulations thereunder.</w:t>
      </w:r>
    </w:p>
    <w:p>
      <w:pPr>
        <w:spacing w:after="0" w:line="78" w:lineRule="exact"/>
        <w:rPr>
          <w:sz w:val="20"/>
          <w:szCs w:val="20"/>
          <w:color w:val="auto"/>
        </w:rPr>
      </w:pPr>
    </w:p>
    <w:p>
      <w:pPr>
        <w:ind w:left="560" w:right="639" w:firstLine="337"/>
        <w:spacing w:after="0" w:line="259" w:lineRule="auto"/>
        <w:rPr>
          <w:sz w:val="20"/>
          <w:szCs w:val="20"/>
          <w:color w:val="auto"/>
        </w:rPr>
      </w:pPr>
      <w:r>
        <w:rPr>
          <w:rFonts w:ascii="Times New Roman" w:cs="Times New Roman" w:eastAsia="Times New Roman" w:hAnsi="Times New Roman"/>
          <w:sz w:val="17"/>
          <w:szCs w:val="17"/>
          <w:i w:val="1"/>
          <w:iCs w:val="1"/>
          <w:color w:val="auto"/>
        </w:rPr>
        <w:t>Amendment of Charter</w:t>
      </w:r>
      <w:r>
        <w:rPr>
          <w:rFonts w:ascii="Times New Roman" w:cs="Times New Roman" w:eastAsia="Times New Roman" w:hAnsi="Times New Roman"/>
          <w:sz w:val="17"/>
          <w:szCs w:val="17"/>
          <w:color w:val="auto"/>
        </w:rPr>
        <w:t>. The amendment of any of the above provisions in our Charter, except for the provision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making it possible for our Board of Directors to issue preferred stock and the provision prohibiting cumulative voting, would require approval by holders of at least two-thirds in voting power of the outstanding shares of stock entitled to vote thereon.</w:t>
      </w:r>
    </w:p>
    <w:p>
      <w:pPr>
        <w:spacing w:after="0" w:line="72" w:lineRule="exact"/>
        <w:rPr>
          <w:sz w:val="20"/>
          <w:szCs w:val="20"/>
          <w:color w:val="auto"/>
        </w:rPr>
      </w:pPr>
    </w:p>
    <w:p>
      <w:pPr>
        <w:ind w:left="560" w:right="639" w:firstLine="337"/>
        <w:spacing w:after="0" w:line="254" w:lineRule="auto"/>
        <w:rPr>
          <w:sz w:val="20"/>
          <w:szCs w:val="20"/>
          <w:color w:val="auto"/>
        </w:rPr>
      </w:pPr>
      <w:r>
        <w:rPr>
          <w:rFonts w:ascii="Times New Roman" w:cs="Times New Roman" w:eastAsia="Times New Roman" w:hAnsi="Times New Roman"/>
          <w:sz w:val="17"/>
          <w:szCs w:val="17"/>
          <w:color w:val="auto"/>
        </w:rPr>
        <w:t>The provisions of the DGCL, our Charter and our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w:t>
      </w:r>
    </w:p>
    <w:p>
      <w:pPr>
        <w:spacing w:after="0" w:line="3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12" w:lineRule="exact"/>
        <w:rPr>
          <w:sz w:val="20"/>
          <w:szCs w:val="20"/>
          <w:color w:val="auto"/>
        </w:rPr>
      </w:pPr>
    </w:p>
    <w:p>
      <w:pPr>
        <w:ind w:left="560" w:right="759" w:firstLine="337"/>
        <w:spacing w:after="0" w:line="276" w:lineRule="auto"/>
        <w:rPr>
          <w:sz w:val="20"/>
          <w:szCs w:val="20"/>
          <w:color w:val="auto"/>
        </w:rPr>
      </w:pPr>
      <w:r>
        <w:rPr>
          <w:rFonts w:ascii="Times New Roman" w:cs="Times New Roman" w:eastAsia="Times New Roman" w:hAnsi="Times New Roman"/>
          <w:sz w:val="17"/>
          <w:szCs w:val="17"/>
          <w:color w:val="auto"/>
        </w:rPr>
        <w:t>The transfer agent and registrar for our Common Stock is Equiniti Trust Company, LLC. The transfer agent’s address is 6201 15th Avenue, Brooklyn, New York 11219, and its telephone number is (800) 937-5449.</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Exchange Listing</w:t>
      </w:r>
    </w:p>
    <w:p>
      <w:pPr>
        <w:spacing w:after="0" w:line="13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Our Common Stock is listed on the Nasdaq Global Market under the symbol “RNAC.”</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4" w:name="page55"/>
    <w:bookmarkEnd w:id="5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2" w:lineRule="exact"/>
        <w:rPr>
          <w:sz w:val="20"/>
          <w:szCs w:val="20"/>
          <w:color w:val="auto"/>
        </w:rPr>
      </w:pPr>
    </w:p>
    <w:p>
      <w:pPr>
        <w:ind w:left="560" w:right="699" w:firstLine="337"/>
        <w:spacing w:after="0" w:line="254"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5" w:name="page56"/>
    <w:bookmarkEnd w:id="5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112" w:lineRule="exact"/>
        <w:rPr>
          <w:sz w:val="20"/>
          <w:szCs w:val="20"/>
          <w:color w:val="auto"/>
        </w:rPr>
      </w:pPr>
    </w:p>
    <w:p>
      <w:pPr>
        <w:ind w:left="560" w:right="639" w:firstLine="337"/>
        <w:spacing w:after="0" w:line="254" w:lineRule="auto"/>
        <w:rPr>
          <w:sz w:val="20"/>
          <w:szCs w:val="20"/>
          <w:color w:val="auto"/>
        </w:rPr>
      </w:pPr>
      <w:r>
        <w:rPr>
          <w:rFonts w:ascii="Times New Roman" w:cs="Times New Roman" w:eastAsia="Times New Roman" w:hAnsi="Times New Roman"/>
          <w:sz w:val="17"/>
          <w:szCs w:val="17"/>
          <w:color w:val="auto"/>
        </w:rPr>
        <w:t>If you invest in our Common Stock in this offering, your interest will be diluted to the extent of the difference between the price per share you pay in this offering and the net tangible book value per share of our Common Stock immediately after your purchase in this offering. Our net tangible book value of our Common Stock as of September 30, 2024 was approximately $(198.0) million, or approximately $(8.29) per share of Common Stock based upon 23,896,525 basic shares outstanding as of such date. Net tangible book value per share is equal to our total tangible assets, less our total liabilities, divided by the total number of basic shares outstanding.</w:t>
      </w:r>
    </w:p>
    <w:p>
      <w:pPr>
        <w:spacing w:after="0" w:line="76" w:lineRule="exact"/>
        <w:rPr>
          <w:sz w:val="20"/>
          <w:szCs w:val="20"/>
          <w:color w:val="auto"/>
        </w:rPr>
      </w:pPr>
    </w:p>
    <w:p>
      <w:pPr>
        <w:ind w:left="560" w:right="579" w:firstLine="337"/>
        <w:spacing w:after="0" w:line="273" w:lineRule="auto"/>
        <w:rPr>
          <w:sz w:val="20"/>
          <w:szCs w:val="20"/>
          <w:color w:val="auto"/>
        </w:rPr>
      </w:pPr>
      <w:r>
        <w:rPr>
          <w:rFonts w:ascii="Times New Roman" w:cs="Times New Roman" w:eastAsia="Times New Roman" w:hAnsi="Times New Roman"/>
          <w:sz w:val="16"/>
          <w:szCs w:val="16"/>
          <w:color w:val="auto"/>
        </w:rPr>
        <w:t>After giving effect to the assumed sale of our Common Stock in the aggregate amount of $100 million at an assumed offering price of $20.12 per share, the last reported sale price of our Common Stock on Nasdaq on December 12, 2024, and after deducting commissions and estimated offering expenses payable by us, our as adjusted net tangible book value as of September 30, 2024 would have been $(101.2) million, or $(3.51) per share of Common Stock. This represents an immediate increase in net tangible book value of $4.78 per share to our existing stockholders and an immediate dilution in net tangible book value of $23.63 per share to investors in this offering.</w:t>
      </w:r>
    </w:p>
    <w:p>
      <w:pPr>
        <w:spacing w:after="0" w:line="61" w:lineRule="exact"/>
        <w:rPr>
          <w:sz w:val="20"/>
          <w:szCs w:val="20"/>
          <w:color w:val="auto"/>
        </w:rPr>
      </w:pPr>
    </w:p>
    <w:p>
      <w:pPr>
        <w:ind w:left="560" w:right="599" w:firstLine="337"/>
        <w:spacing w:after="0" w:line="254" w:lineRule="auto"/>
        <w:rPr>
          <w:sz w:val="20"/>
          <w:szCs w:val="20"/>
          <w:color w:val="auto"/>
        </w:rPr>
      </w:pPr>
      <w:r>
        <w:rPr>
          <w:rFonts w:ascii="Times New Roman" w:cs="Times New Roman" w:eastAsia="Times New Roman" w:hAnsi="Times New Roman"/>
          <w:sz w:val="17"/>
          <w:szCs w:val="17"/>
          <w:color w:val="auto"/>
        </w:rPr>
        <w:t>The following table illustrates these calculations on a per-share basis. The as adjusted information is illustrative only and will depend on the actual price to the public, the actual number of shares sold and other terms of the offering determined at the time shares of our Common Stock are sold pursuant to this prospectus. The as adjusted information assumes that all of our Common Stock in the aggregate amount of $100 million is sold at the assumed offering price of $20.12 per share, the last reported sale price of our Common Stock on Nasdaq on December 12, 2024. The shares sold in this offering, if any, will be sold from time to time at various prices.</w:t>
      </w:r>
    </w:p>
    <w:p>
      <w:pPr>
        <w:spacing w:after="0" w:line="130" w:lineRule="exact"/>
        <w:rPr>
          <w:sz w:val="20"/>
          <w:szCs w:val="20"/>
          <w:color w:val="auto"/>
        </w:rPr>
      </w:pPr>
    </w:p>
    <w:tbl>
      <w:tblPr>
        <w:tblLayout w:type="fixed"/>
        <w:tblInd w:w="560" w:type="dxa"/>
        <w:tblCellMar>
          <w:top w:w="0" w:type="dxa"/>
          <w:left w:w="0" w:type="dxa"/>
          <w:bottom w:w="0" w:type="dxa"/>
          <w:right w:w="0" w:type="dxa"/>
        </w:tblCellMar>
      </w:tblPr>
      <w:tr>
        <w:trPr>
          <w:trHeight w:val="317"/>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public offering price per share</w:t>
            </w:r>
          </w:p>
        </w:tc>
        <w:tc>
          <w:tcPr>
            <w:tcW w:w="148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$20.12</w:t>
            </w:r>
          </w:p>
        </w:tc>
        <w:tc>
          <w:tcPr>
            <w:tcW w:w="60" w:type="dxa"/>
            <w:vAlign w:val="bottom"/>
            <w:shd w:val="clear" w:color="auto" w:fill="CCEEFF"/>
          </w:tcPr>
          <w:p>
            <w:pPr>
              <w:spacing w:after="0"/>
              <w:rPr>
                <w:sz w:val="24"/>
                <w:szCs w:val="24"/>
                <w:color w:val="auto"/>
              </w:rPr>
            </w:pP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Net tangible book value per share as of September 30, 2024</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$(8.29)</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8"/>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net tangible book value per share attributable to the offering</w:t>
            </w:r>
          </w:p>
        </w:tc>
        <w:tc>
          <w:tcPr>
            <w:tcW w:w="2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4.78</w:t>
            </w: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47"/>
        </w:trPr>
        <w:tc>
          <w:tcPr>
            <w:tcW w:w="6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As adjusted net tangible book value per share after giving effect to the offering</w:t>
            </w:r>
          </w:p>
        </w:tc>
        <w:tc>
          <w:tcPr>
            <w:tcW w:w="26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540" w:type="dxa"/>
            <w:vAlign w:val="bottom"/>
            <w:tcBorders>
              <w:top w:val="single" w:sz="8" w:color="CCEEFF"/>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(3.51)</w:t>
            </w:r>
          </w:p>
        </w:tc>
      </w:tr>
      <w:tr>
        <w:trPr>
          <w:trHeight w:val="32"/>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80"/>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per share to investors participating in this offering</w:t>
            </w:r>
          </w:p>
        </w:tc>
        <w:tc>
          <w:tcPr>
            <w:tcW w:w="1000" w:type="dxa"/>
            <w:vAlign w:val="bottom"/>
            <w:tcBorders>
              <w:bottom w:val="single" w:sz="8" w:color="CCEEFF"/>
            </w:tcBorders>
            <w:gridSpan w:val="3"/>
            <w:shd w:val="clear" w:color="auto" w:fill="CCEEFF"/>
          </w:tcPr>
          <w:p>
            <w:pPr>
              <w:spacing w:after="0"/>
              <w:rPr>
                <w:sz w:val="24"/>
                <w:szCs w:val="24"/>
                <w:color w:val="auto"/>
              </w:rPr>
            </w:pPr>
          </w:p>
        </w:tc>
        <w:tc>
          <w:tcPr>
            <w:tcW w:w="4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23.63</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85" w:lineRule="exact"/>
        <w:rPr>
          <w:sz w:val="20"/>
          <w:szCs w:val="20"/>
          <w:color w:val="auto"/>
        </w:rPr>
      </w:pPr>
    </w:p>
    <w:p>
      <w:pPr>
        <w:ind w:left="560" w:right="719" w:firstLine="337"/>
        <w:spacing w:after="0" w:line="262" w:lineRule="auto"/>
        <w:rPr>
          <w:sz w:val="20"/>
          <w:szCs w:val="20"/>
          <w:color w:val="auto"/>
        </w:rPr>
      </w:pPr>
      <w:r>
        <w:rPr>
          <w:rFonts w:ascii="Times New Roman" w:cs="Times New Roman" w:eastAsia="Times New Roman" w:hAnsi="Times New Roman"/>
          <w:sz w:val="17"/>
          <w:szCs w:val="17"/>
          <w:color w:val="auto"/>
        </w:rPr>
        <w:t>The number of shares of our Common Stock to be outstanding immediately after this offering is based on 23,896,525 shares of our Common Stock outstanding as of September 30, 2024. The number of shares outstanding as of September 30, 2024 excludes as of such date:</w:t>
      </w:r>
    </w:p>
    <w:p>
      <w:pPr>
        <w:spacing w:after="0" w:line="69" w:lineRule="exact"/>
        <w:rPr>
          <w:sz w:val="20"/>
          <w:szCs w:val="20"/>
          <w:color w:val="auto"/>
        </w:rPr>
      </w:pPr>
    </w:p>
    <w:p>
      <w:pPr>
        <w:ind w:left="1220" w:right="1059" w:hanging="330"/>
        <w:spacing w:after="0" w:line="276"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5,544,719 shares of Common Stock issuable upon the conversion of 166,341.592 shares of Series A Preferred Stock outstanding as of September 30, 2024;</w:t>
      </w:r>
    </w:p>
    <w:p>
      <w:pPr>
        <w:spacing w:after="0" w:line="56" w:lineRule="exact"/>
        <w:rPr>
          <w:rFonts w:ascii="Times New Roman" w:cs="Times New Roman" w:eastAsia="Times New Roman" w:hAnsi="Times New Roman"/>
          <w:sz w:val="17"/>
          <w:szCs w:val="17"/>
          <w:color w:val="auto"/>
        </w:rPr>
      </w:pPr>
    </w:p>
    <w:p>
      <w:pPr>
        <w:ind w:left="1220" w:right="819" w:hanging="330"/>
        <w:spacing w:after="0" w:line="276"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437,927 shares of Common Stock issuable upon the conversion of 437,927 shares of Series B Preferred Stock outstanding as of September 30, 2024;</w:t>
      </w:r>
    </w:p>
    <w:p>
      <w:pPr>
        <w:spacing w:after="0" w:line="56" w:lineRule="exact"/>
        <w:rPr>
          <w:rFonts w:ascii="Times New Roman" w:cs="Times New Roman" w:eastAsia="Times New Roman" w:hAnsi="Times New Roman"/>
          <w:sz w:val="17"/>
          <w:szCs w:val="17"/>
          <w:color w:val="auto"/>
        </w:rPr>
      </w:pPr>
    </w:p>
    <w:p>
      <w:pPr>
        <w:ind w:left="1220" w:right="839" w:hanging="330"/>
        <w:spacing w:after="0" w:line="262"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586,800 shares of Common Stock issuable upon the exercise of stock options outstanding as of September 30, 2024, at a weighted-average exercise price of $19.66 per share under the 2016 Incentive Award Plan, of which 12,386 options were vested as of September 30, 2024;</w:t>
      </w:r>
    </w:p>
    <w:p>
      <w:pPr>
        <w:spacing w:after="0" w:line="68" w:lineRule="exact"/>
        <w:rPr>
          <w:rFonts w:ascii="Times New Roman" w:cs="Times New Roman" w:eastAsia="Times New Roman" w:hAnsi="Times New Roman"/>
          <w:sz w:val="17"/>
          <w:szCs w:val="17"/>
          <w:color w:val="auto"/>
        </w:rPr>
      </w:pPr>
    </w:p>
    <w:p>
      <w:pPr>
        <w:ind w:left="1220" w:right="659" w:hanging="330"/>
        <w:spacing w:after="0" w:line="262"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256,666 shares of Common Stock issuable upon the exercise of stock options outstanding as of September 30, 2024, at a weighted-average exercise price of $20.10 per share under the Inducement Plan, of which no options were vested as of September 30, 2024;</w:t>
      </w:r>
    </w:p>
    <w:p>
      <w:pPr>
        <w:spacing w:after="0" w:line="68" w:lineRule="exact"/>
        <w:rPr>
          <w:rFonts w:ascii="Times New Roman" w:cs="Times New Roman" w:eastAsia="Times New Roman" w:hAnsi="Times New Roman"/>
          <w:sz w:val="17"/>
          <w:szCs w:val="17"/>
          <w:color w:val="auto"/>
        </w:rPr>
      </w:pPr>
    </w:p>
    <w:p>
      <w:pPr>
        <w:ind w:left="1220" w:right="1159" w:hanging="330"/>
        <w:spacing w:after="0" w:line="262"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1,128,723 shares of Common Stock issuable upon the exercise of stock options outstanding as of September 30, 2024, at a weighted-average exercise price of $2.72 per share under the 2016 Stock Incentive Plan, of which 964,490 options were vested as of September 30, 2024;</w:t>
      </w:r>
    </w:p>
    <w:p>
      <w:pPr>
        <w:spacing w:after="0" w:line="68" w:lineRule="exact"/>
        <w:rPr>
          <w:rFonts w:ascii="Times New Roman" w:cs="Times New Roman" w:eastAsia="Times New Roman" w:hAnsi="Times New Roman"/>
          <w:sz w:val="17"/>
          <w:szCs w:val="17"/>
          <w:color w:val="auto"/>
        </w:rPr>
      </w:pPr>
    </w:p>
    <w:p>
      <w:pPr>
        <w:ind w:left="1220" w:right="639" w:hanging="330"/>
        <w:spacing w:after="0" w:line="262" w:lineRule="auto"/>
        <w:tabs>
          <w:tab w:leader="none" w:pos="12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334,692 shares of Common Stock issuable upon the vesting of restricted stock units outstanding as of September 30, 2024, at a weighted-average grant price of $19.88 under the 2016 Incentive Award Plan, of which no restricted stock units were vested as of September 30, 2024;</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6" w:name="page57"/>
    <w:bookmarkEnd w:id="5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1220" w:right="699" w:hanging="330"/>
        <w:spacing w:after="0" w:line="262"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113,519 shares of Common Stock issuable upon the vesting of restricted stock units outstanding as of September 30, 2024, at a weighted-average grant price of $19.80 under the 2016 Stock Incentive Plan, of which no restricted stock units were vested as of September 30, 2024;</w:t>
      </w:r>
    </w:p>
    <w:p>
      <w:pPr>
        <w:spacing w:after="0" w:line="68" w:lineRule="exact"/>
        <w:rPr>
          <w:rFonts w:ascii="Times New Roman" w:cs="Times New Roman" w:eastAsia="Times New Roman" w:hAnsi="Times New Roman"/>
          <w:sz w:val="17"/>
          <w:szCs w:val="17"/>
          <w:color w:val="auto"/>
        </w:rPr>
      </w:pPr>
    </w:p>
    <w:p>
      <w:pPr>
        <w:ind w:left="1220" w:right="679" w:hanging="330"/>
        <w:spacing w:after="0" w:line="276"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974,954 shares of Common Stock issuable upon the exercise of warrants outstanding as of September 30, 2024, at a weighted average exercise price of $46.04 per share;</w:t>
      </w:r>
    </w:p>
    <w:p>
      <w:pPr>
        <w:spacing w:after="0" w:line="56" w:lineRule="exact"/>
        <w:rPr>
          <w:rFonts w:ascii="Times New Roman" w:cs="Times New Roman" w:eastAsia="Times New Roman" w:hAnsi="Times New Roman"/>
          <w:sz w:val="17"/>
          <w:szCs w:val="17"/>
          <w:color w:val="auto"/>
        </w:rPr>
      </w:pPr>
    </w:p>
    <w:p>
      <w:pPr>
        <w:ind w:left="1220" w:right="1479" w:hanging="330"/>
        <w:spacing w:after="0" w:line="276"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3,511,101 shares of Common Stock reserved for issuance as of September 30, 2024 under the 2016 Incentive Award Plan;</w:t>
      </w:r>
    </w:p>
    <w:p>
      <w:pPr>
        <w:spacing w:after="0" w:line="56" w:lineRule="exact"/>
        <w:rPr>
          <w:rFonts w:ascii="Times New Roman" w:cs="Times New Roman" w:eastAsia="Times New Roman" w:hAnsi="Times New Roman"/>
          <w:sz w:val="17"/>
          <w:szCs w:val="17"/>
          <w:color w:val="auto"/>
        </w:rPr>
      </w:pPr>
    </w:p>
    <w:p>
      <w:pPr>
        <w:ind w:left="1220" w:right="879" w:hanging="330"/>
        <w:spacing w:after="0" w:line="276"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27,270 shares of Common Stock reserved for issuance as of September 30, 2024 under the 2016 Stock Incentive Plan;</w:t>
      </w:r>
    </w:p>
    <w:p>
      <w:pPr>
        <w:spacing w:after="0" w:line="56" w:lineRule="exact"/>
        <w:rPr>
          <w:rFonts w:ascii="Times New Roman" w:cs="Times New Roman" w:eastAsia="Times New Roman" w:hAnsi="Times New Roman"/>
          <w:sz w:val="17"/>
          <w:szCs w:val="17"/>
          <w:color w:val="auto"/>
        </w:rPr>
      </w:pPr>
    </w:p>
    <w:p>
      <w:pPr>
        <w:ind w:left="1220" w:right="759" w:hanging="330"/>
        <w:spacing w:after="0" w:line="276"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253,377 shares of Common Stock reserved for issuance as of September 30, 2024 under the Inducement Plan; and</w:t>
      </w:r>
    </w:p>
    <w:p>
      <w:pPr>
        <w:spacing w:after="0" w:line="56" w:lineRule="exact"/>
        <w:rPr>
          <w:rFonts w:ascii="Times New Roman" w:cs="Times New Roman" w:eastAsia="Times New Roman" w:hAnsi="Times New Roman"/>
          <w:sz w:val="17"/>
          <w:szCs w:val="17"/>
          <w:color w:val="auto"/>
        </w:rPr>
      </w:pPr>
    </w:p>
    <w:p>
      <w:pPr>
        <w:ind w:left="1220" w:right="1319" w:hanging="330"/>
        <w:spacing w:after="0" w:line="276" w:lineRule="auto"/>
        <w:tabs>
          <w:tab w:leader="none" w:pos="12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45,795 shares of Common Stock reserved for issuance as of September 30, 2024 pursuant to the 2016 ESPP.</w:t>
      </w:r>
    </w:p>
    <w:p>
      <w:pPr>
        <w:spacing w:after="0" w:line="57" w:lineRule="exact"/>
        <w:rPr>
          <w:sz w:val="20"/>
          <w:szCs w:val="20"/>
          <w:color w:val="auto"/>
        </w:rPr>
      </w:pPr>
    </w:p>
    <w:p>
      <w:pPr>
        <w:jc w:val="both"/>
        <w:ind w:left="560" w:right="739" w:firstLine="337"/>
        <w:spacing w:after="0" w:line="286" w:lineRule="auto"/>
        <w:rPr>
          <w:sz w:val="20"/>
          <w:szCs w:val="20"/>
          <w:color w:val="auto"/>
        </w:rPr>
      </w:pPr>
      <w:r>
        <w:rPr>
          <w:rFonts w:ascii="Times New Roman" w:cs="Times New Roman" w:eastAsia="Times New Roman" w:hAnsi="Times New Roman"/>
          <w:sz w:val="16"/>
          <w:szCs w:val="16"/>
          <w:color w:val="auto"/>
        </w:rPr>
        <w:t>The foregoing table does not give effect to the exercise of any outstanding options or warrants, the vesting of any restricted stock units, or the conversion of any outstanding shares of preferred stock. To the extent options and warrants are exercised, restricted stock units vest, or preferred stock is converted, there may be further dilution.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7" w:name="page58"/>
    <w:bookmarkEnd w:id="5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112" w:lineRule="exact"/>
        <w:rPr>
          <w:sz w:val="20"/>
          <w:szCs w:val="20"/>
          <w:color w:val="auto"/>
        </w:rPr>
      </w:pPr>
    </w:p>
    <w:p>
      <w:pPr>
        <w:ind w:left="560" w:right="619" w:firstLine="337"/>
        <w:spacing w:after="0" w:line="253" w:lineRule="auto"/>
        <w:rPr>
          <w:sz w:val="20"/>
          <w:szCs w:val="20"/>
          <w:color w:val="auto"/>
        </w:rPr>
      </w:pPr>
      <w:r>
        <w:rPr>
          <w:rFonts w:ascii="Times New Roman" w:cs="Times New Roman" w:eastAsia="Times New Roman" w:hAnsi="Times New Roman"/>
          <w:sz w:val="17"/>
          <w:szCs w:val="17"/>
          <w:color w:val="auto"/>
        </w:rPr>
        <w:t>We have entered into the Sales Agreement with Leerink Partners, under which we may offer and sell from time to time shares of Common Stock through Leerink Partners. Sales of shares of Common Stock, if any, under this prospectus will be made at market prices by any method that is deemed to be an “at the market offering,” as defined in Rule 415(a)(4) under the Securities Act, including sales made directly on Nasdaq or any other trading market for our Common Stock. The below description of the material provisions of the Sales Agreement does not purport to be a complete statement of its terms and conditions. A copy of the Sales Agreement is filed as an exhibit to this registration statement of which this prospectus forms a part.</w:t>
      </w:r>
    </w:p>
    <w:p>
      <w:pPr>
        <w:spacing w:after="0" w:line="77" w:lineRule="exact"/>
        <w:rPr>
          <w:sz w:val="20"/>
          <w:szCs w:val="20"/>
          <w:color w:val="auto"/>
        </w:rPr>
      </w:pPr>
    </w:p>
    <w:p>
      <w:pPr>
        <w:ind w:left="560" w:right="579" w:firstLine="337"/>
        <w:spacing w:after="0" w:line="251" w:lineRule="auto"/>
        <w:rPr>
          <w:sz w:val="20"/>
          <w:szCs w:val="20"/>
          <w:color w:val="auto"/>
        </w:rPr>
      </w:pPr>
      <w:r>
        <w:rPr>
          <w:rFonts w:ascii="Times New Roman" w:cs="Times New Roman" w:eastAsia="Times New Roman" w:hAnsi="Times New Roman"/>
          <w:sz w:val="17"/>
          <w:szCs w:val="17"/>
          <w:color w:val="auto"/>
        </w:rPr>
        <w:t>Leerink Partners will offer shares of our Common Stock subject to the terms and conditions of the Sales Agreement on a daily basis or as otherwise agreed upon by us and Leerink Partners. We will designate the maximum amount of Common Stock to be sold through Leerink Partners on a daily basis or otherwise determine such maximum amount together with Leerink Partners. Subject to the terms and conditions of the Sales Agreement, Leerink Partners will use commercially reasonable efforts to sell on our behalf all of the shares of Common Stock requested to be sold by us. We may instruct Leerink Partners not to sell shares of Common Stock if the sales cannot be effected at or above the minimum price designated by us in any such instruction. Leerink Partners or we may suspend the offering of shares of our Common Stock being made through Leerink Partners under the Sales Agreement upon proper notice to the other party. Leerink Partners and we each have the right, by giving written notice as specified in the Sales Agreement, to terminate the Sales Agreement in each party’s sole discretion at any time.</w:t>
      </w:r>
    </w:p>
    <w:p>
      <w:pPr>
        <w:spacing w:after="0" w:line="81" w:lineRule="exact"/>
        <w:rPr>
          <w:sz w:val="20"/>
          <w:szCs w:val="20"/>
          <w:color w:val="auto"/>
        </w:rPr>
      </w:pPr>
    </w:p>
    <w:p>
      <w:pPr>
        <w:ind w:left="560" w:right="579" w:firstLine="337"/>
        <w:spacing w:after="0" w:line="255" w:lineRule="auto"/>
        <w:rPr>
          <w:sz w:val="20"/>
          <w:szCs w:val="20"/>
          <w:color w:val="auto"/>
        </w:rPr>
      </w:pPr>
      <w:r>
        <w:rPr>
          <w:rFonts w:ascii="Times New Roman" w:cs="Times New Roman" w:eastAsia="Times New Roman" w:hAnsi="Times New Roman"/>
          <w:sz w:val="17"/>
          <w:szCs w:val="17"/>
          <w:color w:val="auto"/>
        </w:rPr>
        <w:t>The aggregate compensation payable to Leerink Partners will be an amount up to 3.0% of the gross proceeds of any shares sold through it pursuant to the Sales Agreement. We have also agreed to reimburse Leerink Partners for up to $75,000 of Leerink Partners’ actual outside legal expenses incurred by Leerink Partners in connection with this offering. We estimate that the total expenses of the offering payable by us, excluding commissions and expense reimbursement payable to Leerink Partners under the Sales Agreement, will be approximately $225,000.</w:t>
      </w:r>
    </w:p>
    <w:p>
      <w:pPr>
        <w:spacing w:after="0" w:line="76" w:lineRule="exact"/>
        <w:rPr>
          <w:sz w:val="20"/>
          <w:szCs w:val="20"/>
          <w:color w:val="auto"/>
        </w:rPr>
      </w:pPr>
    </w:p>
    <w:p>
      <w:pPr>
        <w:ind w:left="560" w:right="619" w:firstLine="337"/>
        <w:spacing w:after="0" w:line="262" w:lineRule="auto"/>
        <w:rPr>
          <w:sz w:val="20"/>
          <w:szCs w:val="20"/>
          <w:color w:val="auto"/>
        </w:rPr>
      </w:pPr>
      <w:r>
        <w:rPr>
          <w:rFonts w:ascii="Times New Roman" w:cs="Times New Roman" w:eastAsia="Times New Roman" w:hAnsi="Times New Roman"/>
          <w:sz w:val="17"/>
          <w:szCs w:val="17"/>
          <w:color w:val="auto"/>
        </w:rPr>
        <w:t>The remaining sales proceeds, after deducting any expenses payable by us and any transaction fees imposed by any governmental, regulatory, or self-regulatory organization in connection with the sales, will equal our net proceeds for the sale of such shares of Common Stock.</w:t>
      </w:r>
    </w:p>
    <w:p>
      <w:pPr>
        <w:spacing w:after="0" w:line="69" w:lineRule="exact"/>
        <w:rPr>
          <w:sz w:val="20"/>
          <w:szCs w:val="20"/>
          <w:color w:val="auto"/>
        </w:rPr>
      </w:pPr>
    </w:p>
    <w:p>
      <w:pPr>
        <w:jc w:val="both"/>
        <w:ind w:left="560" w:right="659" w:firstLine="337"/>
        <w:spacing w:after="0" w:line="255" w:lineRule="auto"/>
        <w:rPr>
          <w:sz w:val="20"/>
          <w:szCs w:val="20"/>
          <w:color w:val="auto"/>
        </w:rPr>
      </w:pPr>
      <w:r>
        <w:rPr>
          <w:rFonts w:ascii="Times New Roman" w:cs="Times New Roman" w:eastAsia="Times New Roman" w:hAnsi="Times New Roman"/>
          <w:sz w:val="17"/>
          <w:szCs w:val="17"/>
          <w:color w:val="auto"/>
        </w:rPr>
        <w:t>Leerink Partners will provide written confirmation to us following the close of trading on Nasdaq on each day in which shares of Common Stock are sold through it as sales agent under the Sales Agreement. Each confirmation will include the number of shares of Common Stock sold through it as sales agent on that day, the volume weighted average price of the shares of Common Stock sold, the percentage of the daily trading volume and the net proceeds to us.</w:t>
      </w:r>
    </w:p>
    <w:p>
      <w:pPr>
        <w:spacing w:after="0" w:line="76" w:lineRule="exact"/>
        <w:rPr>
          <w:sz w:val="20"/>
          <w:szCs w:val="20"/>
          <w:color w:val="auto"/>
        </w:rPr>
      </w:pPr>
    </w:p>
    <w:p>
      <w:pPr>
        <w:ind w:left="560" w:right="639" w:firstLine="337"/>
        <w:spacing w:after="0" w:line="254" w:lineRule="auto"/>
        <w:rPr>
          <w:sz w:val="20"/>
          <w:szCs w:val="20"/>
          <w:color w:val="auto"/>
        </w:rPr>
      </w:pPr>
      <w:r>
        <w:rPr>
          <w:rFonts w:ascii="Times New Roman" w:cs="Times New Roman" w:eastAsia="Times New Roman" w:hAnsi="Times New Roman"/>
          <w:sz w:val="17"/>
          <w:szCs w:val="17"/>
          <w:color w:val="auto"/>
        </w:rPr>
        <w:t>We will report at least quarterly the number of shares of Common Stock sold through Leerink Partners under the Sales Agreement, the net proceeds to us and the compensation paid by us to Leerink Partners in connection with the sales of shares of Common Stock during the relevant period. Settlement for sales of shares of Common Stock will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76" w:lineRule="exact"/>
        <w:rPr>
          <w:sz w:val="20"/>
          <w:szCs w:val="20"/>
          <w:color w:val="auto"/>
        </w:rPr>
      </w:pPr>
    </w:p>
    <w:p>
      <w:pPr>
        <w:ind w:left="560" w:right="719" w:firstLine="337"/>
        <w:spacing w:after="0" w:line="254" w:lineRule="auto"/>
        <w:rPr>
          <w:sz w:val="20"/>
          <w:szCs w:val="20"/>
          <w:color w:val="auto"/>
        </w:rPr>
      </w:pPr>
      <w:r>
        <w:rPr>
          <w:rFonts w:ascii="Times New Roman" w:cs="Times New Roman" w:eastAsia="Times New Roman" w:hAnsi="Times New Roman"/>
          <w:sz w:val="17"/>
          <w:szCs w:val="17"/>
          <w:color w:val="auto"/>
        </w:rPr>
        <w:t>In connection with the sales of shares of Common Stock on our behalf, Leerink Partners will be deemed to be an “underwriter” within the meaning of the Securities Act, and the compensation paid to Leerink Partners will be deemed to be underwriting commissions or discounts. We have agreed in the Sales Agreement to provide indemnification and contribution to Leerink Partners against certain liabilities, including liabilities under the Securities Act. As sales agent, Leerink Partners will not engage in any transactions that stabilize our Common Stock.</w:t>
      </w:r>
    </w:p>
    <w:p>
      <w:pPr>
        <w:spacing w:after="0" w:line="12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The Common Stock is listed on Nasdaq under the symbol “RNAC.”</w:t>
      </w:r>
    </w:p>
    <w:p>
      <w:pPr>
        <w:spacing w:after="0" w:line="108" w:lineRule="exact"/>
        <w:rPr>
          <w:sz w:val="20"/>
          <w:szCs w:val="20"/>
          <w:color w:val="auto"/>
        </w:rPr>
      </w:pPr>
    </w:p>
    <w:p>
      <w:pPr>
        <w:jc w:val="both"/>
        <w:ind w:left="560" w:right="619" w:firstLine="337"/>
        <w:spacing w:after="0" w:line="262" w:lineRule="auto"/>
        <w:rPr>
          <w:sz w:val="20"/>
          <w:szCs w:val="20"/>
          <w:color w:val="auto"/>
        </w:rPr>
      </w:pPr>
      <w:r>
        <w:rPr>
          <w:rFonts w:ascii="Times New Roman" w:cs="Times New Roman" w:eastAsia="Times New Roman" w:hAnsi="Times New Roman"/>
          <w:sz w:val="17"/>
          <w:szCs w:val="17"/>
          <w:color w:val="auto"/>
        </w:rPr>
        <w:t>Leerink Partners and/or its affiliates have provided, and may in the future provide, various investment banking, commercial banking, financial advisory and other financial services for us and our affiliates, for which services they have received, and may in the future receive, customary fees.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8" w:name="page59"/>
    <w:bookmarkEnd w:id="58"/>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12" w:lineRule="exact"/>
        <w:rPr>
          <w:sz w:val="20"/>
          <w:szCs w:val="20"/>
          <w:color w:val="auto"/>
        </w:rPr>
      </w:pPr>
    </w:p>
    <w:p>
      <w:pPr>
        <w:ind w:left="560" w:right="739" w:firstLine="337"/>
        <w:spacing w:after="0" w:line="262" w:lineRule="auto"/>
        <w:rPr>
          <w:sz w:val="20"/>
          <w:szCs w:val="20"/>
          <w:color w:val="auto"/>
        </w:rPr>
      </w:pPr>
      <w:r>
        <w:rPr>
          <w:rFonts w:ascii="Times New Roman" w:cs="Times New Roman" w:eastAsia="Times New Roman" w:hAnsi="Times New Roman"/>
          <w:sz w:val="17"/>
          <w:szCs w:val="17"/>
          <w:color w:val="auto"/>
        </w:rPr>
        <w:t>Covington &amp; Burling LLP, New York, New York, will pass upon certain legal matters relating to the issuance and sale of the securities offered hereby on behalf of Cartesian Therapeutics, Inc. Leerink Partners LLC is being represented in connection with this offering by Cooley LLP, New York, New York.</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59" w:name="page60"/>
    <w:bookmarkEnd w:id="59"/>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12" w:lineRule="exact"/>
        <w:rPr>
          <w:sz w:val="20"/>
          <w:szCs w:val="20"/>
          <w:color w:val="auto"/>
        </w:rPr>
      </w:pPr>
    </w:p>
    <w:p>
      <w:pPr>
        <w:ind w:left="560" w:right="659" w:firstLine="337"/>
        <w:spacing w:after="0" w:line="255" w:lineRule="auto"/>
        <w:rPr>
          <w:sz w:val="20"/>
          <w:szCs w:val="20"/>
          <w:color w:val="auto"/>
        </w:rPr>
      </w:pPr>
      <w:r>
        <w:rPr>
          <w:rFonts w:ascii="Times New Roman" w:cs="Times New Roman" w:eastAsia="Times New Roman" w:hAnsi="Times New Roman"/>
          <w:sz w:val="17"/>
          <w:szCs w:val="17"/>
          <w:color w:val="auto"/>
        </w:rPr>
        <w:t>The consolidated financial statements of Cartesian Therapeutics, Inc. at December 31, 2023 and 2022, and for each of the three years in the period ended December 31, 2023, incorporated by reference in this Prospectus and Registration Statement have been audited by Ernst &amp; Young LLP, independent registered public accounting firm, as set forth in their report thereon appearing elsewhere herein, and are incorporated by reference in reliance upon such report given on the authority of such firm as experts in accounting and auditing.</w:t>
      </w:r>
    </w:p>
    <w:p>
      <w:pPr>
        <w:spacing w:after="0" w:line="76" w:lineRule="exact"/>
        <w:rPr>
          <w:sz w:val="20"/>
          <w:szCs w:val="20"/>
          <w:color w:val="auto"/>
        </w:rPr>
      </w:pPr>
    </w:p>
    <w:p>
      <w:pPr>
        <w:ind w:left="560" w:right="599" w:firstLine="337"/>
        <w:spacing w:after="0" w:line="255" w:lineRule="auto"/>
        <w:rPr>
          <w:sz w:val="20"/>
          <w:szCs w:val="20"/>
          <w:color w:val="auto"/>
        </w:rPr>
      </w:pPr>
      <w:r>
        <w:rPr>
          <w:rFonts w:ascii="Times New Roman" w:cs="Times New Roman" w:eastAsia="Times New Roman" w:hAnsi="Times New Roman"/>
          <w:sz w:val="17"/>
          <w:szCs w:val="17"/>
          <w:color w:val="auto"/>
        </w:rPr>
        <w:t>The financial statements of Cartesian Therapeutics, Inc. as of and for the years ended December 31, 2022 and 2021 appearing in the Current Report on Form 8-K/A filed on January 23, 2024 of Cartesian Therapeutics, Inc. (formerly known as Selecta Biosciences, Inc.) incorporated by reference in this Prospectus and in the Registration Statement have been so incorporated in reliance on the report of BDO USA, P.C., independent auditors, given on the authority of said firm as experts in auditing and accounting.</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0" w:name="page61"/>
    <w:bookmarkEnd w:id="60"/>
    <w:p>
      <w:pPr>
        <w:ind w:left="6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97155</wp:posOffset>
            </wp:positionV>
            <wp:extent cx="4889500"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4889500" cy="1587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161925</wp:posOffset>
            </wp:positionV>
            <wp:extent cx="4889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4889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4"/>
          <w:szCs w:val="24"/>
          <w:b w:val="1"/>
          <w:bCs w:val="1"/>
          <w:color w:val="auto"/>
        </w:rPr>
        <w:t>Up to $100,000,000</w:t>
      </w:r>
    </w:p>
    <w:p>
      <w:pPr>
        <w:spacing w:after="0" w:line="3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850900</wp:posOffset>
            </wp:positionV>
            <wp:extent cx="1029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161925</wp:posOffset>
            </wp:positionV>
            <wp:extent cx="1029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Leerink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 xml:space="preserve">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154305</wp:posOffset>
            </wp:positionV>
            <wp:extent cx="4889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4889500" cy="8255"/>
                    </a:xfrm>
                    <a:prstGeom prst="rect">
                      <a:avLst/>
                    </a:prstGeom>
                    <a:noFill/>
                  </pic:spPr>
                </pic:pic>
              </a:graphicData>
            </a:graphic>
          </wp:anchor>
        </w:drawing>
        <w:drawing>
          <wp:anchor simplePos="0" relativeHeight="251657728" behindDoc="1" locked="0" layoutInCell="0" allowOverlap="1">
            <wp:simplePos x="0" y="0"/>
            <wp:positionH relativeFrom="column">
              <wp:posOffset>415290</wp:posOffset>
            </wp:positionH>
            <wp:positionV relativeFrom="paragraph">
              <wp:posOffset>210820</wp:posOffset>
            </wp:positionV>
            <wp:extent cx="488950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4889500" cy="1587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330835</wp:posOffset>
            </wp:positionV>
            <wp:extent cx="6562090"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1" w:name="page62"/>
    <w:bookmarkEnd w:id="61"/>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190"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6"/>
          <w:szCs w:val="16"/>
          <w:b w:val="1"/>
          <w:bCs w:val="1"/>
          <w:i w:val="1"/>
          <w:iCs w:val="1"/>
          <w:color w:val="auto"/>
        </w:rPr>
        <w:t>Other Expenses of Issuance and Distribution</w:t>
      </w:r>
    </w:p>
    <w:p>
      <w:pPr>
        <w:spacing w:after="0" w:line="112" w:lineRule="exact"/>
        <w:rPr>
          <w:sz w:val="20"/>
          <w:szCs w:val="20"/>
          <w:color w:val="auto"/>
        </w:rPr>
      </w:pPr>
    </w:p>
    <w:p>
      <w:pPr>
        <w:ind w:left="560" w:right="719" w:firstLine="337"/>
        <w:spacing w:after="0" w:line="309" w:lineRule="auto"/>
        <w:rPr>
          <w:sz w:val="20"/>
          <w:szCs w:val="20"/>
          <w:color w:val="auto"/>
        </w:rPr>
      </w:pPr>
      <w:r>
        <w:rPr>
          <w:rFonts w:ascii="Times New Roman" w:cs="Times New Roman" w:eastAsia="Times New Roman" w:hAnsi="Times New Roman"/>
          <w:sz w:val="16"/>
          <w:szCs w:val="16"/>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31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61,240</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60,500</w:t>
            </w:r>
          </w:p>
        </w:tc>
      </w:tr>
      <w:tr>
        <w:trPr>
          <w:trHeight w:val="23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Printing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Blue Sky, qualification fees and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 fees and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Trustee and depositary fees and expenses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7"/>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agent fees and expenses</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30"/>
        </w:trPr>
        <w:tc>
          <w:tcPr>
            <w:tcW w:w="6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r>
      <w:tr>
        <w:trPr>
          <w:trHeight w:val="260"/>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136525</wp:posOffset>
            </wp:positionV>
            <wp:extent cx="772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72160" cy="8255"/>
                    </a:xfrm>
                    <a:prstGeom prst="rect">
                      <a:avLst/>
                    </a:prstGeom>
                    <a:noFill/>
                  </pic:spPr>
                </pic:pic>
              </a:graphicData>
            </a:graphic>
          </wp:anchor>
        </w:drawing>
      </w:r>
    </w:p>
    <w:p>
      <w:pPr>
        <w:spacing w:after="0" w:line="23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color w:val="auto"/>
        </w:rPr>
        <w:t>*  These fees are calculated based on the securities offered and the number of issuances and accordingly cannot be estimated at this time.</w:t>
      </w:r>
    </w:p>
    <w:p>
      <w:pPr>
        <w:spacing w:after="0" w:line="192"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Indemnification of Directors and Officers</w:t>
      </w:r>
    </w:p>
    <w:p>
      <w:pPr>
        <w:spacing w:after="0" w:line="112" w:lineRule="exact"/>
        <w:rPr>
          <w:sz w:val="20"/>
          <w:szCs w:val="20"/>
          <w:color w:val="auto"/>
        </w:rPr>
      </w:pPr>
    </w:p>
    <w:p>
      <w:pPr>
        <w:ind w:left="560" w:right="579" w:firstLine="337"/>
        <w:spacing w:after="0" w:line="251" w:lineRule="auto"/>
        <w:rPr>
          <w:sz w:val="20"/>
          <w:szCs w:val="20"/>
          <w:color w:val="auto"/>
        </w:rPr>
      </w:pPr>
      <w:r>
        <w:rPr>
          <w:rFonts w:ascii="Times New Roman" w:cs="Times New Roman" w:eastAsia="Times New Roman" w:hAnsi="Times New Roman"/>
          <w:sz w:val="17"/>
          <w:szCs w:val="17"/>
          <w:color w:val="auto"/>
        </w:rPr>
        <w:t>Subsection (a) of Section 145 of the General Corporation Law of the State of Delaware, or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81" w:lineRule="exact"/>
        <w:rPr>
          <w:sz w:val="20"/>
          <w:szCs w:val="20"/>
          <w:color w:val="auto"/>
        </w:rPr>
      </w:pPr>
    </w:p>
    <w:p>
      <w:pPr>
        <w:ind w:left="560" w:right="639" w:firstLine="337"/>
        <w:spacing w:after="0" w:line="251" w:lineRule="auto"/>
        <w:rPr>
          <w:sz w:val="20"/>
          <w:szCs w:val="20"/>
          <w:color w:val="auto"/>
        </w:rPr>
      </w:pPr>
      <w:r>
        <w:rPr>
          <w:rFonts w:ascii="Times New Roman" w:cs="Times New Roman" w:eastAsia="Times New Roman" w:hAnsi="Times New Roman"/>
          <w:sz w:val="17"/>
          <w:szCs w:val="17"/>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81" w:lineRule="exact"/>
        <w:rPr>
          <w:sz w:val="20"/>
          <w:szCs w:val="20"/>
          <w:color w:val="auto"/>
        </w:rPr>
      </w:pPr>
    </w:p>
    <w:p>
      <w:pPr>
        <w:ind w:left="560" w:right="739" w:firstLine="337"/>
        <w:spacing w:after="0" w:line="252" w:lineRule="auto"/>
        <w:rPr>
          <w:sz w:val="20"/>
          <w:szCs w:val="20"/>
          <w:color w:val="auto"/>
        </w:rPr>
      </w:pPr>
      <w:r>
        <w:rPr>
          <w:rFonts w:ascii="Times New Roman" w:cs="Times New Roman" w:eastAsia="Times New Roman" w:hAnsi="Times New Roman"/>
          <w:sz w:val="17"/>
          <w:szCs w:val="17"/>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2" w:name="page63"/>
    <w:bookmarkEnd w:id="62"/>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ind w:left="560" w:right="619"/>
        <w:spacing w:after="0" w:line="254" w:lineRule="auto"/>
        <w:rPr>
          <w:sz w:val="20"/>
          <w:szCs w:val="20"/>
          <w:color w:val="auto"/>
        </w:rPr>
      </w:pPr>
      <w:r>
        <w:rPr>
          <w:rFonts w:ascii="Times New Roman" w:cs="Times New Roman" w:eastAsia="Times New Roman" w:hAnsi="Times New Roman"/>
          <w:sz w:val="17"/>
          <w:szCs w:val="17"/>
          <w:color w:val="auto"/>
        </w:rPr>
        <w:t>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76" w:lineRule="exact"/>
        <w:rPr>
          <w:sz w:val="20"/>
          <w:szCs w:val="20"/>
          <w:color w:val="auto"/>
        </w:rPr>
      </w:pPr>
    </w:p>
    <w:p>
      <w:pPr>
        <w:ind w:left="560" w:right="579" w:firstLine="337"/>
        <w:spacing w:after="0" w:line="253" w:lineRule="auto"/>
        <w:rPr>
          <w:sz w:val="20"/>
          <w:szCs w:val="20"/>
          <w:color w:val="auto"/>
        </w:rPr>
      </w:pPr>
      <w:r>
        <w:rPr>
          <w:rFonts w:ascii="Times New Roman" w:cs="Times New Roman" w:eastAsia="Times New Roman" w:hAnsi="Times New Roman"/>
          <w:sz w:val="17"/>
          <w:szCs w:val="17"/>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77" w:lineRule="exact"/>
        <w:rPr>
          <w:sz w:val="20"/>
          <w:szCs w:val="20"/>
          <w:color w:val="auto"/>
        </w:rPr>
      </w:pPr>
    </w:p>
    <w:p>
      <w:pPr>
        <w:ind w:left="560" w:right="579" w:firstLine="337"/>
        <w:spacing w:after="0" w:line="258" w:lineRule="auto"/>
        <w:rPr>
          <w:sz w:val="20"/>
          <w:szCs w:val="20"/>
          <w:color w:val="auto"/>
        </w:rPr>
      </w:pPr>
      <w:r>
        <w:rPr>
          <w:rFonts w:ascii="Times New Roman" w:cs="Times New Roman" w:eastAsia="Times New Roman" w:hAnsi="Times New Roman"/>
          <w:sz w:val="17"/>
          <w:szCs w:val="17"/>
          <w:color w:val="auto"/>
        </w:rPr>
        <w:t>Any underwriting agreement or distribution agreement that the registrant enters into with any underwriters or agents involved in the offering or sale of any securities registered hereby may require such underwriters or dealers to indemnify the Company, some or all of its directors and officers and its controlling persons, if any, for specified liabilities, which may include liabilities under the Securities Act of 1933, as amended, or the Securities Act.</w:t>
      </w:r>
    </w:p>
    <w:p>
      <w:pPr>
        <w:spacing w:after="0" w:line="71" w:lineRule="exact"/>
        <w:rPr>
          <w:sz w:val="20"/>
          <w:szCs w:val="20"/>
          <w:color w:val="auto"/>
        </w:rPr>
      </w:pPr>
    </w:p>
    <w:p>
      <w:pPr>
        <w:ind w:left="560" w:right="579" w:firstLine="337"/>
        <w:spacing w:after="0" w:line="252" w:lineRule="auto"/>
        <w:rPr>
          <w:sz w:val="20"/>
          <w:szCs w:val="20"/>
          <w:color w:val="auto"/>
        </w:rPr>
      </w:pPr>
      <w:r>
        <w:rPr>
          <w:rFonts w:ascii="Times New Roman" w:cs="Times New Roman" w:eastAsia="Times New Roman" w:hAnsi="Times New Roman"/>
          <w:sz w:val="17"/>
          <w:szCs w:val="17"/>
          <w:color w:val="auto"/>
        </w:rPr>
        <w:t>The Company’s restated certificate of incorporation, as amended, or the Charter, provides that to the fullest extent permitted by the DGCL, none of the Company’s directors shall be liable to the Company or its stockholders for monetary damages arising from a breach of fiduciary duty owed to the Company or its stockholders. In addition, the Company’s amended and restated by-laws, or the Bylaws, provide that the Company must indemnify its directors and officers to the fullest extent authorized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this section or otherwise.</w:t>
      </w:r>
    </w:p>
    <w:p>
      <w:pPr>
        <w:spacing w:after="0" w:line="80" w:lineRule="exact"/>
        <w:rPr>
          <w:sz w:val="20"/>
          <w:szCs w:val="20"/>
          <w:color w:val="auto"/>
        </w:rPr>
      </w:pPr>
    </w:p>
    <w:p>
      <w:pPr>
        <w:ind w:left="560" w:right="639" w:firstLine="337"/>
        <w:spacing w:after="0" w:line="258"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the Company or its subsidiaries.</w:t>
      </w:r>
    </w:p>
    <w:p>
      <w:pPr>
        <w:spacing w:after="0" w:line="71" w:lineRule="exact"/>
        <w:rPr>
          <w:sz w:val="20"/>
          <w:szCs w:val="20"/>
          <w:color w:val="auto"/>
        </w:rPr>
      </w:pPr>
    </w:p>
    <w:p>
      <w:pPr>
        <w:ind w:left="560" w:right="1059" w:firstLine="337"/>
        <w:spacing w:after="0" w:line="262" w:lineRule="auto"/>
        <w:rPr>
          <w:sz w:val="20"/>
          <w:szCs w:val="20"/>
          <w:color w:val="auto"/>
        </w:rPr>
      </w:pPr>
      <w:r>
        <w:rPr>
          <w:rFonts w:ascii="Times New Roman" w:cs="Times New Roman" w:eastAsia="Times New Roman" w:hAnsi="Times New Roman"/>
          <w:sz w:val="17"/>
          <w:szCs w:val="17"/>
          <w:color w:val="auto"/>
        </w:rPr>
        <w:t>The indemnification rights set forth above shall not be exclusive of any other right which an indemnified person may have or hereafter acquire under any statute, the Company’s Charter, the Company’s Bylaws, any agreement, any vote of stockholders or disinterested directors or otherwise.</w:t>
      </w:r>
    </w:p>
    <w:p>
      <w:pPr>
        <w:spacing w:after="0" w:line="69" w:lineRule="exact"/>
        <w:rPr>
          <w:sz w:val="20"/>
          <w:szCs w:val="20"/>
          <w:color w:val="auto"/>
        </w:rPr>
      </w:pPr>
    </w:p>
    <w:p>
      <w:pPr>
        <w:ind w:left="560" w:right="719" w:firstLine="337"/>
        <w:spacing w:after="0" w:line="262" w:lineRule="auto"/>
        <w:rPr>
          <w:sz w:val="20"/>
          <w:szCs w:val="20"/>
          <w:color w:val="auto"/>
        </w:rPr>
      </w:pPr>
      <w:r>
        <w:rPr>
          <w:rFonts w:ascii="Times New Roman" w:cs="Times New Roman" w:eastAsia="Times New Roman" w:hAnsi="Times New Roman"/>
          <w:sz w:val="17"/>
          <w:szCs w:val="17"/>
          <w:color w:val="auto"/>
        </w:rPr>
        <w:t>The Company expects to maintain standard policies of insurance that provide coverage (1) to its directors and officers against loss rising from claims made by reason of breach of duty or other wrongful act and (2) to the Company with respect to indemnification payments that it may make to such directors and officers.</w:t>
      </w:r>
    </w:p>
    <w:p>
      <w:pPr>
        <w:spacing w:after="0" w:line="69" w:lineRule="exact"/>
        <w:rPr>
          <w:sz w:val="20"/>
          <w:szCs w:val="20"/>
          <w:color w:val="auto"/>
        </w:rPr>
      </w:pPr>
    </w:p>
    <w:p>
      <w:pPr>
        <w:ind w:left="560" w:right="579" w:firstLine="337"/>
        <w:spacing w:after="0" w:line="262" w:lineRule="auto"/>
        <w:rPr>
          <w:sz w:val="20"/>
          <w:szCs w:val="20"/>
          <w:color w:val="auto"/>
        </w:rPr>
      </w:pPr>
      <w:r>
        <w:rPr>
          <w:rFonts w:ascii="Times New Roman" w:cs="Times New Roman" w:eastAsia="Times New Roman" w:hAnsi="Times New Roman"/>
          <w:sz w:val="17"/>
          <w:szCs w:val="17"/>
          <w:color w:val="auto"/>
        </w:rPr>
        <w:t>The Company has purchased and intends to maintain insurance on behalf of Cartesian Therapeutics, Inc. and any person who is or was a director or officer against any loss arising from any claim asserted against him or her and incurred by him or her in that capacity, subject to certain exclusions and limits of the amount of coverage.</w:t>
      </w:r>
    </w:p>
    <w:p>
      <w:pPr>
        <w:spacing w:after="0" w:line="69" w:lineRule="exact"/>
        <w:rPr>
          <w:sz w:val="20"/>
          <w:szCs w:val="20"/>
          <w:color w:val="auto"/>
        </w:rPr>
      </w:pPr>
    </w:p>
    <w:p>
      <w:pPr>
        <w:ind w:left="560" w:right="599" w:firstLine="337"/>
        <w:spacing w:after="0" w:line="25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4" w:right="1440" w:bottom="1440" w:gutter="0" w:footer="0" w:header="0"/>
        </w:sectPr>
      </w:pPr>
    </w:p>
    <w:bookmarkStart w:id="63" w:name="page64"/>
    <w:bookmarkEnd w:id="63"/>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6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00" w:type="dxa"/>
            <w:vAlign w:val="bottom"/>
          </w:tcPr>
          <w:p>
            <w:pPr>
              <w:spacing w:after="0"/>
              <w:rPr>
                <w:sz w:val="12"/>
                <w:szCs w:val="12"/>
                <w:color w:val="auto"/>
              </w:rPr>
            </w:pPr>
          </w:p>
        </w:tc>
        <w:tc>
          <w:tcPr>
            <w:tcW w:w="7200" w:type="dxa"/>
            <w:vAlign w:val="bottom"/>
            <w:vMerge w:val="restart"/>
          </w:tcPr>
          <w:p>
            <w:pPr>
              <w:ind w:left="326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0" w:type="dxa"/>
            <w:vAlign w:val="bottom"/>
          </w:tcPr>
          <w:p>
            <w:pPr>
              <w:spacing w:after="0"/>
              <w:rPr>
                <w:sz w:val="1"/>
                <w:szCs w:val="1"/>
                <w:color w:val="auto"/>
              </w:rPr>
            </w:pPr>
          </w:p>
        </w:tc>
      </w:tr>
      <w:tr>
        <w:trPr>
          <w:trHeight w:val="178"/>
        </w:trPr>
        <w:tc>
          <w:tcPr>
            <w:tcW w:w="6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5"/>
                <w:szCs w:val="15"/>
                <w:color w:val="auto"/>
              </w:rPr>
            </w:pPr>
          </w:p>
        </w:tc>
        <w:tc>
          <w:tcPr>
            <w:tcW w:w="7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1.1*</w:t>
            </w: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Underwriting Agreement.</w:t>
            </w:r>
          </w:p>
        </w:tc>
        <w:tc>
          <w:tcPr>
            <w:tcW w:w="0" w:type="dxa"/>
            <w:vAlign w:val="bottom"/>
          </w:tcPr>
          <w:p>
            <w:pPr>
              <w:spacing w:after="0"/>
              <w:rPr>
                <w:sz w:val="1"/>
                <w:szCs w:val="1"/>
                <w:color w:val="auto"/>
              </w:rPr>
            </w:pPr>
          </w:p>
        </w:tc>
      </w:tr>
      <w:tr>
        <w:trPr>
          <w:trHeight w:val="177"/>
        </w:trPr>
        <w:tc>
          <w:tcPr>
            <w:tcW w:w="280" w:type="dxa"/>
            <w:vAlign w:val="bottom"/>
            <w:gridSpan w:val="2"/>
          </w:tcPr>
          <w:p>
            <w:pPr>
              <w:spacing w:after="0" w:line="177" w:lineRule="exact"/>
              <w:rPr>
                <w:sz w:val="20"/>
                <w:szCs w:val="20"/>
                <w:color w:val="auto"/>
              </w:rPr>
            </w:pPr>
            <w:r>
              <w:rPr>
                <w:rFonts w:ascii="Times New Roman" w:cs="Times New Roman" w:eastAsia="Times New Roman" w:hAnsi="Times New Roman"/>
                <w:sz w:val="17"/>
                <w:szCs w:val="17"/>
                <w:color w:val="0000EE"/>
              </w:rPr>
              <w:t>1.</w:t>
            </w:r>
            <w:r>
              <w:rPr>
                <w:rFonts w:ascii="Times New Roman" w:cs="Times New Roman" w:eastAsia="Times New Roman" w:hAnsi="Times New Roman"/>
                <w:sz w:val="17"/>
                <w:szCs w:val="17"/>
                <w:u w:val="single" w:color="auto"/>
                <w:color w:val="0000EE"/>
              </w:rPr>
              <w:t>2</w:t>
            </w:r>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Sales Agreement, dated December 13, 2024, by and between Cartesian Therapeutics, Inc. and Leerink</w:t>
            </w:r>
          </w:p>
        </w:tc>
        <w:tc>
          <w:tcPr>
            <w:tcW w:w="0" w:type="dxa"/>
            <w:vAlign w:val="bottom"/>
          </w:tcPr>
          <w:p>
            <w:pPr>
              <w:spacing w:after="0"/>
              <w:rPr>
                <w:sz w:val="1"/>
                <w:szCs w:val="1"/>
                <w:color w:val="auto"/>
              </w:rPr>
            </w:pPr>
          </w:p>
        </w:tc>
      </w:tr>
      <w:tr>
        <w:trPr>
          <w:trHeight w:val="227"/>
        </w:trPr>
        <w:tc>
          <w:tcPr>
            <w:tcW w:w="2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Partners LLC.</w:t>
            </w:r>
          </w:p>
        </w:tc>
        <w:tc>
          <w:tcPr>
            <w:tcW w:w="0" w:type="dxa"/>
            <w:vAlign w:val="bottom"/>
          </w:tcPr>
          <w:p>
            <w:pPr>
              <w:spacing w:after="0"/>
              <w:rPr>
                <w:sz w:val="1"/>
                <w:szCs w:val="1"/>
                <w:color w:val="auto"/>
              </w:rPr>
            </w:pPr>
          </w:p>
        </w:tc>
      </w:tr>
      <w:tr>
        <w:trPr>
          <w:trHeight w:val="184"/>
        </w:trPr>
        <w:tc>
          <w:tcPr>
            <w:tcW w:w="28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1</w:t>
              </w:r>
            </w:hyperlink>
          </w:p>
        </w:tc>
        <w:tc>
          <w:tcPr>
            <w:tcW w:w="3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Restated Certificate of Incorporation of Selecta Biosciences, Inc. (incorporated herein by reference to</w:t>
            </w:r>
          </w:p>
        </w:tc>
        <w:tc>
          <w:tcPr>
            <w:tcW w:w="0" w:type="dxa"/>
            <w:vAlign w:val="bottom"/>
          </w:tcPr>
          <w:p>
            <w:pPr>
              <w:spacing w:after="0"/>
              <w:rPr>
                <w:sz w:val="1"/>
                <w:szCs w:val="1"/>
                <w:color w:val="auto"/>
              </w:rPr>
            </w:pPr>
          </w:p>
        </w:tc>
      </w:tr>
      <w:tr>
        <w:trPr>
          <w:trHeight w:val="233"/>
        </w:trPr>
        <w:tc>
          <w:tcPr>
            <w:tcW w:w="2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73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9"/>
              </w:rPr>
              <w:t>Exhibit 3.1 of the Registrant’s Current Report on Form 8-K (File No. 001-37798) filed on June 29, 2016).</w:t>
            </w:r>
          </w:p>
        </w:tc>
        <w:tc>
          <w:tcPr>
            <w:tcW w:w="0" w:type="dxa"/>
            <w:vAlign w:val="bottom"/>
          </w:tcPr>
          <w:p>
            <w:pPr>
              <w:spacing w:after="0"/>
              <w:rPr>
                <w:sz w:val="1"/>
                <w:szCs w:val="1"/>
                <w:color w:val="auto"/>
              </w:rPr>
            </w:pPr>
          </w:p>
        </w:tc>
      </w:tr>
      <w:tr>
        <w:trPr>
          <w:trHeight w:val="177"/>
        </w:trPr>
        <w:tc>
          <w:tcPr>
            <w:tcW w:w="280" w:type="dxa"/>
            <w:vAlign w:val="bottom"/>
            <w:gridSpan w:val="2"/>
          </w:tcPr>
          <w:p>
            <w:pPr>
              <w:spacing w:after="0" w:line="177" w:lineRule="exact"/>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2</w:t>
              </w:r>
            </w:hyperlink>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Certificate of Amendment to the Restated Certificate of Incorporation of Selecta Biosciences, Inc., dated</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June 21, 2022 (incorporated herein by reference to Exhibit 3.1 of the Registrant’s Current Report on</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8-K (File No. 001-37798) filed on June 21, 2022).</w:t>
            </w:r>
          </w:p>
        </w:tc>
        <w:tc>
          <w:tcPr>
            <w:tcW w:w="0" w:type="dxa"/>
            <w:vAlign w:val="bottom"/>
          </w:tcPr>
          <w:p>
            <w:pPr>
              <w:spacing w:after="0"/>
              <w:rPr>
                <w:sz w:val="1"/>
                <w:szCs w:val="1"/>
                <w:color w:val="auto"/>
              </w:rPr>
            </w:pPr>
          </w:p>
        </w:tc>
      </w:tr>
      <w:tr>
        <w:trPr>
          <w:trHeight w:val="184"/>
        </w:trPr>
        <w:tc>
          <w:tcPr>
            <w:tcW w:w="28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3</w:t>
              </w:r>
            </w:hyperlink>
          </w:p>
        </w:tc>
        <w:tc>
          <w:tcPr>
            <w:tcW w:w="3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Certificate of Amendment to the Restated Certificate of Incorporation of Selecta Biosciences, Inc., dated</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9"/>
              </w:rPr>
              <w:t>November 13, 2023 (incorporated herein by reference to Exhibit 3.3 of the Registrant’s Current Report on</w:t>
            </w:r>
          </w:p>
        </w:tc>
        <w:tc>
          <w:tcPr>
            <w:tcW w:w="0" w:type="dxa"/>
            <w:vAlign w:val="bottom"/>
          </w:tcPr>
          <w:p>
            <w:pPr>
              <w:spacing w:after="0"/>
              <w:rPr>
                <w:sz w:val="1"/>
                <w:szCs w:val="1"/>
                <w:color w:val="auto"/>
              </w:rPr>
            </w:pPr>
          </w:p>
        </w:tc>
      </w:tr>
      <w:tr>
        <w:trPr>
          <w:trHeight w:val="232"/>
        </w:trPr>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8-K (File No. 001-37798) filed on November 13, 2023).</w:t>
            </w:r>
          </w:p>
        </w:tc>
        <w:tc>
          <w:tcPr>
            <w:tcW w:w="0" w:type="dxa"/>
            <w:vAlign w:val="bottom"/>
          </w:tcPr>
          <w:p>
            <w:pPr>
              <w:spacing w:after="0"/>
              <w:rPr>
                <w:sz w:val="1"/>
                <w:szCs w:val="1"/>
                <w:color w:val="auto"/>
              </w:rPr>
            </w:pPr>
          </w:p>
        </w:tc>
      </w:tr>
      <w:tr>
        <w:trPr>
          <w:trHeight w:val="177"/>
        </w:trPr>
        <w:tc>
          <w:tcPr>
            <w:tcW w:w="280" w:type="dxa"/>
            <w:vAlign w:val="bottom"/>
            <w:gridSpan w:val="2"/>
          </w:tcPr>
          <w:p>
            <w:pPr>
              <w:spacing w:after="0" w:line="177" w:lineRule="exact"/>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4</w:t>
              </w:r>
            </w:hyperlink>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Certificate of Amendment to the Restated Certificate of Incorporation, as amended, of Cartesian</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Therapeutics, Inc., dated March 28, 2024 (incorporated herein by reference to Exhibit 3.2 of the</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Registrant’s Current Report on Form 8-K (File No. 001-37798) filed on March 28, 2024).</w:t>
            </w:r>
          </w:p>
        </w:tc>
        <w:tc>
          <w:tcPr>
            <w:tcW w:w="0" w:type="dxa"/>
            <w:vAlign w:val="bottom"/>
          </w:tcPr>
          <w:p>
            <w:pPr>
              <w:spacing w:after="0"/>
              <w:rPr>
                <w:sz w:val="1"/>
                <w:szCs w:val="1"/>
                <w:color w:val="auto"/>
              </w:rPr>
            </w:pPr>
          </w:p>
        </w:tc>
      </w:tr>
      <w:tr>
        <w:trPr>
          <w:trHeight w:val="184"/>
        </w:trPr>
        <w:tc>
          <w:tcPr>
            <w:tcW w:w="28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5</w:t>
              </w:r>
            </w:hyperlink>
          </w:p>
        </w:tc>
        <w:tc>
          <w:tcPr>
            <w:tcW w:w="3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Amended and Restated By-laws of Cartesian Therapeutics, Inc. (incorporated herein by reference to</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Exhibit 3.2 of the Registrant’s Quarterly Report on Form 10-Q (File No. 001-37798) filed on</w:t>
            </w:r>
          </w:p>
        </w:tc>
        <w:tc>
          <w:tcPr>
            <w:tcW w:w="0" w:type="dxa"/>
            <w:vAlign w:val="bottom"/>
          </w:tcPr>
          <w:p>
            <w:pPr>
              <w:spacing w:after="0"/>
              <w:rPr>
                <w:sz w:val="1"/>
                <w:szCs w:val="1"/>
                <w:color w:val="auto"/>
              </w:rPr>
            </w:pPr>
          </w:p>
        </w:tc>
      </w:tr>
      <w:tr>
        <w:trPr>
          <w:trHeight w:val="232"/>
        </w:trPr>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November 13, 2023).</w:t>
            </w:r>
          </w:p>
        </w:tc>
        <w:tc>
          <w:tcPr>
            <w:tcW w:w="0" w:type="dxa"/>
            <w:vAlign w:val="bottom"/>
          </w:tcPr>
          <w:p>
            <w:pPr>
              <w:spacing w:after="0"/>
              <w:rPr>
                <w:sz w:val="1"/>
                <w:szCs w:val="1"/>
                <w:color w:val="auto"/>
              </w:rPr>
            </w:pPr>
          </w:p>
        </w:tc>
      </w:tr>
      <w:tr>
        <w:trPr>
          <w:trHeight w:val="177"/>
        </w:trPr>
        <w:tc>
          <w:tcPr>
            <w:tcW w:w="280" w:type="dxa"/>
            <w:vAlign w:val="bottom"/>
            <w:gridSpan w:val="2"/>
          </w:tcPr>
          <w:p>
            <w:pPr>
              <w:spacing w:after="0" w:line="177" w:lineRule="exact"/>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6</w:t>
              </w:r>
            </w:hyperlink>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Certificate of Designation of Preferences, Rights and Limitations of Series A Non-Voting Convertible</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Preferred Stock (incorporated herein by reference to Exhibit 3.4 of the Registrant’s Current Report on</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8-K (File No. 001-37798) filed on November 13, 2023).</w:t>
            </w:r>
          </w:p>
        </w:tc>
        <w:tc>
          <w:tcPr>
            <w:tcW w:w="0" w:type="dxa"/>
            <w:vAlign w:val="bottom"/>
          </w:tcPr>
          <w:p>
            <w:pPr>
              <w:spacing w:after="0"/>
              <w:rPr>
                <w:sz w:val="1"/>
                <w:szCs w:val="1"/>
                <w:color w:val="auto"/>
              </w:rPr>
            </w:pPr>
          </w:p>
        </w:tc>
      </w:tr>
      <w:tr>
        <w:trPr>
          <w:trHeight w:val="184"/>
        </w:trPr>
        <w:tc>
          <w:tcPr>
            <w:tcW w:w="28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122">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7</w:t>
              </w:r>
            </w:hyperlink>
          </w:p>
        </w:tc>
        <w:tc>
          <w:tcPr>
            <w:tcW w:w="3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w w:val="99"/>
              </w:rPr>
              <w:t>Certificate of Amendment to the Certificate of Designation of Series A Non-Voting Convertible Preferred</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 dated March 26, 2024 (incorporated herein by reference to Exhibit 3.1 of the Registrant’s Current</w:t>
            </w:r>
          </w:p>
        </w:tc>
        <w:tc>
          <w:tcPr>
            <w:tcW w:w="0" w:type="dxa"/>
            <w:vAlign w:val="bottom"/>
          </w:tcPr>
          <w:p>
            <w:pPr>
              <w:spacing w:after="0"/>
              <w:rPr>
                <w:sz w:val="1"/>
                <w:szCs w:val="1"/>
                <w:color w:val="auto"/>
              </w:rPr>
            </w:pPr>
          </w:p>
        </w:tc>
      </w:tr>
      <w:tr>
        <w:trPr>
          <w:trHeight w:val="232"/>
        </w:trPr>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Report on Form 8-K (File No. 001-37798) filed on March 28, 2024).</w:t>
            </w:r>
          </w:p>
        </w:tc>
        <w:tc>
          <w:tcPr>
            <w:tcW w:w="0" w:type="dxa"/>
            <w:vAlign w:val="bottom"/>
          </w:tcPr>
          <w:p>
            <w:pPr>
              <w:spacing w:after="0"/>
              <w:rPr>
                <w:sz w:val="1"/>
                <w:szCs w:val="1"/>
                <w:color w:val="auto"/>
              </w:rPr>
            </w:pPr>
          </w:p>
        </w:tc>
      </w:tr>
      <w:tr>
        <w:trPr>
          <w:trHeight w:val="177"/>
        </w:trPr>
        <w:tc>
          <w:tcPr>
            <w:tcW w:w="280" w:type="dxa"/>
            <w:vAlign w:val="bottom"/>
            <w:gridSpan w:val="2"/>
          </w:tcPr>
          <w:p>
            <w:pPr>
              <w:spacing w:after="0" w:line="177" w:lineRule="exact"/>
              <w:rPr>
                <w:rFonts w:ascii="Times New Roman" w:cs="Times New Roman" w:eastAsia="Times New Roman" w:hAnsi="Times New Roman"/>
                <w:sz w:val="17"/>
                <w:szCs w:val="17"/>
                <w:color w:val="0000EE"/>
              </w:rPr>
            </w:pPr>
            <w:hyperlink r:id="rId123">
              <w:r>
                <w:rPr>
                  <w:rFonts w:ascii="Times New Roman" w:cs="Times New Roman" w:eastAsia="Times New Roman" w:hAnsi="Times New Roman"/>
                  <w:sz w:val="17"/>
                  <w:szCs w:val="17"/>
                  <w:color w:val="0000EE"/>
                </w:rPr>
                <w:t>3.</w:t>
              </w:r>
              <w:r>
                <w:rPr>
                  <w:rFonts w:ascii="Times New Roman" w:cs="Times New Roman" w:eastAsia="Times New Roman" w:hAnsi="Times New Roman"/>
                  <w:sz w:val="17"/>
                  <w:szCs w:val="17"/>
                  <w:u w:val="single" w:color="auto"/>
                  <w:color w:val="0000EE"/>
                </w:rPr>
                <w:t>8</w:t>
              </w:r>
            </w:hyperlink>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Certificate of Designation of Preferences, Rights and Limitations of Series B Non-Voting Convertible</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Preferred Stock (incorporated herein by reference to Exhibit 3.1 of the Registrant’s Current Report on</w:t>
            </w:r>
          </w:p>
        </w:tc>
        <w:tc>
          <w:tcPr>
            <w:tcW w:w="0" w:type="dxa"/>
            <w:vAlign w:val="bottom"/>
          </w:tcPr>
          <w:p>
            <w:pPr>
              <w:spacing w:after="0"/>
              <w:rPr>
                <w:sz w:val="1"/>
                <w:szCs w:val="1"/>
                <w:color w:val="auto"/>
              </w:rPr>
            </w:pPr>
          </w:p>
        </w:tc>
      </w:tr>
      <w:tr>
        <w:trPr>
          <w:trHeight w:val="225"/>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8-K File No. 001-37798) filed on July 2, 2024).</w:t>
            </w:r>
          </w:p>
        </w:tc>
        <w:tc>
          <w:tcPr>
            <w:tcW w:w="0" w:type="dxa"/>
            <w:vAlign w:val="bottom"/>
          </w:tcPr>
          <w:p>
            <w:pPr>
              <w:spacing w:after="0"/>
              <w:rPr>
                <w:sz w:val="1"/>
                <w:szCs w:val="1"/>
                <w:color w:val="auto"/>
              </w:rPr>
            </w:pPr>
          </w:p>
        </w:tc>
      </w:tr>
      <w:tr>
        <w:trPr>
          <w:trHeight w:val="184"/>
        </w:trPr>
        <w:tc>
          <w:tcPr>
            <w:tcW w:w="280" w:type="dxa"/>
            <w:vAlign w:val="bottom"/>
            <w:gridSpan w:val="2"/>
            <w:shd w:val="clear" w:color="auto" w:fill="CCEEFF"/>
          </w:tcPr>
          <w:p>
            <w:pPr>
              <w:spacing w:after="0" w:line="184" w:lineRule="exact"/>
              <w:rPr>
                <w:rFonts w:ascii="Times New Roman" w:cs="Times New Roman" w:eastAsia="Times New Roman" w:hAnsi="Times New Roman"/>
                <w:sz w:val="17"/>
                <w:szCs w:val="17"/>
                <w:color w:val="0000EE"/>
              </w:rPr>
            </w:pPr>
            <w:hyperlink r:id="rId124">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1</w:t>
              </w:r>
            </w:hyperlink>
          </w:p>
        </w:tc>
        <w:tc>
          <w:tcPr>
            <w:tcW w:w="3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ind w:left="100"/>
              <w:spacing w:after="0" w:line="184" w:lineRule="exact"/>
              <w:rPr>
                <w:sz w:val="20"/>
                <w:szCs w:val="20"/>
                <w:color w:val="auto"/>
              </w:rPr>
            </w:pPr>
            <w:r>
              <w:rPr>
                <w:rFonts w:ascii="Times New Roman" w:cs="Times New Roman" w:eastAsia="Times New Roman" w:hAnsi="Times New Roman"/>
                <w:sz w:val="17"/>
                <w:szCs w:val="17"/>
                <w:color w:val="auto"/>
              </w:rPr>
              <w:t>Form of Specimen Certificate Representing Common Stock (incorporated herein by reference to</w:t>
            </w:r>
          </w:p>
        </w:tc>
        <w:tc>
          <w:tcPr>
            <w:tcW w:w="0" w:type="dxa"/>
            <w:vAlign w:val="bottom"/>
          </w:tcPr>
          <w:p>
            <w:pPr>
              <w:spacing w:after="0"/>
              <w:rPr>
                <w:sz w:val="1"/>
                <w:szCs w:val="1"/>
                <w:color w:val="auto"/>
              </w:rPr>
            </w:pPr>
          </w:p>
        </w:tc>
      </w:tr>
      <w:tr>
        <w:trPr>
          <w:trHeight w:val="204"/>
        </w:trPr>
        <w:tc>
          <w:tcPr>
            <w:tcW w:w="20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30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Exhibit 4.2 of the Registrant's Registration Statement on Form S-1 (File No. 333-211555) filed on</w:t>
            </w:r>
          </w:p>
        </w:tc>
        <w:tc>
          <w:tcPr>
            <w:tcW w:w="0" w:type="dxa"/>
            <w:vAlign w:val="bottom"/>
          </w:tcPr>
          <w:p>
            <w:pPr>
              <w:spacing w:after="0"/>
              <w:rPr>
                <w:sz w:val="1"/>
                <w:szCs w:val="1"/>
                <w:color w:val="auto"/>
              </w:rPr>
            </w:pPr>
          </w:p>
        </w:tc>
      </w:tr>
      <w:tr>
        <w:trPr>
          <w:trHeight w:val="232"/>
        </w:trPr>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May 24, 2016).</w:t>
            </w:r>
          </w:p>
        </w:tc>
        <w:tc>
          <w:tcPr>
            <w:tcW w:w="0" w:type="dxa"/>
            <w:vAlign w:val="bottom"/>
          </w:tcPr>
          <w:p>
            <w:pPr>
              <w:spacing w:after="0"/>
              <w:rPr>
                <w:sz w:val="1"/>
                <w:szCs w:val="1"/>
                <w:color w:val="auto"/>
              </w:rPr>
            </w:pPr>
          </w:p>
        </w:tc>
      </w:tr>
      <w:tr>
        <w:trPr>
          <w:trHeight w:val="177"/>
        </w:trPr>
        <w:tc>
          <w:tcPr>
            <w:tcW w:w="280" w:type="dxa"/>
            <w:vAlign w:val="bottom"/>
            <w:gridSpan w:val="2"/>
          </w:tcPr>
          <w:p>
            <w:pPr>
              <w:spacing w:after="0" w:line="177" w:lineRule="exact"/>
              <w:rPr>
                <w:sz w:val="20"/>
                <w:szCs w:val="20"/>
                <w:color w:val="auto"/>
              </w:rPr>
            </w:pPr>
            <w:r>
              <w:rPr>
                <w:rFonts w:ascii="Times New Roman" w:cs="Times New Roman" w:eastAsia="Times New Roman" w:hAnsi="Times New Roman"/>
                <w:sz w:val="17"/>
                <w:szCs w:val="17"/>
                <w:color w:val="0000EE"/>
              </w:rPr>
              <w:t>4.</w:t>
            </w:r>
            <w:r>
              <w:rPr>
                <w:rFonts w:ascii="Times New Roman" w:cs="Times New Roman" w:eastAsia="Times New Roman" w:hAnsi="Times New Roman"/>
                <w:sz w:val="17"/>
                <w:szCs w:val="17"/>
                <w:u w:val="single" w:color="auto"/>
                <w:color w:val="0000EE"/>
              </w:rPr>
              <w:t>2</w:t>
            </w:r>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Form of Indenture.</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4.3*</w:t>
            </w: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Note.</w:t>
            </w:r>
          </w:p>
        </w:tc>
        <w:tc>
          <w:tcPr>
            <w:tcW w:w="0" w:type="dxa"/>
            <w:vAlign w:val="bottom"/>
          </w:tcPr>
          <w:p>
            <w:pPr>
              <w:spacing w:after="0"/>
              <w:rPr>
                <w:sz w:val="1"/>
                <w:szCs w:val="1"/>
                <w:color w:val="auto"/>
              </w:rPr>
            </w:pPr>
          </w:p>
        </w:tc>
      </w:tr>
      <w:tr>
        <w:trPr>
          <w:trHeight w:val="223"/>
        </w:trPr>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4.4*</w:t>
            </w: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Warrant.</w:t>
            </w:r>
          </w:p>
        </w:tc>
        <w:tc>
          <w:tcPr>
            <w:tcW w:w="0" w:type="dxa"/>
            <w:vAlign w:val="bottom"/>
          </w:tcPr>
          <w:p>
            <w:pPr>
              <w:spacing w:after="0"/>
              <w:rPr>
                <w:sz w:val="1"/>
                <w:szCs w:val="1"/>
                <w:color w:val="auto"/>
              </w:rPr>
            </w:pPr>
          </w:p>
        </w:tc>
      </w:tr>
      <w:tr>
        <w:trPr>
          <w:trHeight w:val="233"/>
        </w:trPr>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4.5*</w:t>
            </w:r>
          </w:p>
        </w:tc>
        <w:tc>
          <w:tcPr>
            <w:tcW w:w="7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Form of Warrant Agreement.</w:t>
            </w:r>
          </w:p>
        </w:tc>
        <w:tc>
          <w:tcPr>
            <w:tcW w:w="0" w:type="dxa"/>
            <w:vAlign w:val="bottom"/>
          </w:tcPr>
          <w:p>
            <w:pPr>
              <w:spacing w:after="0"/>
              <w:rPr>
                <w:sz w:val="1"/>
                <w:szCs w:val="1"/>
                <w:color w:val="auto"/>
              </w:rPr>
            </w:pPr>
          </w:p>
        </w:tc>
      </w:tr>
      <w:tr>
        <w:trPr>
          <w:trHeight w:val="223"/>
        </w:trPr>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4.6*</w:t>
            </w: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Unit Agreement.</w:t>
            </w:r>
          </w:p>
        </w:tc>
        <w:tc>
          <w:tcPr>
            <w:tcW w:w="0" w:type="dxa"/>
            <w:vAlign w:val="bottom"/>
          </w:tcPr>
          <w:p>
            <w:pPr>
              <w:spacing w:after="0"/>
              <w:rPr>
                <w:sz w:val="1"/>
                <w:szCs w:val="1"/>
                <w:color w:val="auto"/>
              </w:rPr>
            </w:pPr>
          </w:p>
        </w:tc>
      </w:tr>
      <w:tr>
        <w:trPr>
          <w:trHeight w:val="182"/>
        </w:trPr>
        <w:tc>
          <w:tcPr>
            <w:tcW w:w="28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1</w:t>
            </w:r>
          </w:p>
        </w:tc>
        <w:tc>
          <w:tcPr>
            <w:tcW w:w="320" w:type="dxa"/>
            <w:vAlign w:val="bottom"/>
            <w:shd w:val="clear" w:color="auto" w:fill="CCEEFF"/>
          </w:tcPr>
          <w:p>
            <w:pPr>
              <w:spacing w:after="0"/>
              <w:rPr>
                <w:sz w:val="15"/>
                <w:szCs w:val="15"/>
                <w:color w:val="auto"/>
              </w:rPr>
            </w:pPr>
          </w:p>
        </w:tc>
        <w:tc>
          <w:tcPr>
            <w:tcW w:w="7300" w:type="dxa"/>
            <w:vAlign w:val="bottom"/>
            <w:gridSpan w:val="2"/>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Opinion of Covington &amp; Burling LLP.</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80" w:type="dxa"/>
            <w:vAlign w:val="bottom"/>
            <w:gridSpan w:val="2"/>
          </w:tcPr>
          <w:p>
            <w:pPr>
              <w:spacing w:after="0" w:line="177" w:lineRule="exact"/>
              <w:rPr>
                <w:sz w:val="20"/>
                <w:szCs w:val="20"/>
                <w:color w:val="auto"/>
              </w:rPr>
            </w:pPr>
            <w:r>
              <w:rPr>
                <w:rFonts w:ascii="Times New Roman" w:cs="Times New Roman" w:eastAsia="Times New Roman" w:hAnsi="Times New Roman"/>
                <w:sz w:val="17"/>
                <w:szCs w:val="17"/>
                <w:color w:val="0000EE"/>
              </w:rPr>
              <w:t>5.</w:t>
            </w:r>
            <w:r>
              <w:rPr>
                <w:rFonts w:ascii="Times New Roman" w:cs="Times New Roman" w:eastAsia="Times New Roman" w:hAnsi="Times New Roman"/>
                <w:sz w:val="17"/>
                <w:szCs w:val="17"/>
                <w:u w:val="single" w:color="auto"/>
                <w:color w:val="0000EE"/>
              </w:rPr>
              <w:t>2</w:t>
            </w:r>
          </w:p>
        </w:tc>
        <w:tc>
          <w:tcPr>
            <w:tcW w:w="320" w:type="dxa"/>
            <w:vAlign w:val="bottom"/>
          </w:tcPr>
          <w:p>
            <w:pPr>
              <w:spacing w:after="0"/>
              <w:rPr>
                <w:sz w:val="15"/>
                <w:szCs w:val="15"/>
                <w:color w:val="auto"/>
              </w:rPr>
            </w:pP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Opinion of Covington &amp; Burling LLP.</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1</w:t>
            </w:r>
          </w:p>
        </w:tc>
        <w:tc>
          <w:tcPr>
            <w:tcW w:w="7300" w:type="dxa"/>
            <w:vAlign w:val="bottom"/>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7"/>
                <w:szCs w:val="17"/>
                <w:color w:val="auto"/>
              </w:rPr>
              <w:t>Consent of Covington &amp; Burling LLP (included in Exhibit 5.1).</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2</w:t>
            </w: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Consent of Covington &amp; Burling LLP (included in Exhibit 5.2).</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3</w:t>
            </w:r>
          </w:p>
        </w:tc>
        <w:tc>
          <w:tcPr>
            <w:tcW w:w="7300" w:type="dxa"/>
            <w:vAlign w:val="bottom"/>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7"/>
                <w:szCs w:val="17"/>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0" w:type="dxa"/>
            <w:vAlign w:val="bottom"/>
            <w:gridSpan w:val="3"/>
          </w:tcPr>
          <w:p>
            <w:pPr>
              <w:spacing w:after="0" w:line="177" w:lineRule="exact"/>
              <w:rPr>
                <w:sz w:val="20"/>
                <w:szCs w:val="20"/>
                <w:color w:val="auto"/>
              </w:rPr>
            </w:pPr>
            <w:r>
              <w:rPr>
                <w:rFonts w:ascii="Times New Roman" w:cs="Times New Roman" w:eastAsia="Times New Roman" w:hAnsi="Times New Roman"/>
                <w:sz w:val="17"/>
                <w:szCs w:val="17"/>
                <w:color w:val="0000EE"/>
              </w:rPr>
              <w:t>23.</w:t>
            </w:r>
            <w:r>
              <w:rPr>
                <w:rFonts w:ascii="Times New Roman" w:cs="Times New Roman" w:eastAsia="Times New Roman" w:hAnsi="Times New Roman"/>
                <w:sz w:val="17"/>
                <w:szCs w:val="17"/>
                <w:u w:val="single" w:color="auto"/>
                <w:color w:val="0000EE"/>
              </w:rPr>
              <w:t>4</w:t>
            </w:r>
          </w:p>
        </w:tc>
        <w:tc>
          <w:tcPr>
            <w:tcW w:w="7300" w:type="dxa"/>
            <w:vAlign w:val="bottom"/>
            <w:gridSpan w:val="2"/>
          </w:tcPr>
          <w:p>
            <w:pPr>
              <w:ind w:left="100"/>
              <w:spacing w:after="0" w:line="177" w:lineRule="exact"/>
              <w:rPr>
                <w:sz w:val="20"/>
                <w:szCs w:val="20"/>
                <w:color w:val="auto"/>
              </w:rPr>
            </w:pPr>
            <w:r>
              <w:rPr>
                <w:rFonts w:ascii="Times New Roman" w:cs="Times New Roman" w:eastAsia="Times New Roman" w:hAnsi="Times New Roman"/>
                <w:sz w:val="17"/>
                <w:szCs w:val="17"/>
                <w:color w:val="auto"/>
              </w:rPr>
              <w:t>Consent of BDO USA, P.C., independent registered public accounting firm.</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00" w:type="dxa"/>
            <w:vAlign w:val="bottom"/>
            <w:gridSpan w:val="3"/>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0000EE"/>
              </w:rPr>
              <w:t>24.</w:t>
            </w:r>
            <w:r>
              <w:rPr>
                <w:rFonts w:ascii="Times New Roman" w:cs="Times New Roman" w:eastAsia="Times New Roman" w:hAnsi="Times New Roman"/>
                <w:sz w:val="17"/>
                <w:szCs w:val="17"/>
                <w:u w:val="single" w:color="auto"/>
                <w:color w:val="0000EE"/>
              </w:rPr>
              <w:t>1</w:t>
            </w:r>
          </w:p>
        </w:tc>
        <w:tc>
          <w:tcPr>
            <w:tcW w:w="7300" w:type="dxa"/>
            <w:vAlign w:val="bottom"/>
            <w:gridSpan w:val="2"/>
            <w:shd w:val="clear" w:color="auto" w:fill="CCEEFF"/>
          </w:tcPr>
          <w:p>
            <w:pPr>
              <w:ind w:left="100"/>
              <w:spacing w:after="0" w:line="177" w:lineRule="exact"/>
              <w:rPr>
                <w:sz w:val="20"/>
                <w:szCs w:val="20"/>
                <w:color w:val="auto"/>
              </w:rPr>
            </w:pPr>
            <w:r>
              <w:rPr>
                <w:rFonts w:ascii="Times New Roman" w:cs="Times New Roman" w:eastAsia="Times New Roman" w:hAnsi="Times New Roman"/>
                <w:sz w:val="17"/>
                <w:szCs w:val="17"/>
                <w:color w:val="auto"/>
              </w:rPr>
              <w:t>Powers of Attorney (incorporated by reference to the signature page hereto).</w:t>
            </w:r>
          </w:p>
        </w:tc>
        <w:tc>
          <w:tcPr>
            <w:tcW w:w="0" w:type="dxa"/>
            <w:vAlign w:val="bottom"/>
          </w:tcPr>
          <w:p>
            <w:pPr>
              <w:spacing w:after="0"/>
              <w:rPr>
                <w:sz w:val="1"/>
                <w:szCs w:val="1"/>
                <w:color w:val="auto"/>
              </w:rPr>
            </w:pPr>
          </w:p>
        </w:tc>
      </w:tr>
      <w:tr>
        <w:trPr>
          <w:trHeight w:val="31"/>
        </w:trPr>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25.1**</w:t>
            </w: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T-1 Statement of Eligibility and Qualification under the Trust Indenture Act of 1939 of Trustee for</w:t>
            </w: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3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Form of Indenture.</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260" w:hanging="707"/>
        <w:spacing w:after="0"/>
        <w:tabs>
          <w:tab w:leader="none" w:pos="1260" w:val="left"/>
        </w:tabs>
        <w:numPr>
          <w:ilvl w:val="0"/>
          <w:numId w:val="3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-121285</wp:posOffset>
            </wp:positionV>
            <wp:extent cx="5017770" cy="168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5017770" cy="168910"/>
                    </a:xfrm>
                    <a:prstGeom prst="rect">
                      <a:avLst/>
                    </a:prstGeom>
                    <a:noFill/>
                  </pic:spPr>
                </pic:pic>
              </a:graphicData>
            </a:graphic>
          </wp:anchor>
        </w:drawing>
        <w:drawing>
          <wp:anchor simplePos="0" relativeHeight="251657728" behindDoc="1" locked="0" layoutInCell="0" allowOverlap="1">
            <wp:simplePos x="0" y="0"/>
            <wp:positionH relativeFrom="column">
              <wp:posOffset>351155</wp:posOffset>
            </wp:positionH>
            <wp:positionV relativeFrom="paragraph">
              <wp:posOffset>191770</wp:posOffset>
            </wp:positionV>
            <wp:extent cx="772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72160" cy="8255"/>
                    </a:xfrm>
                    <a:prstGeom prst="rect">
                      <a:avLst/>
                    </a:prstGeom>
                    <a:noFill/>
                  </pic:spPr>
                </pic:pic>
              </a:graphicData>
            </a:graphic>
          </wp:anchor>
        </w:drawing>
      </w:r>
    </w:p>
    <w:p>
      <w:pPr>
        <w:spacing w:after="0" w:line="325" w:lineRule="exact"/>
        <w:rPr>
          <w:sz w:val="20"/>
          <w:szCs w:val="20"/>
          <w:color w:val="auto"/>
        </w:rPr>
      </w:pPr>
    </w:p>
    <w:p>
      <w:pPr>
        <w:ind w:left="880" w:hanging="327"/>
        <w:spacing w:after="0"/>
        <w:tabs>
          <w:tab w:leader="none" w:pos="8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by amendment or incorporated by reference in connection with the offering of the securities.</w:t>
      </w:r>
    </w:p>
    <w:p>
      <w:pPr>
        <w:spacing w:after="0" w:line="40" w:lineRule="exact"/>
        <w:rPr>
          <w:sz w:val="20"/>
          <w:szCs w:val="20"/>
          <w:color w:val="auto"/>
        </w:rPr>
      </w:pPr>
    </w:p>
    <w:p>
      <w:pPr>
        <w:ind w:left="880" w:hanging="327"/>
        <w:spacing w:after="0"/>
        <w:tabs>
          <w:tab w:leader="none" w:pos="8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filed in accordance with the requirements of Section 305(b)(2) of the Trust Indenture Act of 1939 and Rule 5b-3 thereunder.</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4" w:name="page65"/>
    <w:bookmarkEnd w:id="64"/>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112" w:lineRule="exact"/>
        <w:rPr>
          <w:sz w:val="20"/>
          <w:szCs w:val="20"/>
          <w:color w:val="auto"/>
        </w:rPr>
      </w:pPr>
    </w:p>
    <w:p>
      <w:pPr>
        <w:ind w:left="1220" w:hanging="330"/>
        <w:spacing w:after="0"/>
        <w:tabs>
          <w:tab w:leader="none" w:pos="1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108" w:lineRule="exact"/>
        <w:rPr>
          <w:rFonts w:ascii="Times New Roman" w:cs="Times New Roman" w:eastAsia="Times New Roman" w:hAnsi="Times New Roman"/>
          <w:sz w:val="17"/>
          <w:szCs w:val="17"/>
          <w:color w:val="auto"/>
        </w:rPr>
      </w:pPr>
    </w:p>
    <w:p>
      <w:pPr>
        <w:ind w:left="1560" w:right="639" w:hanging="332"/>
        <w:spacing w:after="0" w:line="276" w:lineRule="auto"/>
        <w:tabs>
          <w:tab w:leader="none" w:pos="156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56" w:lineRule="exact"/>
        <w:rPr>
          <w:rFonts w:ascii="Times New Roman" w:cs="Times New Roman" w:eastAsia="Times New Roman" w:hAnsi="Times New Roman"/>
          <w:sz w:val="17"/>
          <w:szCs w:val="17"/>
          <w:color w:val="auto"/>
        </w:rPr>
      </w:pPr>
    </w:p>
    <w:p>
      <w:pPr>
        <w:ind w:left="1900" w:hanging="334"/>
        <w:spacing w:after="0"/>
        <w:tabs>
          <w:tab w:leader="none" w:pos="1900"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w:t>
      </w:r>
    </w:p>
    <w:p>
      <w:pPr>
        <w:spacing w:after="0" w:line="108" w:lineRule="exact"/>
        <w:rPr>
          <w:rFonts w:ascii="Times New Roman" w:cs="Times New Roman" w:eastAsia="Times New Roman" w:hAnsi="Times New Roman"/>
          <w:sz w:val="17"/>
          <w:szCs w:val="17"/>
          <w:color w:val="auto"/>
        </w:rPr>
      </w:pPr>
    </w:p>
    <w:p>
      <w:pPr>
        <w:ind w:left="1900" w:right="559" w:hanging="334"/>
        <w:spacing w:after="0" w:line="269" w:lineRule="auto"/>
        <w:tabs>
          <w:tab w:leader="none" w:pos="1900" w:val="left"/>
        </w:tabs>
        <w:numPr>
          <w:ilvl w:val="2"/>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 and</w:t>
      </w:r>
    </w:p>
    <w:p>
      <w:pPr>
        <w:spacing w:after="0" w:line="65" w:lineRule="exact"/>
        <w:rPr>
          <w:rFonts w:ascii="Times New Roman" w:cs="Times New Roman" w:eastAsia="Times New Roman" w:hAnsi="Times New Roman"/>
          <w:sz w:val="16"/>
          <w:szCs w:val="16"/>
          <w:color w:val="auto"/>
        </w:rPr>
      </w:pPr>
    </w:p>
    <w:p>
      <w:pPr>
        <w:ind w:left="1900" w:right="1059" w:hanging="334"/>
        <w:spacing w:after="0" w:line="262" w:lineRule="auto"/>
        <w:tabs>
          <w:tab w:leader="none" w:pos="1900" w:val="left"/>
        </w:tabs>
        <w:numPr>
          <w:ilvl w:val="2"/>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65" w:lineRule="exact"/>
        <w:rPr>
          <w:sz w:val="20"/>
          <w:szCs w:val="20"/>
          <w:color w:val="auto"/>
        </w:rPr>
      </w:pPr>
    </w:p>
    <w:p>
      <w:pPr>
        <w:ind w:left="900" w:right="639"/>
        <w:spacing w:after="0" w:line="257"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(a)(1)(ii), and (a)(1)(iii) above do not apply if the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72" w:lineRule="exact"/>
        <w:rPr>
          <w:sz w:val="20"/>
          <w:szCs w:val="20"/>
          <w:color w:val="auto"/>
        </w:rPr>
      </w:pPr>
    </w:p>
    <w:p>
      <w:pPr>
        <w:ind w:left="1560" w:right="779" w:hanging="332"/>
        <w:spacing w:after="0" w:line="258" w:lineRule="auto"/>
        <w:tabs>
          <w:tab w:leader="none" w:pos="15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7"/>
          <w:szCs w:val="17"/>
          <w:color w:val="auto"/>
        </w:rPr>
      </w:pPr>
    </w:p>
    <w:p>
      <w:pPr>
        <w:ind w:left="1560" w:right="959" w:hanging="332"/>
        <w:spacing w:after="0" w:line="276" w:lineRule="auto"/>
        <w:tabs>
          <w:tab w:leader="none" w:pos="15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57" w:lineRule="exact"/>
        <w:rPr>
          <w:sz w:val="20"/>
          <w:szCs w:val="20"/>
          <w:color w:val="auto"/>
        </w:rPr>
      </w:pPr>
    </w:p>
    <w:p>
      <w:pPr>
        <w:ind w:left="1560" w:hanging="332"/>
        <w:spacing w:after="0"/>
        <w:tabs>
          <w:tab w:leader="none" w:pos="15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08" w:lineRule="exact"/>
        <w:rPr>
          <w:rFonts w:ascii="Times New Roman" w:cs="Times New Roman" w:eastAsia="Times New Roman" w:hAnsi="Times New Roman"/>
          <w:sz w:val="17"/>
          <w:szCs w:val="17"/>
          <w:color w:val="auto"/>
        </w:rPr>
      </w:pPr>
    </w:p>
    <w:p>
      <w:pPr>
        <w:jc w:val="both"/>
        <w:ind w:left="1900" w:right="679" w:hanging="334"/>
        <w:spacing w:after="0" w:line="262" w:lineRule="auto"/>
        <w:tabs>
          <w:tab w:leader="none" w:pos="19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8" w:lineRule="exact"/>
        <w:rPr>
          <w:rFonts w:ascii="Times New Roman" w:cs="Times New Roman" w:eastAsia="Times New Roman" w:hAnsi="Times New Roman"/>
          <w:sz w:val="17"/>
          <w:szCs w:val="17"/>
          <w:color w:val="auto"/>
        </w:rPr>
      </w:pPr>
    </w:p>
    <w:p>
      <w:pPr>
        <w:ind w:left="1900" w:right="599" w:hanging="334"/>
        <w:spacing w:after="0" w:line="250" w:lineRule="auto"/>
        <w:tabs>
          <w:tab w:leader="none" w:pos="19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5" w:name="page66"/>
    <w:bookmarkEnd w:id="65"/>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4" w:lineRule="exact"/>
        <w:rPr>
          <w:sz w:val="20"/>
          <w:szCs w:val="20"/>
          <w:color w:val="auto"/>
        </w:rPr>
      </w:pPr>
    </w:p>
    <w:p>
      <w:pPr>
        <w:jc w:val="both"/>
        <w:ind w:left="1900" w:right="579"/>
        <w:spacing w:after="0" w:line="262" w:lineRule="auto"/>
        <w:rPr>
          <w:sz w:val="20"/>
          <w:szCs w:val="20"/>
          <w:color w:val="auto"/>
        </w:rPr>
      </w:pPr>
      <w:r>
        <w:rPr>
          <w:rFonts w:ascii="Times New Roman" w:cs="Times New Roman" w:eastAsia="Times New Roman" w:hAnsi="Times New Roman"/>
          <w:sz w:val="17"/>
          <w:szCs w:val="17"/>
          <w:color w:val="auto"/>
        </w:rPr>
        <w:t>prior to such effective date, supersede or modify any statement that was made in the registration statement or prospectus that was part of the registration statement or made in any such document immediately prior to such effective date.</w:t>
      </w:r>
    </w:p>
    <w:p>
      <w:pPr>
        <w:spacing w:after="0" w:line="69" w:lineRule="exact"/>
        <w:rPr>
          <w:sz w:val="20"/>
          <w:szCs w:val="20"/>
          <w:color w:val="auto"/>
        </w:rPr>
      </w:pPr>
    </w:p>
    <w:p>
      <w:pPr>
        <w:ind w:left="1560" w:right="1199" w:hanging="332"/>
        <w:spacing w:after="0" w:line="276" w:lineRule="auto"/>
        <w:tabs>
          <w:tab w:leader="none" w:pos="15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w:t>
      </w:r>
    </w:p>
    <w:p>
      <w:pPr>
        <w:spacing w:after="0" w:line="56" w:lineRule="exact"/>
        <w:rPr>
          <w:rFonts w:ascii="Times New Roman" w:cs="Times New Roman" w:eastAsia="Times New Roman" w:hAnsi="Times New Roman"/>
          <w:sz w:val="17"/>
          <w:szCs w:val="17"/>
          <w:color w:val="auto"/>
        </w:rPr>
      </w:pPr>
    </w:p>
    <w:p>
      <w:pPr>
        <w:ind w:left="1560" w:right="61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7"/>
          <w:szCs w:val="17"/>
          <w:color w:val="auto"/>
        </w:rPr>
      </w:pPr>
    </w:p>
    <w:p>
      <w:pPr>
        <w:ind w:left="1900" w:right="759" w:hanging="334"/>
        <w:spacing w:after="0" w:line="276" w:lineRule="auto"/>
        <w:tabs>
          <w:tab w:leader="none" w:pos="1900"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56" w:lineRule="exact"/>
        <w:rPr>
          <w:rFonts w:ascii="Times New Roman" w:cs="Times New Roman" w:eastAsia="Times New Roman" w:hAnsi="Times New Roman"/>
          <w:sz w:val="17"/>
          <w:szCs w:val="17"/>
          <w:color w:val="auto"/>
        </w:rPr>
      </w:pPr>
    </w:p>
    <w:p>
      <w:pPr>
        <w:ind w:left="1900" w:right="679" w:hanging="334"/>
        <w:spacing w:after="0" w:line="276" w:lineRule="auto"/>
        <w:tabs>
          <w:tab w:leader="none" w:pos="1900"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56" w:lineRule="exact"/>
        <w:rPr>
          <w:rFonts w:ascii="Times New Roman" w:cs="Times New Roman" w:eastAsia="Times New Roman" w:hAnsi="Times New Roman"/>
          <w:sz w:val="17"/>
          <w:szCs w:val="17"/>
          <w:color w:val="auto"/>
        </w:rPr>
      </w:pPr>
    </w:p>
    <w:p>
      <w:pPr>
        <w:jc w:val="both"/>
        <w:ind w:left="1900" w:right="899" w:hanging="334"/>
        <w:spacing w:after="0" w:line="262" w:lineRule="auto"/>
        <w:tabs>
          <w:tab w:leader="none" w:pos="1900"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68" w:lineRule="exact"/>
        <w:rPr>
          <w:rFonts w:ascii="Times New Roman" w:cs="Times New Roman" w:eastAsia="Times New Roman" w:hAnsi="Times New Roman"/>
          <w:sz w:val="17"/>
          <w:szCs w:val="17"/>
          <w:color w:val="auto"/>
        </w:rPr>
      </w:pPr>
    </w:p>
    <w:p>
      <w:pPr>
        <w:ind w:left="1900" w:right="679" w:hanging="334"/>
        <w:spacing w:after="0" w:line="276" w:lineRule="auto"/>
        <w:tabs>
          <w:tab w:leader="none" w:pos="1900" w:val="left"/>
        </w:tabs>
        <w:numPr>
          <w:ilvl w:val="2"/>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communications that is an offer in the offering made by the undersigned registrant to the purchaser.</w:t>
      </w:r>
    </w:p>
    <w:p>
      <w:pPr>
        <w:spacing w:after="0" w:line="56" w:lineRule="exact"/>
        <w:rPr>
          <w:rFonts w:ascii="Times New Roman" w:cs="Times New Roman" w:eastAsia="Times New Roman" w:hAnsi="Times New Roman"/>
          <w:sz w:val="17"/>
          <w:szCs w:val="17"/>
          <w:color w:val="auto"/>
        </w:rPr>
      </w:pPr>
    </w:p>
    <w:p>
      <w:pPr>
        <w:ind w:left="1220" w:right="579" w:hanging="330"/>
        <w:spacing w:after="0" w:line="253" w:lineRule="auto"/>
        <w:tabs>
          <w:tab w:leader="none" w:pos="12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77" w:lineRule="exact"/>
        <w:rPr>
          <w:sz w:val="20"/>
          <w:szCs w:val="20"/>
          <w:color w:val="auto"/>
        </w:rPr>
      </w:pPr>
    </w:p>
    <w:p>
      <w:pPr>
        <w:ind w:left="1220" w:right="679" w:hanging="330"/>
        <w:spacing w:after="0" w:line="251" w:lineRule="auto"/>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1" w:lineRule="exact"/>
        <w:rPr>
          <w:sz w:val="20"/>
          <w:szCs w:val="20"/>
          <w:color w:val="auto"/>
        </w:rPr>
      </w:pPr>
    </w:p>
    <w:p>
      <w:pPr>
        <w:ind w:left="1220" w:right="739" w:hanging="330"/>
        <w:spacing w:after="0" w:line="286" w:lineRule="auto"/>
        <w:tabs>
          <w:tab w:leader="none" w:pos="12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to file an application for the purpose of determining the eligibility of the trustee to act under subsection (a) of Section 310 of the Trust Indenture Act, or the TIA, in accordance with the rules and regulations prescribed by the SEC under section 305(b)(2) of the TIA.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127635</wp:posOffset>
            </wp:positionV>
            <wp:extent cx="656209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6" w:name="page67"/>
    <w:bookmarkEnd w:id="66"/>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2" w:lineRule="exact"/>
        <w:rPr>
          <w:sz w:val="20"/>
          <w:szCs w:val="20"/>
          <w:color w:val="auto"/>
        </w:rPr>
      </w:pPr>
    </w:p>
    <w:p>
      <w:pPr>
        <w:ind w:left="560" w:right="639" w:firstLine="337"/>
        <w:spacing w:after="0" w:line="258" w:lineRule="auto"/>
        <w:rPr>
          <w:sz w:val="20"/>
          <w:szCs w:val="20"/>
          <w:color w:val="auto"/>
        </w:rPr>
      </w:pPr>
      <w:r>
        <w:rPr>
          <w:rFonts w:ascii="Times New Roman" w:cs="Times New Roman" w:eastAsia="Times New Roman" w:hAnsi="Times New Roman"/>
          <w:sz w:val="17"/>
          <w:szCs w:val="17"/>
          <w:color w:val="auto"/>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Frederick, Maryland, on December 13, 2024.</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b w:val="1"/>
          <w:bCs w:val="1"/>
          <w:color w:val="auto"/>
        </w:rPr>
        <w:t>CARTESIAN THERAPEUTICS, INC.</w:t>
      </w:r>
    </w:p>
    <w:p>
      <w:pPr>
        <w:spacing w:after="0" w:line="264" w:lineRule="exact"/>
        <w:rPr>
          <w:sz w:val="20"/>
          <w:szCs w:val="20"/>
          <w:color w:val="auto"/>
        </w:rPr>
      </w:pPr>
    </w:p>
    <w:p>
      <w:pPr>
        <w:ind w:left="3960"/>
        <w:spacing w:after="0"/>
        <w:tabs>
          <w:tab w:leader="none" w:pos="47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CARSTEN BRUNN,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2803525</wp:posOffset>
            </wp:positionH>
            <wp:positionV relativeFrom="paragraph">
              <wp:posOffset>31115</wp:posOffset>
            </wp:positionV>
            <wp:extent cx="1793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50"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7"/>
          <w:szCs w:val="17"/>
          <w:color w:val="auto"/>
        </w:rPr>
        <w:t>Carsten Brunn, Ph.D.</w:t>
      </w:r>
    </w:p>
    <w:p>
      <w:pPr>
        <w:spacing w:after="0" w:line="23" w:lineRule="exact"/>
        <w:rPr>
          <w:sz w:val="20"/>
          <w:szCs w:val="20"/>
          <w:color w:val="auto"/>
        </w:rPr>
      </w:pPr>
    </w:p>
    <w:p>
      <w:pPr>
        <w:jc w:val="center"/>
        <w:ind w:left="2640"/>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119380</wp:posOffset>
            </wp:positionV>
            <wp:extent cx="6562090"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6562090" cy="15875"/>
                    </a:xfrm>
                    <a:prstGeom prst="rect">
                      <a:avLst/>
                    </a:prstGeom>
                    <a:noFill/>
                  </pic:spPr>
                </pic:pic>
              </a:graphicData>
            </a:graphic>
          </wp:anchor>
        </w:drawing>
      </w:r>
    </w:p>
    <w:p>
      <w:pPr>
        <w:sectPr>
          <w:pgSz w:w="11900" w:h="16838" w:orient="portrait"/>
          <w:cols w:equalWidth="0" w:num="1">
            <w:col w:w="9019"/>
          </w:cols>
          <w:pgMar w:left="1440" w:top="255" w:right="1440" w:bottom="1440" w:gutter="0" w:footer="0" w:header="0"/>
        </w:sectPr>
      </w:pPr>
    </w:p>
    <w:bookmarkStart w:id="67" w:name="page68"/>
    <w:bookmarkEnd w:id="67"/>
    <w:p>
      <w:pPr>
        <w:ind w:left="560"/>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12" w:lineRule="exact"/>
        <w:rPr>
          <w:sz w:val="20"/>
          <w:szCs w:val="20"/>
          <w:color w:val="auto"/>
        </w:rPr>
      </w:pPr>
    </w:p>
    <w:p>
      <w:pPr>
        <w:ind w:left="560" w:right="559" w:firstLine="337"/>
        <w:spacing w:after="0" w:line="268" w:lineRule="auto"/>
        <w:rPr>
          <w:sz w:val="20"/>
          <w:szCs w:val="20"/>
          <w:color w:val="auto"/>
        </w:rPr>
      </w:pPr>
      <w:r>
        <w:rPr>
          <w:rFonts w:ascii="Times New Roman" w:cs="Times New Roman" w:eastAsia="Times New Roman" w:hAnsi="Times New Roman"/>
          <w:sz w:val="16"/>
          <w:szCs w:val="16"/>
          <w:color w:val="auto"/>
        </w:rPr>
        <w:t>Each of the undersigned officers and directors of the registrant hereby severally constitutes and appoints Carsten Brunn, Ph.D. and Blaine Davis, and each of them singly (with full power to each of them to act alone), as his or her true and lawful attorneys-in-fact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and to file the same, with all exhibits thereto and other documents in connection therewith, with the SEC,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67" w:lineRule="exact"/>
        <w:rPr>
          <w:sz w:val="20"/>
          <w:szCs w:val="20"/>
          <w:color w:val="auto"/>
        </w:rPr>
      </w:pPr>
    </w:p>
    <w:p>
      <w:pPr>
        <w:ind w:left="560" w:right="919" w:firstLine="337"/>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Act, this registration statement has been signed below by the following persons on behalf of the registrant in the capacities and on the dates indicated.</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3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tc>
        <w:tc>
          <w:tcPr>
            <w:tcW w:w="200" w:type="dxa"/>
            <w:vAlign w:val="bottom"/>
          </w:tcPr>
          <w:p>
            <w:pPr>
              <w:spacing w:after="0"/>
              <w:rPr>
                <w:sz w:val="15"/>
                <w:szCs w:val="15"/>
                <w:color w:val="auto"/>
              </w:rPr>
            </w:pPr>
          </w:p>
        </w:tc>
        <w:tc>
          <w:tcPr>
            <w:tcW w:w="3040" w:type="dxa"/>
            <w:vAlign w:val="bottom"/>
          </w:tcPr>
          <w:p>
            <w:pPr>
              <w:ind w:left="1300"/>
              <w:spacing w:after="0"/>
              <w:rPr>
                <w:sz w:val="20"/>
                <w:szCs w:val="20"/>
                <w:color w:val="auto"/>
              </w:rPr>
            </w:pPr>
            <w:r>
              <w:rPr>
                <w:rFonts w:ascii="Times New Roman" w:cs="Times New Roman" w:eastAsia="Times New Roman" w:hAnsi="Times New Roman"/>
                <w:sz w:val="13"/>
                <w:szCs w:val="13"/>
                <w:b w:val="1"/>
                <w:bCs w:val="1"/>
                <w:color w:val="auto"/>
              </w:rPr>
              <w:t>TITLE</w:t>
            </w:r>
          </w:p>
        </w:tc>
        <w:tc>
          <w:tcPr>
            <w:tcW w:w="200" w:type="dxa"/>
            <w:vAlign w:val="bottom"/>
          </w:tcPr>
          <w:p>
            <w:pPr>
              <w:spacing w:after="0"/>
              <w:rPr>
                <w:sz w:val="15"/>
                <w:szCs w:val="15"/>
                <w:color w:val="auto"/>
              </w:rPr>
            </w:pPr>
          </w:p>
        </w:tc>
        <w:tc>
          <w:tcPr>
            <w:tcW w:w="14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0" w:type="dxa"/>
            <w:vAlign w:val="bottom"/>
          </w:tcPr>
          <w:p>
            <w:pPr>
              <w:spacing w:after="0"/>
              <w:rPr>
                <w:sz w:val="1"/>
                <w:szCs w:val="1"/>
                <w:color w:val="auto"/>
              </w:rPr>
            </w:pPr>
          </w:p>
        </w:tc>
      </w:tr>
      <w:tr>
        <w:trPr>
          <w:trHeight w:val="23"/>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CARSTEN BRUNN, PH.D.</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President, Chief Executive Officer and</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42"/>
        </w:trPr>
        <w:tc>
          <w:tcPr>
            <w:tcW w:w="3040" w:type="dxa"/>
            <w:vAlign w:val="bottom"/>
            <w:tcBorders>
              <w:bottom w:val="single" w:sz="8" w:color="auto"/>
            </w:tcBorders>
          </w:tcPr>
          <w:p>
            <w:pPr>
              <w:spacing w:after="0"/>
              <w:rPr>
                <w:sz w:val="3"/>
                <w:szCs w:val="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Director (Principal Executive Officer)</w:t>
            </w: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Carsten Brunn, Ph.D.</w:t>
            </w:r>
          </w:p>
        </w:tc>
        <w:tc>
          <w:tcPr>
            <w:tcW w:w="3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 BLAINE DAVIS</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Financial Officer (Principal Financial</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42"/>
        </w:trPr>
        <w:tc>
          <w:tcPr>
            <w:tcW w:w="3040" w:type="dxa"/>
            <w:vAlign w:val="bottom"/>
            <w:tcBorders>
              <w:bottom w:val="single" w:sz="8" w:color="auto"/>
            </w:tcBorders>
          </w:tcPr>
          <w:p>
            <w:pPr>
              <w:spacing w:after="0"/>
              <w:rPr>
                <w:sz w:val="3"/>
                <w:szCs w:val="3"/>
                <w:color w:val="auto"/>
              </w:rPr>
            </w:pPr>
          </w:p>
        </w:tc>
        <w:tc>
          <w:tcPr>
            <w:tcW w:w="3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auto"/>
              </w:rPr>
              <w:t>Officer and Principal Accounting Officer)</w:t>
            </w:r>
          </w:p>
        </w:tc>
        <w:tc>
          <w:tcPr>
            <w:tcW w:w="2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30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Blaine Davis</w:t>
            </w:r>
          </w:p>
        </w:tc>
        <w:tc>
          <w:tcPr>
            <w:tcW w:w="32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3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 CARRIE S. COX</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Chairman of the Board</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Carrie S. Cox</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TIMOTHY C. BARABE</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Timothy C. Barabe</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 NISHAN DE SILVA, M.D.</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Nishan de Silva, M.D.</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/S/ MURAT KALAYOGLU, M.D., PH.D.</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Murat Kalayoglu, M.D., Ph.D.</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KEMAL MALIK, MBBS</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Kemal Malik, MBBS</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MICHAEL SINGER, M.D., PH.D.</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Michael Singer, M.D., Ph.D.</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/S/ TIMOTHY SPRINGER, PH.D.</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Timothy Springer, Ph.D.</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/S/ PATRICK ZENNER</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c>
          <w:tcPr>
            <w:tcW w:w="2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7"/>
                <w:szCs w:val="17"/>
                <w:color w:val="auto"/>
              </w:rPr>
              <w:t>December 13, 2024</w:t>
            </w:r>
          </w:p>
        </w:tc>
        <w:tc>
          <w:tcPr>
            <w:tcW w:w="0" w:type="dxa"/>
            <w:vAlign w:val="bottom"/>
          </w:tcPr>
          <w:p>
            <w:pPr>
              <w:spacing w:after="0"/>
              <w:rPr>
                <w:sz w:val="1"/>
                <w:szCs w:val="1"/>
                <w:color w:val="auto"/>
              </w:rPr>
            </w:pPr>
          </w:p>
        </w:tc>
      </w:tr>
      <w:tr>
        <w:trPr>
          <w:trHeight w:val="26"/>
        </w:trPr>
        <w:tc>
          <w:tcPr>
            <w:tcW w:w="3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Patrick Zenner</w:t>
            </w:r>
          </w:p>
        </w:tc>
        <w:tc>
          <w:tcPr>
            <w:tcW w:w="2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6"/>
        </w:trPr>
        <w:tc>
          <w:tcPr>
            <w:tcW w:w="3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II-7</w:t>
            </w: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5" w:right="1440"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1.2</w:t>
      </w: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CARTESIAN THERAPEUTICS,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Shares of Common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($0.0001 par value per share)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SALES AGREEMENT</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December 13,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LEERINK PARTNERS LLC</w:t>
      </w:r>
    </w:p>
    <w:p>
      <w:pPr>
        <w:spacing w:after="0" w:line="182" w:lineRule="auto"/>
        <w:rPr>
          <w:sz w:val="20"/>
          <w:szCs w:val="20"/>
          <w:color w:val="auto"/>
        </w:rPr>
      </w:pPr>
      <w:r>
        <w:rPr>
          <w:rFonts w:ascii="Times New Roman" w:cs="Times New Roman" w:eastAsia="Times New Roman" w:hAnsi="Times New Roman"/>
          <w:sz w:val="16"/>
          <w:szCs w:val="16"/>
          <w:color w:val="auto"/>
        </w:rPr>
        <w:t>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10019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7"/>
          <w:szCs w:val="17"/>
          <w:color w:val="auto"/>
        </w:rPr>
        <w:t>Cartesian Therapeutics,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confirms its agreement (this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with Leerink Partners LLC (the “</w:t>
      </w:r>
      <w:r>
        <w:rPr>
          <w:rFonts w:ascii="Times New Roman" w:cs="Times New Roman" w:eastAsia="Times New Roman" w:hAnsi="Times New Roman"/>
          <w:sz w:val="17"/>
          <w:szCs w:val="17"/>
          <w:b w:val="1"/>
          <w:bCs w:val="1"/>
          <w:u w:val="single" w:color="auto"/>
          <w:color w:val="auto"/>
        </w:rPr>
        <w:t>Agent</w:t>
      </w:r>
      <w:r>
        <w:rPr>
          <w:rFonts w:ascii="Times New Roman" w:cs="Times New Roman" w:eastAsia="Times New Roman" w:hAnsi="Times New Roman"/>
          <w:sz w:val="17"/>
          <w:szCs w:val="17"/>
          <w:color w:val="auto"/>
        </w:rPr>
        <w:t>”), as follows:</w:t>
      </w:r>
    </w:p>
    <w:p>
      <w:pPr>
        <w:spacing w:after="0" w:line="154" w:lineRule="exact"/>
        <w:rPr>
          <w:sz w:val="20"/>
          <w:szCs w:val="20"/>
          <w:color w:val="auto"/>
        </w:rPr>
      </w:pPr>
    </w:p>
    <w:p>
      <w:pPr>
        <w:ind w:right="60" w:firstLine="609"/>
        <w:spacing w:after="0" w:line="252" w:lineRule="auto"/>
        <w:tabs>
          <w:tab w:leader="none" w:pos="119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and Sale of Shares</w:t>
      </w:r>
      <w:r>
        <w:rPr>
          <w:rFonts w:ascii="Times New Roman" w:cs="Times New Roman" w:eastAsia="Times New Roman" w:hAnsi="Times New Roman"/>
          <w:sz w:val="17"/>
          <w:szCs w:val="17"/>
          <w:color w:val="auto"/>
        </w:rPr>
        <w:t>. The Company agrees that, from time to time during the term of this Agreement, on the terms and subject to the conditions set forth herein, it may issue and sell through the Agent shares of common stock, $0.0001 par value per share, of the Company (the “</w:t>
      </w:r>
      <w:r>
        <w:rPr>
          <w:rFonts w:ascii="Times New Roman" w:cs="Times New Roman" w:eastAsia="Times New Roman" w:hAnsi="Times New Roman"/>
          <w:sz w:val="17"/>
          <w:szCs w:val="17"/>
          <w:b w:val="1"/>
          <w:bCs w:val="1"/>
          <w:u w:val="single" w:color="auto"/>
          <w:color w:val="auto"/>
        </w:rPr>
        <w:t>Common Stock</w:t>
      </w:r>
      <w:r>
        <w:rPr>
          <w:rFonts w:ascii="Times New Roman" w:cs="Times New Roman" w:eastAsia="Times New Roman" w:hAnsi="Times New Roman"/>
          <w:sz w:val="17"/>
          <w:szCs w:val="17"/>
          <w:color w:val="auto"/>
        </w:rPr>
        <w:t>”), subject to the limitations set forth in Section 5(c) (the “</w:t>
      </w:r>
      <w:r>
        <w:rPr>
          <w:rFonts w:ascii="Times New Roman" w:cs="Times New Roman" w:eastAsia="Times New Roman" w:hAnsi="Times New Roman"/>
          <w:sz w:val="17"/>
          <w:szCs w:val="17"/>
          <w:b w:val="1"/>
          <w:bCs w:val="1"/>
          <w:u w:val="single" w:color="auto"/>
          <w:color w:val="auto"/>
        </w:rPr>
        <w:t>Placement Shares</w:t>
      </w:r>
      <w:r>
        <w:rPr>
          <w:rFonts w:ascii="Times New Roman" w:cs="Times New Roman" w:eastAsia="Times New Roman" w:hAnsi="Times New Roman"/>
          <w:sz w:val="17"/>
          <w:szCs w:val="17"/>
          <w:color w:val="auto"/>
        </w:rPr>
        <w:t>”). Notwithstanding anything to the contrary contained herein, the parties hereto agree that compliance with the limitation set forth in this Section 1 on the aggregate gross sales price of Placement Shares that may be issued and sold under this Agreement from time to time shall be the sole responsibility of the Company, and that the Agent shall have no obligation in connection with such compliance. The issuance and sale of Placement Shares through the Agent will be effected pursuant to the Registration Statement (as defined below) to be filed by the Company with the Securities and Exchange Commission (the “</w:t>
      </w:r>
      <w:r>
        <w:rPr>
          <w:rFonts w:ascii="Times New Roman" w:cs="Times New Roman" w:eastAsia="Times New Roman" w:hAnsi="Times New Roman"/>
          <w:sz w:val="17"/>
          <w:szCs w:val="17"/>
          <w:b w:val="1"/>
          <w:bCs w:val="1"/>
          <w:u w:val="single" w:color="auto"/>
          <w:color w:val="auto"/>
        </w:rPr>
        <w:t>Commission</w:t>
      </w:r>
      <w:r>
        <w:rPr>
          <w:rFonts w:ascii="Times New Roman" w:cs="Times New Roman" w:eastAsia="Times New Roman" w:hAnsi="Times New Roman"/>
          <w:sz w:val="17"/>
          <w:szCs w:val="17"/>
          <w:color w:val="auto"/>
        </w:rPr>
        <w:t>”) on December 13, 2024 and to be declared effective by the Commission, although nothing in this Agreement shall be construed as requiring the Company to issue any Placement Shares.</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The Company has prepared and will file, in accordance with the provisions of the Securities Act of 1933, as amended, and the rules and regulations thereunder (collectively, the “</w:t>
      </w:r>
      <w:r>
        <w:rPr>
          <w:rFonts w:ascii="Times New Roman" w:cs="Times New Roman" w:eastAsia="Times New Roman" w:hAnsi="Times New Roman"/>
          <w:sz w:val="16"/>
          <w:szCs w:val="16"/>
          <w:b w:val="1"/>
          <w:bCs w:val="1"/>
          <w:u w:val="single" w:color="auto"/>
          <w:color w:val="auto"/>
        </w:rPr>
        <w:t>Securities Act</w:t>
      </w:r>
      <w:r>
        <w:rPr>
          <w:rFonts w:ascii="Times New Roman" w:cs="Times New Roman" w:eastAsia="Times New Roman" w:hAnsi="Times New Roman"/>
          <w:sz w:val="16"/>
          <w:szCs w:val="16"/>
          <w:color w:val="auto"/>
        </w:rPr>
        <w:t>”), with the Commission a registration statement on Form S-3, including (a) a base prospectus, relating to certain securities, including the Common Stock, to be issued from time to time by the Company, and (b) a prospectus specifically relating to the Placement Shares to be issued from time to time pursuant to this Agreement (the “</w:t>
      </w:r>
      <w:r>
        <w:rPr>
          <w:rFonts w:ascii="Times New Roman" w:cs="Times New Roman" w:eastAsia="Times New Roman" w:hAnsi="Times New Roman"/>
          <w:sz w:val="16"/>
          <w:szCs w:val="16"/>
          <w:b w:val="1"/>
          <w:bCs w:val="1"/>
          <w:u w:val="single" w:color="auto"/>
          <w:color w:val="auto"/>
        </w:rPr>
        <w:t>ATM Prospectus</w:t>
      </w:r>
      <w:r>
        <w:rPr>
          <w:rFonts w:ascii="Times New Roman" w:cs="Times New Roman" w:eastAsia="Times New Roman" w:hAnsi="Times New Roman"/>
          <w:sz w:val="16"/>
          <w:szCs w:val="16"/>
          <w:color w:val="auto"/>
        </w:rPr>
        <w:t>”), and which incorporates by reference documents that the Company has filed or will file in accordance with the provisions of the Securities Exchange Act of 1934, as amended, and the rules and regulations thereunder (collectively, the “</w:t>
      </w:r>
      <w:r>
        <w:rPr>
          <w:rFonts w:ascii="Times New Roman" w:cs="Times New Roman" w:eastAsia="Times New Roman" w:hAnsi="Times New Roman"/>
          <w:sz w:val="16"/>
          <w:szCs w:val="16"/>
          <w:b w:val="1"/>
          <w:bCs w:val="1"/>
          <w:u w:val="single" w:color="auto"/>
          <w:color w:val="auto"/>
        </w:rPr>
        <w:t>Exchange Act</w:t>
      </w:r>
      <w:r>
        <w:rPr>
          <w:rFonts w:ascii="Times New Roman" w:cs="Times New Roman" w:eastAsia="Times New Roman" w:hAnsi="Times New Roman"/>
          <w:sz w:val="16"/>
          <w:szCs w:val="16"/>
          <w:color w:val="auto"/>
        </w:rPr>
        <w:t>”). The Company will furnish to the Agent, for use by the Agent, copies of the ATM Prospectus included as part of such registration statement at the time it becomes effective. The Company may file one or more additional registration statements from time to time that may contain a prospectus relating to the Placement Shares and/or a base prospectus and related prospectus supplement relating to the Placement Shares, which in each case shall be a ATM Prospectus. Except where the context otherwise requires, such registration statement, including all documents filed as part thereof or incorporated by reference therein, and including any information contained in the General Disclosure Package (as defined below) subsequently filed with the Commission pursuant to Rule 424(b) under the Securities Act or deemed to be a part of such registration statement pursuant to Rule 430B or Rule 462(b) under the Securities Act, is herein called the “</w:t>
      </w:r>
      <w:r>
        <w:rPr>
          <w:rFonts w:ascii="Times New Roman" w:cs="Times New Roman" w:eastAsia="Times New Roman" w:hAnsi="Times New Roman"/>
          <w:sz w:val="16"/>
          <w:szCs w:val="16"/>
          <w:b w:val="1"/>
          <w:bCs w:val="1"/>
          <w:u w:val="single" w:color="auto"/>
          <w:color w:val="auto"/>
        </w:rPr>
        <w:t>Registration Statement</w:t>
      </w:r>
      <w:r>
        <w:rPr>
          <w:rFonts w:ascii="Times New Roman" w:cs="Times New Roman" w:eastAsia="Times New Roman" w:hAnsi="Times New Roman"/>
          <w:sz w:val="16"/>
          <w:szCs w:val="16"/>
          <w:color w:val="auto"/>
        </w:rPr>
        <w:t>.” The ATM Prospectus, including all documents incorporated therein by reference, included in the Registration Statement, in the form in which such ATM Prospectus has most recently been filed by the Company with the Commission pursuant to Rule 424(b) under the Securities Act, together with any “issuer free writing prospectus” (as used herein, as defined in Rule 433 under the Securities Act (“</w:t>
      </w:r>
      <w:r>
        <w:rPr>
          <w:rFonts w:ascii="Times New Roman" w:cs="Times New Roman" w:eastAsia="Times New Roman" w:hAnsi="Times New Roman"/>
          <w:sz w:val="16"/>
          <w:szCs w:val="16"/>
          <w:b w:val="1"/>
          <w:bCs w:val="1"/>
          <w:u w:val="single" w:color="auto"/>
          <w:color w:val="auto"/>
        </w:rPr>
        <w:t>Rule 433</w:t>
      </w:r>
      <w:r>
        <w:rPr>
          <w:rFonts w:ascii="Times New Roman" w:cs="Times New Roman" w:eastAsia="Times New Roman" w:hAnsi="Times New Roman"/>
          <w:sz w:val="16"/>
          <w:szCs w:val="16"/>
          <w:color w:val="auto"/>
        </w:rPr>
        <w:t>”)), relating to the Placement Shares that (i) is required to be filed with the Commission by the Company or (ii) is exempt from filing pursuant to Rule 433(d)(5)(i), in each case, in the form filed or required to be filed with the Commission or, if not required to be filed, in the form retained in the Company’s records pursuant to Rule 433(g), is herein called the “</w:t>
      </w:r>
      <w:r>
        <w:rPr>
          <w:rFonts w:ascii="Times New Roman" w:cs="Times New Roman" w:eastAsia="Times New Roman" w:hAnsi="Times New Roman"/>
          <w:sz w:val="16"/>
          <w:szCs w:val="16"/>
          <w:b w:val="1"/>
          <w:bCs w:val="1"/>
          <w:u w:val="single" w:color="auto"/>
          <w:color w:val="auto"/>
        </w:rPr>
        <w:t>General Disclosure Package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352425</wp:posOffset>
            </wp:positionV>
            <wp:extent cx="714057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69" w:name="page70"/>
    <w:bookmarkEnd w:id="69"/>
    <w:p>
      <w:pPr>
        <w:ind w:right="20"/>
        <w:spacing w:after="0" w:line="252" w:lineRule="auto"/>
        <w:rPr>
          <w:sz w:val="20"/>
          <w:szCs w:val="20"/>
          <w:color w:val="auto"/>
        </w:rPr>
      </w:pPr>
      <w:r>
        <w:rPr>
          <w:rFonts w:ascii="Times New Roman" w:cs="Times New Roman" w:eastAsia="Times New Roman" w:hAnsi="Times New Roman"/>
          <w:sz w:val="17"/>
          <w:szCs w:val="17"/>
          <w:color w:val="auto"/>
        </w:rPr>
        <w:t>Any reference herein to the Registration Statement, the ATM Prospectus, the General Disclosure Package or any issuer free writing prospectus shall be deemed to refer to and include the documents, if any, that are or are deemed to be incorporated by reference therein (the “</w:t>
      </w:r>
      <w:r>
        <w:rPr>
          <w:rFonts w:ascii="Times New Roman" w:cs="Times New Roman" w:eastAsia="Times New Roman" w:hAnsi="Times New Roman"/>
          <w:sz w:val="17"/>
          <w:szCs w:val="17"/>
          <w:b w:val="1"/>
          <w:bCs w:val="1"/>
          <w:u w:val="single" w:color="auto"/>
          <w:color w:val="auto"/>
        </w:rPr>
        <w:t>Incorporated Documents</w:t>
      </w:r>
      <w:r>
        <w:rPr>
          <w:rFonts w:ascii="Times New Roman" w:cs="Times New Roman" w:eastAsia="Times New Roman" w:hAnsi="Times New Roman"/>
          <w:sz w:val="17"/>
          <w:szCs w:val="17"/>
          <w:color w:val="auto"/>
        </w:rPr>
        <w:t>”), including, unless the context otherwise requires, the documents, if any, filed as exhibits to such Incorporated Documents. Any reference herein to the terms “amend,” “amendment” or “supplement” with respect to the Registration Statement, the ATM Prospectus, the General Disclosure Package or any issuer free writing prospectus shall be deemed to refer to and include the filing of any document under the Exchange Act on or after the most-recent effective date of the Registration Statement, or the respective dates of the ATM Prospectus, General Disclosure Package or such issuer free writing prospectus, as the case may be, and incorporated therein by reference. For purposes of this Agreement, all references to the Registration Statement, the General Disclosure Package or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7"/>
          <w:szCs w:val="17"/>
          <w:b w:val="1"/>
          <w:bCs w:val="1"/>
          <w:u w:val="single" w:color="auto"/>
          <w:color w:val="auto"/>
        </w:rPr>
        <w:t>EDGAR</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firstLine="609"/>
        <w:spacing w:after="0" w:line="250" w:lineRule="auto"/>
        <w:tabs>
          <w:tab w:leader="none" w:pos="119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Placements</w:t>
      </w:r>
      <w:r>
        <w:rPr>
          <w:rFonts w:ascii="Times New Roman" w:cs="Times New Roman" w:eastAsia="Times New Roman" w:hAnsi="Times New Roman"/>
          <w:sz w:val="17"/>
          <w:szCs w:val="17"/>
          <w:color w:val="auto"/>
        </w:rPr>
        <w:t>. Each time that the Company wishes to issue and sell any Placement Shares through the Agent hereunder (each, a “</w:t>
      </w:r>
      <w:r>
        <w:rPr>
          <w:rFonts w:ascii="Times New Roman" w:cs="Times New Roman" w:eastAsia="Times New Roman" w:hAnsi="Times New Roman"/>
          <w:sz w:val="17"/>
          <w:szCs w:val="17"/>
          <w:b w:val="1"/>
          <w:bCs w:val="1"/>
          <w:u w:val="single" w:color="auto"/>
          <w:color w:val="auto"/>
        </w:rPr>
        <w:t>Placement</w:t>
      </w:r>
      <w:r>
        <w:rPr>
          <w:rFonts w:ascii="Times New Roman" w:cs="Times New Roman" w:eastAsia="Times New Roman" w:hAnsi="Times New Roman"/>
          <w:sz w:val="17"/>
          <w:szCs w:val="17"/>
          <w:color w:val="auto"/>
        </w:rPr>
        <w:t>”), it will notify the Agent by email notice (or other method mutually agreed to in writing by the parties) (each such notice, a “</w:t>
      </w:r>
      <w:r>
        <w:rPr>
          <w:rFonts w:ascii="Times New Roman" w:cs="Times New Roman" w:eastAsia="Times New Roman" w:hAnsi="Times New Roman"/>
          <w:sz w:val="17"/>
          <w:szCs w:val="17"/>
          <w:b w:val="1"/>
          <w:bCs w:val="1"/>
          <w:u w:val="single" w:color="auto"/>
          <w:color w:val="auto"/>
        </w:rPr>
        <w:t>Placement Notice</w:t>
      </w:r>
      <w:r>
        <w:rPr>
          <w:rFonts w:ascii="Times New Roman" w:cs="Times New Roman" w:eastAsia="Times New Roman" w:hAnsi="Times New Roman"/>
          <w:sz w:val="17"/>
          <w:szCs w:val="17"/>
          <w:color w:val="auto"/>
        </w:rPr>
        <w:t xml:space="preserve">”) containing the parameters in accordance with which it desires such Placement Shares to be sold, which at a minimum shall include the maximum number or amount of Placement Shares to be sold, the time period during which sales are requested to be made, any limitation on the number or amount of Placement Shares that may be sold in any one Trading Day (as defined in Section 3) and any minimum price below which sales may not be made, a form of which containing such minimum sales parameters is attached hereto as </w:t>
      </w:r>
      <w:r>
        <w:rPr>
          <w:rFonts w:ascii="Times New Roman" w:cs="Times New Roman" w:eastAsia="Times New Roman" w:hAnsi="Times New Roman"/>
          <w:sz w:val="17"/>
          <w:szCs w:val="17"/>
          <w:b w:val="1"/>
          <w:bCs w:val="1"/>
          <w:u w:val="single" w:color="auto"/>
          <w:color w:val="auto"/>
        </w:rPr>
        <w:t>Schedule 1</w:t>
      </w:r>
      <w:r>
        <w:rPr>
          <w:rFonts w:ascii="Times New Roman" w:cs="Times New Roman" w:eastAsia="Times New Roman" w:hAnsi="Times New Roman"/>
          <w:sz w:val="17"/>
          <w:szCs w:val="17"/>
          <w:color w:val="auto"/>
        </w:rPr>
        <w:t xml:space="preserve">. The Placement Notice must originate from one of the individuals authorized to act on behalf of the Company and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(with a copy to each of the other individuals from the Company listed on such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and shall be addressed to each of the recipients from the Agent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as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be updated by either party from time to time by sending a written notice containing a revised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other party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manner provided in Section 12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if receipt of such correspondence is actually acknowledged by any of the individuals to whom the notice is sent, other than via auto-reply). The Placement Notice shall be effective upon receipt by the Agent unless and until (i) in accordance with the notice requirements set forth in Section 4, the Agent declines to accept the terms contained therein for any reason, in its sole discretion, within two Trading Days of the date the Agent receives the Placement Notice, (ii) in accordance with the notice requirements set forth in Section 4, the Agent suspends sales under the Placement Notice for any reason in its sole discretion, (iii) the entire amount of the Placement Shares has been sold pursuant to this Agreement, (iv) in accordance with the notice requirements set forth in Section 4, the Company suspends sales under or terminates the Placement Notice for any reason in its sole discretion, (v) the Company issues a subsequent Placement Notice and explicitly indicates that its parameters supersede those contained in the earlier dated Placement Notice or (vi) this Agreement has been terminated pursuant to the provisions of Section 11. The amount of any discount, commission or other compensation to be paid by the Company to the Agent in connection with the sale of the Placement Shares effected through the Agent shall be calculated in accordance with the terms set forth in </w:t>
      </w:r>
      <w:r>
        <w:rPr>
          <w:rFonts w:ascii="Times New Roman" w:cs="Times New Roman" w:eastAsia="Times New Roman" w:hAnsi="Times New Roman"/>
          <w:sz w:val="17"/>
          <w:szCs w:val="17"/>
          <w:b w:val="1"/>
          <w:bCs w:val="1"/>
          <w:u w:val="single" w:color="auto"/>
          <w:color w:val="auto"/>
        </w:rPr>
        <w:t>Schedule 3</w:t>
      </w:r>
      <w:r>
        <w:rPr>
          <w:rFonts w:ascii="Times New Roman" w:cs="Times New Roman" w:eastAsia="Times New Roman" w:hAnsi="Times New Roman"/>
          <w:sz w:val="17"/>
          <w:szCs w:val="17"/>
          <w:color w:val="auto"/>
        </w:rPr>
        <w:t>. It is expressly acknowledged and agreed that neither the Company nor the Agent will have any obligation whatsoever with respect to a Placement or any Placement Shares unless and until the Company delivers a Placement Notice to the Agent and the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 with respect to the matters covered thereby.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ind w:left="-40" w:firstLine="609"/>
        <w:spacing w:after="0" w:line="250" w:lineRule="auto"/>
        <w:tabs>
          <w:tab w:leader="none" w:pos="115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 by the Agent</w:t>
      </w:r>
      <w:r>
        <w:rPr>
          <w:rFonts w:ascii="Times New Roman" w:cs="Times New Roman" w:eastAsia="Times New Roman" w:hAnsi="Times New Roman"/>
          <w:sz w:val="17"/>
          <w:szCs w:val="17"/>
          <w:color w:val="auto"/>
        </w:rPr>
        <w:t>. On the basis of the representations and warranties herein contained and subject to the terms and conditions herein set forth, including Section 5(c), upon the Agent’s acceptance of the terms of a Placement Notice as provided in Section 2,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state and federal laws, rules and regulations and the rules of the Nasdaq Global Market (“</w:t>
      </w:r>
      <w:r>
        <w:rPr>
          <w:rFonts w:ascii="Times New Roman" w:cs="Times New Roman" w:eastAsia="Times New Roman" w:hAnsi="Times New Roman"/>
          <w:sz w:val="17"/>
          <w:szCs w:val="17"/>
          <w:b w:val="1"/>
          <w:bCs w:val="1"/>
          <w:u w:val="single" w:color="auto"/>
          <w:color w:val="auto"/>
        </w:rPr>
        <w:t>Nasdaq</w:t>
      </w:r>
      <w:r>
        <w:rPr>
          <w:rFonts w:ascii="Times New Roman" w:cs="Times New Roman" w:eastAsia="Times New Roman" w:hAnsi="Times New Roman"/>
          <w:sz w:val="17"/>
          <w:szCs w:val="17"/>
          <w:color w:val="auto"/>
        </w:rPr>
        <w:t xml:space="preserve">”) to sell such Placement Shares up to the number or amount specified in, and otherwise in accordance with the terms of, such Placement Notice. The Agent shall not sell Placement Shares other than in accordance with the terms of the applicable Placement Notice and this Agreement, in all material respects. The Agent will provide written confirmation to the Company (including by email correspondence to each of the individuals of the Company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if receipt of such correspondence is actually acknowledged by any of the individuals to whom the notice is sent, other than via auto-reply) no later than the opening of the Trading Day (as defined below) immediately following the Trading Day on which it has made sales of Placement Shares hereunder setting forth the number or amount of Placement Shares sold on such Trading Day, the volume-weighted average price of the Placement Shares sold and the Net Proceeds (as defined below) payable to the Company. Unless otherwise specified by the Company in a Placement Notice, the Agent may sell Placement Shares by any method permitted by law deemed to be an “at the market offering” as defined in Rule 415(a)(4) of the Securities Act, including sales made directly on or through Nasdaq, or on or through any other existing trading market for the Common Stock. If expressly authorized by the Company (including in a Placement Notice), the Agent may also sell Placement Shares in negotiated transactions. Notwithstanding the provisions of Section 6(pp), except as may be otherwise agreed by the Company and the Agent, the Agent shall not purchase Placement Shares on a principal basis pursuant to this Agreement unless the Company and the Agent enter into a separate written agreement setting forth the terms of such sale.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state and federal laws, rules and regulations and the rules of Nasdaq to sell such Placement Shares as required under this Agreement and (iii) the Agent shall be under no obligation to purchase Placement Shares on a principal basis pursuant to this Agreement unless the Company and the Agent enter into a separate written agreement setting forth the terms of such sale. For the purposes hereof, “</w:t>
      </w:r>
      <w:r>
        <w:rPr>
          <w:rFonts w:ascii="Times New Roman" w:cs="Times New Roman" w:eastAsia="Times New Roman" w:hAnsi="Times New Roman"/>
          <w:sz w:val="17"/>
          <w:szCs w:val="17"/>
          <w:b w:val="1"/>
          <w:bCs w:val="1"/>
          <w:u w:val="single" w:color="auto"/>
          <w:color w:val="auto"/>
        </w:rPr>
        <w:t>Trading Day</w:t>
      </w:r>
      <w:r>
        <w:rPr>
          <w:rFonts w:ascii="Times New Roman" w:cs="Times New Roman" w:eastAsia="Times New Roman" w:hAnsi="Times New Roman"/>
          <w:sz w:val="17"/>
          <w:szCs w:val="17"/>
          <w:color w:val="auto"/>
        </w:rPr>
        <w:t>” means any day on which the Common Stock is purchased and sold on Nasdaq.</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38735</wp:posOffset>
            </wp:positionV>
            <wp:extent cx="714057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60"/>
          </w:cols>
          <w:pgMar w:left="360" w:top="123" w:right="379" w:bottom="1440" w:gutter="0" w:footer="0" w:header="0"/>
        </w:sectPr>
      </w:pPr>
    </w:p>
    <w:bookmarkStart w:id="71" w:name="page72"/>
    <w:bookmarkEnd w:id="71"/>
    <w:p>
      <w:pPr>
        <w:ind w:left="1200" w:hanging="591"/>
        <w:spacing w:after="0"/>
        <w:tabs>
          <w:tab w:leader="none" w:pos="12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Suspension of Sales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0" w:firstLine="609"/>
        <w:spacing w:after="0" w:line="271" w:lineRule="auto"/>
        <w:tabs>
          <w:tab w:leader="none" w:pos="1217"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or the Agent may, upon notice to the other party in writing (including by email correspondence to each of the individuals of the other party set forth on </w:t>
      </w:r>
      <w:r>
        <w:rPr>
          <w:rFonts w:ascii="Times New Roman" w:cs="Times New Roman" w:eastAsia="Times New Roman" w:hAnsi="Times New Roman"/>
          <w:sz w:val="16"/>
          <w:szCs w:val="16"/>
          <w:b w:val="1"/>
          <w:bCs w:val="1"/>
          <w:u w:val="single" w:color="auto"/>
          <w:color w:val="auto"/>
        </w:rPr>
        <w:t>Schedule 2</w:t>
      </w:r>
      <w:r>
        <w:rPr>
          <w:rFonts w:ascii="Times New Roman" w:cs="Times New Roman" w:eastAsia="Times New Roman" w:hAnsi="Times New Roman"/>
          <w:sz w:val="16"/>
          <w:szCs w:val="16"/>
          <w:color w:val="auto"/>
        </w:rPr>
        <w:t xml:space="preserve">, if receipt of such correspondence is actually acknowledged by any of the individuals to whom the notice is sent, other than via auto-reply) or by telephone (confirmed immediately by email correspondence to each of the individuals of the other party set forth on </w:t>
      </w:r>
      <w:r>
        <w:rPr>
          <w:rFonts w:ascii="Times New Roman" w:cs="Times New Roman" w:eastAsia="Times New Roman" w:hAnsi="Times New Roman"/>
          <w:sz w:val="16"/>
          <w:szCs w:val="16"/>
          <w:b w:val="1"/>
          <w:bCs w:val="1"/>
          <w:u w:val="single" w:color="auto"/>
          <w:color w:val="auto"/>
        </w:rPr>
        <w:t>Schedule 2</w:t>
      </w:r>
      <w:r>
        <w:rPr>
          <w:rFonts w:ascii="Times New Roman" w:cs="Times New Roman" w:eastAsia="Times New Roman" w:hAnsi="Times New Roman"/>
          <w:sz w:val="16"/>
          <w:szCs w:val="16"/>
          <w:color w:val="auto"/>
        </w:rPr>
        <w:t xml:space="preserve">), suspend any sale of Placement Shares;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xml:space="preserve">, that such suspension shall not affect or impair either party’s obligations with respect to any Placement Shares sold hereunder prior to the receipt of such notice. Each of the parties agrees that no such notice under this Section 4 shall be effective against the other party unless notice is sent by one of the individuals named on </w:t>
      </w:r>
      <w:r>
        <w:rPr>
          <w:rFonts w:ascii="Times New Roman" w:cs="Times New Roman" w:eastAsia="Times New Roman" w:hAnsi="Times New Roman"/>
          <w:sz w:val="16"/>
          <w:szCs w:val="16"/>
          <w:b w:val="1"/>
          <w:bCs w:val="1"/>
          <w:u w:val="single" w:color="auto"/>
          <w:color w:val="auto"/>
        </w:rPr>
        <w:t>Schedule 2</w:t>
      </w:r>
      <w:r>
        <w:rPr>
          <w:rFonts w:ascii="Times New Roman" w:cs="Times New Roman" w:eastAsia="Times New Roman" w:hAnsi="Times New Roman"/>
          <w:sz w:val="16"/>
          <w:szCs w:val="16"/>
          <w:color w:val="auto"/>
        </w:rPr>
        <w:t xml:space="preserve"> hereto to the other party in writing (including by email correspondence to each of the individuals of the other party set forth on </w:t>
      </w:r>
      <w:r>
        <w:rPr>
          <w:rFonts w:ascii="Times New Roman" w:cs="Times New Roman" w:eastAsia="Times New Roman" w:hAnsi="Times New Roman"/>
          <w:sz w:val="16"/>
          <w:szCs w:val="16"/>
          <w:b w:val="1"/>
          <w:bCs w:val="1"/>
          <w:u w:val="single" w:color="auto"/>
          <w:color w:val="auto"/>
        </w:rPr>
        <w:t>Schedule 2</w:t>
      </w:r>
      <w:r>
        <w:rPr>
          <w:rFonts w:ascii="Times New Roman" w:cs="Times New Roman" w:eastAsia="Times New Roman" w:hAnsi="Times New Roman"/>
          <w:sz w:val="16"/>
          <w:szCs w:val="16"/>
          <w:color w:val="auto"/>
        </w:rPr>
        <w:t>, if receipt of such correspondence is actually acknowledged by any of the individuals to whom the notice is sent, other than via auto-reply).</w:t>
      </w:r>
    </w:p>
    <w:p>
      <w:pPr>
        <w:spacing w:after="0" w:line="166" w:lineRule="exact"/>
        <w:rPr>
          <w:rFonts w:ascii="Times New Roman" w:cs="Times New Roman" w:eastAsia="Times New Roman" w:hAnsi="Times New Roman"/>
          <w:sz w:val="16"/>
          <w:szCs w:val="16"/>
          <w:color w:val="auto"/>
        </w:rPr>
      </w:pPr>
    </w:p>
    <w:p>
      <w:pPr>
        <w:jc w:val="both"/>
        <w:ind w:right="340" w:firstLine="609"/>
        <w:spacing w:after="0" w:line="258" w:lineRule="auto"/>
        <w:tabs>
          <w:tab w:leader="none" w:pos="118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during any period in which the Company is, or would reasonably be deemed to be, in possession of material non-public information, the Company and the Agent agree that (i) no sale of Placement Shares will take place, (ii) the Company shall not request the sale of any Placement Shares and shall cancel any effective Placement Notices instructing the Agent to make any sales and (iii) the Agent shall not be obligated to sell or offer to sell any Placement Shares.</w:t>
      </w:r>
    </w:p>
    <w:p>
      <w:pPr>
        <w:spacing w:after="0" w:line="173" w:lineRule="exact"/>
        <w:rPr>
          <w:sz w:val="20"/>
          <w:szCs w:val="20"/>
          <w:color w:val="auto"/>
        </w:rPr>
      </w:pPr>
    </w:p>
    <w:p>
      <w:pPr>
        <w:ind w:left="1200" w:hanging="591"/>
        <w:spacing w:after="0"/>
        <w:tabs>
          <w:tab w:leader="none" w:pos="12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and Delivery of the Placement Shares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609"/>
        <w:spacing w:after="0" w:line="273" w:lineRule="auto"/>
        <w:tabs>
          <w:tab w:leader="none" w:pos="117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Settlement of Placement Shares</w:t>
      </w:r>
      <w:r>
        <w:rPr>
          <w:rFonts w:ascii="Times New Roman" w:cs="Times New Roman" w:eastAsia="Times New Roman" w:hAnsi="Times New Roman"/>
          <w:sz w:val="16"/>
          <w:szCs w:val="16"/>
          <w:color w:val="auto"/>
        </w:rPr>
        <w:t>. Unless otherwise specified in the applicable Placement Notice, settlement for sales of Placement Shares will occur on the first Trading Day (or such earlier day as is industry practice or as is required for regular-way trading) following the date on which such sales are made (each, a “</w:t>
      </w:r>
      <w:r>
        <w:rPr>
          <w:rFonts w:ascii="Times New Roman" w:cs="Times New Roman" w:eastAsia="Times New Roman" w:hAnsi="Times New Roman"/>
          <w:sz w:val="16"/>
          <w:szCs w:val="16"/>
          <w:b w:val="1"/>
          <w:bCs w:val="1"/>
          <w:u w:val="single" w:color="auto"/>
          <w:color w:val="auto"/>
        </w:rPr>
        <w:t>Settlement Date</w:t>
      </w:r>
      <w:r>
        <w:rPr>
          <w:rFonts w:ascii="Times New Roman" w:cs="Times New Roman" w:eastAsia="Times New Roman" w:hAnsi="Times New Roman"/>
          <w:sz w:val="16"/>
          <w:szCs w:val="16"/>
          <w:color w:val="auto"/>
        </w:rPr>
        <w:t>”). The amount of proceeds to be delivered to the Company on a Settlement Date against receipt of the Placement Shares sold (the “</w:t>
      </w:r>
      <w:r>
        <w:rPr>
          <w:rFonts w:ascii="Times New Roman" w:cs="Times New Roman" w:eastAsia="Times New Roman" w:hAnsi="Times New Roman"/>
          <w:sz w:val="16"/>
          <w:szCs w:val="16"/>
          <w:b w:val="1"/>
          <w:bCs w:val="1"/>
          <w:u w:val="single" w:color="auto"/>
          <w:color w:val="auto"/>
        </w:rPr>
        <w:t>Net Proceeds</w:t>
      </w:r>
      <w:r>
        <w:rPr>
          <w:rFonts w:ascii="Times New Roman" w:cs="Times New Roman" w:eastAsia="Times New Roman" w:hAnsi="Times New Roman"/>
          <w:sz w:val="16"/>
          <w:szCs w:val="16"/>
          <w:color w:val="auto"/>
        </w:rPr>
        <w:t>”) will be equal to the aggregate gross sales price received by the Agent at which such Placement Shares were sold, after deduction of (i) the Agent’s commission, discount or other compensation for such sales payable by the Company pursuant to Section 2 hereof, (ii) any other amounts due and payable by the Company to the Agent hereunder pursuant to Section 7(g) hereof and (iii) any transaction fees imposed by any governmental or self-regulatory organization in respect of such sales.</w:t>
      </w:r>
    </w:p>
    <w:p>
      <w:pPr>
        <w:spacing w:after="0" w:line="162" w:lineRule="exact"/>
        <w:rPr>
          <w:rFonts w:ascii="Times New Roman" w:cs="Times New Roman" w:eastAsia="Times New Roman" w:hAnsi="Times New Roman"/>
          <w:sz w:val="16"/>
          <w:szCs w:val="16"/>
          <w:color w:val="auto"/>
        </w:rPr>
      </w:pPr>
    </w:p>
    <w:p>
      <w:pPr>
        <w:ind w:right="100" w:firstLine="609"/>
        <w:spacing w:after="0" w:line="250" w:lineRule="auto"/>
        <w:tabs>
          <w:tab w:leader="none" w:pos="1184"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Placement Shares</w:t>
      </w:r>
      <w:r>
        <w:rPr>
          <w:rFonts w:ascii="Times New Roman" w:cs="Times New Roman" w:eastAsia="Times New Roman" w:hAnsi="Times New Roman"/>
          <w:sz w:val="17"/>
          <w:szCs w:val="17"/>
          <w:color w:val="auto"/>
        </w:rPr>
        <w:t>. On or before each Settlement Date, the Company will issue the Placement Shares being sold on such date and will, or will cause its transfer agent to, electronically transfer such Placement Shares by crediting the Agent’s or its designee’s account (provided the Agent shall have given the Company written notice of such designee prior to the Settlement Date) at The Depository Trust Company through its Deposit and Withdrawal at Custodian System (“</w:t>
      </w:r>
      <w:r>
        <w:rPr>
          <w:rFonts w:ascii="Times New Roman" w:cs="Times New Roman" w:eastAsia="Times New Roman" w:hAnsi="Times New Roman"/>
          <w:sz w:val="17"/>
          <w:szCs w:val="17"/>
          <w:b w:val="1"/>
          <w:bCs w:val="1"/>
          <w:u w:val="single" w:color="auto"/>
          <w:color w:val="auto"/>
        </w:rPr>
        <w:t>DWAC</w:t>
      </w:r>
      <w:r>
        <w:rPr>
          <w:rFonts w:ascii="Times New Roman" w:cs="Times New Roman" w:eastAsia="Times New Roman" w:hAnsi="Times New Roman"/>
          <w:sz w:val="17"/>
          <w:szCs w:val="17"/>
          <w:color w:val="auto"/>
        </w:rPr>
        <w:t>”) or by such other means of delivery as may be mutually agreed upon by the parties hereto, which in all cases shall be duly authorized, freely tradeable, transferable, registered shares of Common Stock in good deliverable form. On each Settlement Date, the Agent will deliver the related Net Proceeds in same day funds to an account designated by the Company on or prior to the Settlement Date. The Agent shall be responsible for providing DWAC instructions or other instructions for delivery by other means with regard to the transfer of the Placement Shares being sold. In addition to and in no way limiting the rights and obligations set forth in Section 9(a) hereto, the Company agrees that if the Company or its transfer agent (if applicable), defaults in its obligation to deliver duly authorized, freely tradeable, transferable, registered Placement Shares in good deliverable form by 2:30 P.M., New York City time, on a Settlement Date (other than as a result of a failure by the Agent to provide instructions for delivery), the Company will (i) take all necessary action to cause the full amount of any Net Proceeds that were delivered to the Company’s account with respect to such settlement, together with any documented costs reasonably incurred by the Agent and/or its clearing firm in connection with recovering such Net Proceeds, to be returned to the Agent or its clearing firm no later than 5:00 P.M., New York City time, on such Settlement Date, by wire transfer of immediately available funds to an account designated by the Agent or its clearing firm, (ii) indemnify and hold the Agent and its clearing firm harmless against any loss, claim, damage, or expense (including reasonable legal fees and expenses), as incurred, arising out of or in connection with such default by the Company or its transfer agent (if applicable) and (iii) pay to the Agent any commission, discount or other compensation to which it would otherwise have been entitled absent such default; provided, however, that such commission, discount or other compensation shall be paid only once in the case of a default that is later settled in accordance with the first sentences of this Section 5(b).</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ind w:left="-20" w:firstLine="609"/>
        <w:spacing w:after="0" w:line="251" w:lineRule="auto"/>
        <w:tabs>
          <w:tab w:leader="none" w:pos="1197"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Offering Size</w:t>
      </w:r>
      <w:r>
        <w:rPr>
          <w:rFonts w:ascii="Times New Roman" w:cs="Times New Roman" w:eastAsia="Times New Roman" w:hAnsi="Times New Roman"/>
          <w:sz w:val="17"/>
          <w:szCs w:val="17"/>
          <w:color w:val="auto"/>
        </w:rPr>
        <w:t>. Under no circumstances shall the Company cause or request the offer or sale of any Placement Shares if, after giving effect to the sale of such Placement Shares, the aggregate number or gross sales proceeds of Placement Shares sold pursuant to this Agreement would exceed the least of: (i) the number or dollar amount of shares of Common Stock registered pursuant to, and available for offer and sale under, the Registration Statement pursuant to which the offering of Placement Shares is being made, (ii) the number of authorized but unissued shares of Common Stock of the Company (less shares of Common Stock issuable upon exercise, conversion or exchange of any outstanding securities of the Company or otherwise reserved from the Company’s authorized capital stock), (iii) the number or dollar amount of shares of Common Stock permitted to be offered and sold by the Company under Form S-3 (including General Instruction I.B.6. thereof, if such instruction is applicable), (iv) the number or dollar amount of shares of Common Stock that the Company’s board of directors or a duly authorized committee thereof is authorized to issue and sell from time to time, and notified to the Agent in writing, and (v) the dollar amount of shares of Common Stock for which the Company has filed the ATM Prospectus. Under no circumstances shall the Company cause or request the offer or sale of any Placement Shares pursuant to this Agreement at a price lower than the minimum price authorized from time to time by the Company’s board of directors or a duly authorized committee thereof, and notified to the Agent in writing. Notwithstanding anything to the contrary contained herein, the parties hereto acknowledge and agree that compliance with the limitations set forth in this Section 5(c) on the number or dollar amount of Placement Shares that may be issued and sold under this Agreement from time to time shall be the sole responsibility of the Company, and that the Agent shall have no obligation in connection with such compliance.</w:t>
      </w:r>
    </w:p>
    <w:p>
      <w:pPr>
        <w:spacing w:after="0" w:line="179" w:lineRule="exact"/>
        <w:rPr>
          <w:sz w:val="20"/>
          <w:szCs w:val="20"/>
          <w:color w:val="auto"/>
        </w:rPr>
      </w:pPr>
    </w:p>
    <w:p>
      <w:pPr>
        <w:jc w:val="both"/>
        <w:ind w:left="-20" w:right="80" w:firstLine="609"/>
        <w:spacing w:after="0" w:line="258" w:lineRule="auto"/>
        <w:tabs>
          <w:tab w:leader="none" w:pos="1178"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The Company represents and warrants to, and agrees with, the Agent that as of the date of this Agreement, and as of (i) each Representation Date (as defined in Section 7(m)), (ii) each date on which a Placement Notice is given, (iii) the date and time of each sale of any Placement Shares pursuant to this Agreement and (iv) each Settlement Date (each such time or date referred to in clauses (i) through (iv), an “</w:t>
      </w:r>
      <w:r>
        <w:rPr>
          <w:rFonts w:ascii="Times New Roman" w:cs="Times New Roman" w:eastAsia="Times New Roman" w:hAnsi="Times New Roman"/>
          <w:sz w:val="17"/>
          <w:szCs w:val="17"/>
          <w:b w:val="1"/>
          <w:bCs w:val="1"/>
          <w:u w:val="single" w:color="auto"/>
          <w:color w:val="auto"/>
        </w:rPr>
        <w:t>Applicable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Time</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20" w:right="20" w:firstLine="609"/>
        <w:spacing w:after="0" w:line="250" w:lineRule="auto"/>
        <w:tabs>
          <w:tab w:leader="none" w:pos="1197"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transactions contemplated by this Agreement meet the requirements for and comply with the conditions for the use of Form S-3 (including General Instructions I.A and I.B.1.) under the Securities Act. The Registration Statement has been or will be filed with the Commission and has been or will be declared effective by the Commission under the Securities Act prior to the issuance of any Placement Notices by the Company. At the time the Registration Statement originally becomes or became effective and at the time the Company’s most recent Annual Report on Form 10-K was filed with the Commission, the Company met the then-applicable requirements for use of Form S-3 (including General Instructions I.A and I.B.1.) under the Securities Act. The Registration Statement meets, and the offering and sale of Placement Shares as contemplated hereby comply with, the requirements of Rule 415(a)(1)(x) under the Securities Act. The Agent is named as the agent engaged by the Company in the section entitled “Plan of Distribution” in the ATM Prospectus. The Company has not received, and has no notice from the Commission of, any notice pursuant to Rule 401(g)(1) under the Securities Act objecting to the use of the shelf registration statement form. No stop order of the Commission preventing or suspending the use of the ATM Prospectus or the effectiveness of the Registration Statement, has been issued, and no proceedings for such purpose are pending before or, to the knowledge of the Company, threatened by the Commission. At the time of the initial filing of the Registration Statement, the Company paid the required Commission filing fees relating to the securities covered by the Registration Statement, including the Placement Shares that may be sold pursuant to this Agreement, in accordance with Rule 457(o) under the Securities Act. Copies of the Registration Statement, the ATM Prospectus, any such amendments or supplements to any of the foregoing and all Incorporated Documents that were filed with the Commission on or prior to the date of this Agreement have been delivered, or are available through EDGAR, to the Agent and its counsel.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73" w:name="page74"/>
    <w:bookmarkEnd w:id="73"/>
    <w:p>
      <w:pPr>
        <w:ind w:left="-20" w:right="20" w:firstLine="609"/>
        <w:spacing w:after="0" w:line="250" w:lineRule="auto"/>
        <w:tabs>
          <w:tab w:leader="none" w:pos="1164"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Registration Statement and any post-effective amendment thereto, at the time it became or becomes effective, at each deemed effective date with respect to the Agent pursuant to Rule 430B(f)(2) under the Securities Act and as of each Applicable Time, complied, complies and will comply in all material respects with the requirements of the Securities Act and did not, does not and will not contain any untrue statement of a material fact or omit to state a material fact required to be stated therein or necessary to make the statements therein not misleading, except that the representations and warranties set forth in this sentence do not apply to Agent’s Information (as defined below). The ATM Prospectus and any amendment or supplement thereto, when so filed with the Commission under Rule 424(b) under the Securities Act, complied, complies and as of each Applicable Time will comply in all material respects with the requirements of the Securities Act, and each prospectus supplement or issuer free writing prospectus (or any amendments or supplements to any of the foregoing) furnished to the Agent for use in connection with the offering of the Placement Shares was identical to the electronically transmitted copies thereof filed with the Commission pursuant to EDGAR, except to the extent permitted by Regulation S-T. Neither the ATM Prospectus nor any amendment or supplement thereto, as of its date and as of each Applicable Time, included, includes or will include an untrue statement of a material fact or omitted, omits or will omit to state a material fact necessary in order to make the statements therein, in the light of the circumstances under which they were made, not misleading, except that the representations and warranties set forth in this sentence do not apply to Agent’s Information. Each Incorporated Document heretofore filed, when it was filed (or, if any amendment with respect to any such document was filed, when such amendment was filed), complied in all material respects with the requirements of the Exchange Act and were filed on a timely basis with the Commission, and any further Incorporated Documents so filed and incorporated after the date of this Agreement will be filed on a timely basis and, when so filed, will comply in all material respects with the requirements of the Exchange Act; no such Incorporated Document when it was filed (or, if an amendment with respect to any such document was filed, when such amendment was filed), contained an untrue statement of a material fact or omitted to state a material fact required to be stated therein or necessary in order to make the statements therein, in the light of the circumstances under which they were made, not misleading; and no such Incorporated Document, when it is filed, will contain an untrue statement of a material fact or will omit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17"/>
          <w:szCs w:val="17"/>
          <w:color w:val="auto"/>
        </w:rPr>
      </w:pPr>
    </w:p>
    <w:p>
      <w:pPr>
        <w:ind w:left="-20" w:firstLine="609"/>
        <w:spacing w:after="0" w:line="279" w:lineRule="auto"/>
        <w:tabs>
          <w:tab w:leader="none" w:pos="1197"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issuer free writing prospectus, as of its issue date and as of each Applicable Time, did not, does not and will not include any information that conflicted, conflicts or will conflict with the information contained in the Registration Statement or the ATM Prospectus, including any Incorporated Document deemed to be a part thereof that has not been superseded or modified. Each issuer free writing prospectus that the Company has filed, or is required to file, pursuant to Rule 433 or that was prepared by or on behalf of or used by the Company complies or will comply in all material respects with the requirements of the Securities Act.</w:t>
      </w:r>
    </w:p>
    <w:p>
      <w:pPr>
        <w:spacing w:after="0" w:line="157" w:lineRule="exact"/>
        <w:rPr>
          <w:rFonts w:ascii="Times New Roman" w:cs="Times New Roman" w:eastAsia="Times New Roman" w:hAnsi="Times New Roman"/>
          <w:sz w:val="16"/>
          <w:szCs w:val="16"/>
          <w:color w:val="auto"/>
        </w:rPr>
      </w:pPr>
    </w:p>
    <w:p>
      <w:pPr>
        <w:ind w:left="-20" w:right="80" w:firstLine="609"/>
        <w:spacing w:after="0" w:line="258" w:lineRule="auto"/>
        <w:tabs>
          <w:tab w:leader="none" w:pos="120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not distributed and, prior to the later to occur of each Settlement Date and completion of the Agent’s distribution of the Placement Shares under this Agreement, will not distribute any written communication (as defined in Rule 405 under the Securities Act), that constitutes and offer to sell or solicitation of an offer to buy Placement Shares hereunder, other than the Registration Statement, the ATM Prospectus or any Permitted Free Writing Prospectus (as defined below).</w:t>
      </w:r>
    </w:p>
    <w:p>
      <w:pPr>
        <w:spacing w:after="0" w:line="172" w:lineRule="exact"/>
        <w:rPr>
          <w:rFonts w:ascii="Times New Roman" w:cs="Times New Roman" w:eastAsia="Times New Roman" w:hAnsi="Times New Roman"/>
          <w:sz w:val="17"/>
          <w:szCs w:val="17"/>
          <w:color w:val="auto"/>
        </w:rPr>
      </w:pPr>
    </w:p>
    <w:p>
      <w:pPr>
        <w:ind w:left="-20" w:right="220" w:firstLine="609"/>
        <w:spacing w:after="0" w:line="262" w:lineRule="auto"/>
        <w:tabs>
          <w:tab w:leader="none" w:pos="119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interactive data in eXtensible Business Reporting Language included or incorporated by reference in the Registration Statement and the General Disclosure Package fairly presents the information called for in all material respects and has been prepared in accordance with the Commission’s rules and guidelines applicable thereto.</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74" w:name="page75"/>
    <w:bookmarkEnd w:id="74"/>
    <w:p>
      <w:pPr>
        <w:ind w:left="-20" w:right="20" w:firstLine="609"/>
        <w:spacing w:after="0" w:line="254" w:lineRule="auto"/>
        <w:tabs>
          <w:tab w:leader="none" w:pos="117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and in compliance in all material respects with the reporting requirements of Section 13 or Section 15(d) of the Exchange Act. The Common Stock is registered pursuant to Section 12(b) of the Exchange Act and is listed on Nasdaq,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Placement Shares.</w:t>
      </w:r>
    </w:p>
    <w:p>
      <w:pPr>
        <w:spacing w:after="0" w:line="177" w:lineRule="exact"/>
        <w:rPr>
          <w:rFonts w:ascii="Times New Roman" w:cs="Times New Roman" w:eastAsia="Times New Roman" w:hAnsi="Times New Roman"/>
          <w:sz w:val="17"/>
          <w:szCs w:val="17"/>
          <w:color w:val="auto"/>
        </w:rPr>
      </w:pPr>
    </w:p>
    <w:p>
      <w:pPr>
        <w:ind w:left="-20" w:right="60" w:firstLine="609"/>
        <w:spacing w:after="0" w:line="255" w:lineRule="auto"/>
        <w:tabs>
          <w:tab w:leader="none" w:pos="11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(as such term is defined in Rule 1-02 of Regulation S-X promulgated under the Securities Act) has the right to act as an underwriter or as a financial advisor to the Company in connection with the offer and sale of the Placement Shares hereunder, whether as a result of the filing or effectiveness of the Registration Statement or the sale of the Placement Shares as contemplated hereby or otherwise. Except for the Agent,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177" w:lineRule="exact"/>
        <w:rPr>
          <w:rFonts w:ascii="Times New Roman" w:cs="Times New Roman" w:eastAsia="Times New Roman" w:hAnsi="Times New Roman"/>
          <w:sz w:val="17"/>
          <w:szCs w:val="17"/>
          <w:color w:val="auto"/>
        </w:rPr>
      </w:pPr>
    </w:p>
    <w:p>
      <w:pPr>
        <w:ind w:left="-20" w:right="40" w:firstLine="609"/>
        <w:spacing w:after="0" w:line="252" w:lineRule="auto"/>
        <w:tabs>
          <w:tab w:leader="none" w:pos="116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been duly incorporated and is validly existing as a corporation in good standing under the laws of the State of Delaware, with full corporate power and authority to acquire, own, lease and operate its properties, and to lease the same to others, and to conduct its business as described in the Registration Statement and the General Disclosure Package and to enter into and perform its obligations under this Agreement. The Company is duly qualified to transact business as a foreign corporation and is in good standing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on the condition (financial or otherwise), earnings, results of operations, business,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7"/>
          <w:szCs w:val="17"/>
          <w:b w:val="1"/>
          <w:bCs w:val="1"/>
          <w:u w:val="single" w:color="auto"/>
          <w:color w:val="auto"/>
        </w:rPr>
        <w:t>Material Adverse Effect</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20" w:firstLine="609"/>
        <w:spacing w:after="0" w:line="251" w:lineRule="auto"/>
        <w:tabs>
          <w:tab w:leader="none" w:pos="116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“subsidiaries” (for purposes of this Agreement, as defined in Rule 405 under the Securities Act) (each, a “</w:t>
      </w:r>
      <w:r>
        <w:rPr>
          <w:rFonts w:ascii="Times New Roman" w:cs="Times New Roman" w:eastAsia="Times New Roman" w:hAnsi="Times New Roman"/>
          <w:sz w:val="17"/>
          <w:szCs w:val="17"/>
          <w:b w:val="1"/>
          <w:bCs w:val="1"/>
          <w:u w:val="single" w:color="auto"/>
          <w:color w:val="auto"/>
        </w:rPr>
        <w:t>Subsidiary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u w:val="single" w:color="auto"/>
          <w:color w:val="auto"/>
        </w:rPr>
        <w:t>Subsidiaries</w:t>
      </w:r>
      <w:r>
        <w:rPr>
          <w:rFonts w:ascii="Times New Roman" w:cs="Times New Roman" w:eastAsia="Times New Roman" w:hAnsi="Times New Roman"/>
          <w:sz w:val="17"/>
          <w:szCs w:val="17"/>
          <w:color w:val="auto"/>
        </w:rPr>
        <w:t>”) has been duly organized and is validly existing in good standing (where such concept exists) under the laws of the jurisdiction of its organization, except to the extent that the failure to be so in good standing could not reasonably be expected, individually or in the aggregate, to have a Material Adverse Effect. Each Subsidiary has full power and authority to acquire, own, lease and operate its properties, and to conduct its business as described in the Registration Statement and the General Disclosure Package.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 owned Subsidiaries, free and clear of any security interest, mortgage, pledge, lien, encumbrance or adverse claim. The Company does not own or control, directly or indirectly, any corporation, association or other entity, other than the Subsidiaries listed on Exhibit 21.1 to the Company’s most recent Annual Report on Form 10-K filed with the Commission.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 except in each case as could not reasonably be expected, individually or in the aggregate, to have a Material Adverse Effect.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75" w:name="page76"/>
    <w:bookmarkEnd w:id="75"/>
    <w:p>
      <w:pPr>
        <w:ind w:firstLine="609"/>
        <w:spacing w:after="0" w:line="250" w:lineRule="auto"/>
        <w:tabs>
          <w:tab w:leader="none" w:pos="1189"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authorized and outstanding capitalization as set forth in the Company’s annual report on Form 10-K for the most recent fiscal year or, if later, the Company’s quarterly report on Form 10-Q for the most recent fiscal quarter, as of the dates referred to therein (subject, in each case, to the issuance of Placement Shares under this Agreement, the issuance of shares of Common Stock upon (i) exercise of share options and warrants, (ii) settlement of restricted stock units, or (iii) conversion of preferred stock, in each case disclosed as outstanding as of the date hereof in the Registration Statement and the General Disclosure Package, and the grant of options and restricted stock units under existing Stock Plans (as defined below) described in the Registration Statement and the General Disclosure Package). The Common Stock conforms in all material respects to the description thereof contained in the Registration Statement and the ATM Prospectus, including under the heading “Description of Common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There are no authorized or outstanding options, warrants, preemptive rights, rights of first refusal or other rights to purchase or subscribe for, or equity or debt securities convertible into or exchangeable or exercisable for, any share capital of the Company or any of its Subsidiaries or to which the Company or any of its Subsidiaries is a party or by which any of them may be bound. The descriptions of the Company’s equity incentive plan, stock option plans and other stock plans or arrangements described in the General Disclosure Package and in effect as of the date hereof (collectively, the “</w:t>
      </w:r>
      <w:r>
        <w:rPr>
          <w:rFonts w:ascii="Times New Roman" w:cs="Times New Roman" w:eastAsia="Times New Roman" w:hAnsi="Times New Roman"/>
          <w:sz w:val="17"/>
          <w:szCs w:val="17"/>
          <w:b w:val="1"/>
          <w:bCs w:val="1"/>
          <w:u w:val="single" w:color="auto"/>
          <w:color w:val="auto"/>
        </w:rPr>
        <w:t>Stock Plans</w:t>
      </w:r>
      <w:r>
        <w:rPr>
          <w:rFonts w:ascii="Times New Roman" w:cs="Times New Roman" w:eastAsia="Times New Roman" w:hAnsi="Times New Roman"/>
          <w:sz w:val="17"/>
          <w:szCs w:val="17"/>
          <w:color w:val="auto"/>
        </w:rPr>
        <w:t>”) and the options or other rights granted thereunder, set forth in the Registration Statement and the General Disclosure Package accurately and fairly present the information required to be shown with respect to such Stock Plans and the options or other rights granted thereunder.</w:t>
      </w:r>
    </w:p>
    <w:p>
      <w:pPr>
        <w:spacing w:after="0" w:line="186" w:lineRule="exact"/>
        <w:rPr>
          <w:rFonts w:ascii="Times New Roman" w:cs="Times New Roman" w:eastAsia="Times New Roman" w:hAnsi="Times New Roman"/>
          <w:sz w:val="17"/>
          <w:szCs w:val="17"/>
          <w:color w:val="auto"/>
        </w:rPr>
      </w:pPr>
    </w:p>
    <w:p>
      <w:pPr>
        <w:ind w:right="80" w:firstLine="609"/>
        <w:spacing w:after="0" w:line="269" w:lineRule="auto"/>
        <w:tabs>
          <w:tab w:leader="none" w:pos="118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Placement Shares have been duly authorized for issuance and sale pursuant to this Agreement and, when issued and delivered by the Company against payment therefor pursuant to this Agreement, will be validly issued, fully paid and nonassessable and will conform in all material respects to the description thereof contained in the ATM Prospectus. The issuance and sale of the Placement Shares as contemplated hereby shall not be subject to any preemptive rights, rights of first refusal or other similar rights to subscribe for or purchase the Placement Shares, except for any such rights that have been duly waived. When issued and delivered by the Company against payment therefor pursuant to this Agreement, the purchasers of the Placement Shares issued and sold hereunder will acquire good, marketable and valid title to such Placement Shares, free and clear of all pledges, liens, security interests, charges, claims or encumbrances. The issuance and sale of the Placement Shares as contemplated hereby will not cause any holder of any share capital, securities convertible into or exchangeable or exercisable for share capital or options, warrants or other rights to purchase share capital or any other securities of the Company to have any right to acquire any preferred shares of the Company. There are no restrictions upon the voting or transfer of the Common Stock under the Company’s restated certificate of incorporation, as amended, or amended and restated bylaws or any agreement or other instrument to which the Company is a party or otherwise filed as an exhibit to the Registration Statement.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ind w:left="-20" w:right="20" w:firstLine="609"/>
        <w:spacing w:after="0" w:line="251" w:lineRule="auto"/>
        <w:tabs>
          <w:tab w:leader="none" w:pos="116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statute, regulation, contract, agreement or other document required to be described in the Registration Statement, General Disclosure Package or in any Incorporated Document, or to be filed as an exhibit to the Registration Statement or any Incorporated Document which is not described or filed as required. The statements set forth or incorporated by reference in the General Disclosure Package under the headings “Risk Factors,” “Business—Intellectual Property,” “Business—Key Agreements,” “Business—Government Regulation,” “Legal Proceedings,” and “Description of Common Stock,” insofar as they purport to constitute summaries of the terms of the statutes, regulations, contracts, agreements or other documents described and filed, constitute accurate summaries of the terms thereof in all material respects. The statements set forth or incorporated by reference in the General Disclosure Package insofar as such statements summarize legal matters, agreements, documents or proceedings discussed therein, are accurate and fair summaries of such legal matters, agreements, documents or proceedings. Except as disclosed in the Registration Statement and the General Disclosure Package, neither the Company nor any of its Subsidiaries has sent or received any communication regarding termination of, or intent not to renew or render performance under, any of the contracts or agreements referred to or described in the General Disclosure Package or any free writing prospectus, or referred to or described in, or filed as an exhibit to, the Registration Statement, or any Incorporated Document,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180" w:lineRule="exact"/>
        <w:rPr>
          <w:rFonts w:ascii="Times New Roman" w:cs="Times New Roman" w:eastAsia="Times New Roman" w:hAnsi="Times New Roman"/>
          <w:sz w:val="17"/>
          <w:szCs w:val="17"/>
          <w:color w:val="auto"/>
        </w:rPr>
      </w:pPr>
    </w:p>
    <w:p>
      <w:pPr>
        <w:ind w:left="-20" w:firstLine="609"/>
        <w:spacing w:after="0" w:line="279" w:lineRule="auto"/>
        <w:tabs>
          <w:tab w:leader="none" w:pos="1169"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has been duly and validly authorized, executed and delivered by the Company and constitutes a valid and legally binding obligation of the Company, enforceable against the Company in accordance with its terms, except as enforceability, including rights of indemnification, may be limited by bankruptcy, insolvency, fraudulent conveyance, reorganization, moratorium and other similar laws relating to or affecting creditors’ rights generally and by general principles of equity. This Agreement conforms in all material respects to the descriptions thereof in the Registration Statement and the General Disclosure Package.</w:t>
      </w:r>
    </w:p>
    <w:p>
      <w:pPr>
        <w:spacing w:after="0" w:line="157" w:lineRule="exact"/>
        <w:rPr>
          <w:rFonts w:ascii="Times New Roman" w:cs="Times New Roman" w:eastAsia="Times New Roman" w:hAnsi="Times New Roman"/>
          <w:sz w:val="16"/>
          <w:szCs w:val="16"/>
          <w:color w:val="auto"/>
        </w:rPr>
      </w:pPr>
    </w:p>
    <w:p>
      <w:pPr>
        <w:ind w:left="-20" w:right="20" w:firstLine="609"/>
        <w:spacing w:after="0" w:line="309" w:lineRule="auto"/>
        <w:tabs>
          <w:tab w:leader="none" w:pos="116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is not and, after giving effect to the offering and sale of the Placement Shares and the application of the proceeds thereof as described in the General Disclosure Package, will not be required to register as an “investment company” as defined in the Investment Company Act of 1940, as amended.</w:t>
      </w:r>
    </w:p>
    <w:p>
      <w:pPr>
        <w:spacing w:after="0" w:line="134" w:lineRule="exact"/>
        <w:rPr>
          <w:rFonts w:ascii="Times New Roman" w:cs="Times New Roman" w:eastAsia="Times New Roman" w:hAnsi="Times New Roman"/>
          <w:sz w:val="16"/>
          <w:szCs w:val="16"/>
          <w:color w:val="auto"/>
        </w:rPr>
      </w:pPr>
    </w:p>
    <w:p>
      <w:pPr>
        <w:ind w:left="-20" w:firstLine="609"/>
        <w:spacing w:after="0" w:line="255" w:lineRule="auto"/>
        <w:tabs>
          <w:tab w:leader="none" w:pos="11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license, permit, qualification, authorization or other order or decree of, or registration or filing with, any court or other governmental, taxing or regulatory authority or agency, is required for the Company’s execution, delivery and performance of this Agreement or consummation of the transactions contemplated hereby or by the Registration Statement and the General Disclosure Package (including the issuance and sale of the Placement Shares hereunder), except such as have been already obtained or made or as may be required under the Securities Act, applicable state securities or Blue Sky laws, applicable rules of Nasdaq, or Rule 5110 of the Financial Industry Regulatory Authority, Inc. (“</w:t>
      </w:r>
      <w:r>
        <w:rPr>
          <w:rFonts w:ascii="Times New Roman" w:cs="Times New Roman" w:eastAsia="Times New Roman" w:hAnsi="Times New Roman"/>
          <w:sz w:val="17"/>
          <w:szCs w:val="17"/>
          <w:b w:val="1"/>
          <w:bCs w:val="1"/>
          <w:u w:val="single" w:color="auto"/>
          <w:color w:val="auto"/>
        </w:rPr>
        <w:t>FINRA</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left="-20" w:right="20" w:firstLine="609"/>
        <w:spacing w:after="0" w:line="252" w:lineRule="auto"/>
        <w:tabs>
          <w:tab w:leader="none" w:pos="116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by the Company of, nor the performance of the Company of its obligations under, this Agreement will conflict with, result in a breach or violation of, or result in the creation or imposition of any lien, charge or encumbrance upon any property or assets of the Company or any of its Subsidiaries pursuant to: (i) the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license, lease, mortgage, deed of trust, note agreement, agreement or other instrument, obligation, condition, covenant or instrument to which it is a party or bound or to which its property or assets is subject or (iii) any statute, law, rule, regulation, judgment, order or decree applicable to the Company or any of its Subsidiaries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conflict, breach, violation or default that would not, individually or in the aggregate, have a Material Adverse Effect.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77" w:name="page78"/>
    <w:bookmarkEnd w:id="77"/>
    <w:p>
      <w:pPr>
        <w:ind w:left="-1" w:right="60" w:firstLine="609"/>
        <w:spacing w:after="0" w:line="267" w:lineRule="auto"/>
        <w:tabs>
          <w:tab w:leader="none" w:pos="1183"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the respective dates as of which information is given in the Registration Statement and the General Disclosure Package: (i) 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(ii) neither the Company nor its Subsidiaries has (A)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(B) entered into any material transactions not in the ordinary course of business or</w:t>
      </w:r>
    </w:p>
    <w:p>
      <w:pPr>
        <w:spacing w:after="0" w:line="1" w:lineRule="exact"/>
        <w:rPr>
          <w:rFonts w:ascii="Times New Roman" w:cs="Times New Roman" w:eastAsia="Times New Roman" w:hAnsi="Times New Roman"/>
          <w:sz w:val="16"/>
          <w:szCs w:val="16"/>
          <w:color w:val="auto"/>
        </w:rPr>
      </w:pPr>
    </w:p>
    <w:p>
      <w:pPr>
        <w:ind w:left="-1" w:right="100" w:firstLine="1"/>
        <w:spacing w:after="0" w:line="250" w:lineRule="auto"/>
        <w:tabs>
          <w:tab w:leader="none" w:pos="266"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issued or granted any shares of the Company’s capital stock or securities convertible into or exchangeable or exercisable for or that represent the right to receive shares of the Company’s capital stock other than under the Stock Plans and in conversion of shares of outstanding preferred stock or upon exercise of warrants, each as disclosed in the Registration Statement and General Disclosure Package; and (iii) there has not been any material decrease in the share capital or any material increase in any short-term or long-term indebtedness of the Company or any of its Subsidiaries and there has been no dividend or distribution of any kind declared, paid or made by the Company or, except for dividends paid to the Company or another Subsidiary, by any Subsidiary on any class of shares, or any repurchase or redemption by the Company or any of its Subsidiaries of any class of shares.</w:t>
      </w:r>
    </w:p>
    <w:p>
      <w:pPr>
        <w:spacing w:after="0" w:line="180" w:lineRule="exact"/>
        <w:rPr>
          <w:rFonts w:ascii="Times New Roman" w:cs="Times New Roman" w:eastAsia="Times New Roman" w:hAnsi="Times New Roman"/>
          <w:sz w:val="17"/>
          <w:szCs w:val="17"/>
          <w:color w:val="auto"/>
        </w:rPr>
      </w:pPr>
    </w:p>
    <w:p>
      <w:pPr>
        <w:ind w:left="-1" w:right="220" w:firstLine="609"/>
        <w:spacing w:after="0" w:line="262" w:lineRule="auto"/>
        <w:tabs>
          <w:tab w:leader="none" w:pos="119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persons (as such term is defined in Rule 1-02 of Regulation S-X promulgated under the Securities Act) with registration or other similar rights to have any equity or debt securities of the Company registered for sale under the Registration Statement or included in the offering contemplated by this Agreement, except for such rights as have been duly waived.</w:t>
      </w:r>
    </w:p>
    <w:p>
      <w:pPr>
        <w:spacing w:after="0" w:line="170" w:lineRule="exact"/>
        <w:rPr>
          <w:rFonts w:ascii="Times New Roman" w:cs="Times New Roman" w:eastAsia="Times New Roman" w:hAnsi="Times New Roman"/>
          <w:sz w:val="17"/>
          <w:szCs w:val="17"/>
          <w:color w:val="auto"/>
        </w:rPr>
      </w:pPr>
    </w:p>
    <w:p>
      <w:pPr>
        <w:ind w:left="-1" w:firstLine="609"/>
        <w:spacing w:after="0" w:line="267" w:lineRule="auto"/>
        <w:tabs>
          <w:tab w:leader="none" w:pos="1206"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financial statements included or incorporated by reference in the Registration Statement and the General Disclosure Package,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and the Subsidiaries for the periods specified, and have been prepared in material compliance with the requirements of the Securities Act and the Exchange Act and in conformity with United States generally accepted accounting principles (“</w:t>
      </w:r>
      <w:r>
        <w:rPr>
          <w:rFonts w:ascii="Times New Roman" w:cs="Times New Roman" w:eastAsia="Times New Roman" w:hAnsi="Times New Roman"/>
          <w:sz w:val="16"/>
          <w:szCs w:val="16"/>
          <w:b w:val="1"/>
          <w:bCs w:val="1"/>
          <w:u w:val="single" w:color="auto"/>
          <w:color w:val="auto"/>
        </w:rPr>
        <w:t>GAAP</w:t>
      </w:r>
      <w:r>
        <w:rPr>
          <w:rFonts w:ascii="Times New Roman" w:cs="Times New Roman" w:eastAsia="Times New Roman" w:hAnsi="Times New Roman"/>
          <w:sz w:val="16"/>
          <w:szCs w:val="16"/>
          <w:color w:val="auto"/>
        </w:rPr>
        <w:t>”) applied on a consistent basis during the periods involved, and all adjustments necessary for a fair presentation of results for such periods have been made; all pro forma financial information included in the Registration Statement and the General Disclosure Package presents fairly in all material respects the information shown therein, has been prepared in accordance with the provisions of the Securities Act with respect to pro forma financial information, has been properly compiled on the pro forma bases described therein in accordance with the provisions of the Securities Act, and the assumptions used in the preparation thereof are reasonable and the adjustments therein are appropriate to give effect to the transactions or circumstances referred to therein; there are no financial statements (historical or pro forma) that are required to be included or incorporated by reference in the Registration Statement or the General Disclosure Package that are not included or incorporated by reference as required; the Company and the Subsidiaries do not have any material liabilities or obligations, direct or contingent (including any off-balance sheet obligations), that are not described in the Registration Statement and the General Disclosure Package; and any disclosures contained in the Registration Statement and the General Disclosure Package that constitute “non-GAAP financial measures” (as such term is defined by the rules and regulations of the Commission) comply with Regulation G of the Exchange Act and Item 10 of Regulation S-K under the Securities Act, to the extent applicable.</w:t>
      </w:r>
    </w:p>
    <w:p>
      <w:pPr>
        <w:spacing w:after="0" w:line="334"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14057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99"/>
          </w:cols>
          <w:pgMar w:left="321" w:top="123" w:right="379" w:bottom="1440" w:gutter="0" w:footer="0" w:header="0"/>
        </w:sectPr>
      </w:pPr>
    </w:p>
    <w:bookmarkStart w:id="78" w:name="page79"/>
    <w:bookmarkEnd w:id="78"/>
    <w:p>
      <w:pPr>
        <w:ind w:right="20" w:firstLine="609"/>
        <w:spacing w:after="0" w:line="251" w:lineRule="auto"/>
        <w:tabs>
          <w:tab w:leader="none" w:pos="1189"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actions, suits, claims, investigations or proceedings pending or, to the Company’s knowledge, threatened to which the Company or any of the Subsidiaries is or would be a party, or of which any of the respective properties or assets of the Company and the Subsidiaries is or would be subject, at law or in equity, before any court or arbitral body or by or before any federal, state, local or foreign governmental or regulatory commission, board, body, authority or agency, that (i) are required to be described in the Registration Statement or the General Disclosure Package and are not so described, (ii) could reasonably be expected to have a material adverse effect on the ability of the Company to perform its obligations under this Agreement or on the consummation of any of the transactions contemplated hereby or (iii) could reasonably be expected to have a Material Adverse Effect. The aggregate of all pending legal or governmental proceedings to which the Company or any of its Subsidiaries is a party or of which any of their respective properties or assets is the subject which are not described in the General Disclosure Package, including ordinary routine litigation incidental to the Company’s business, could not reasonably be expected to (A) result in a Material Adverse Effect or (B) have a material adverse effect on the ability of the Company to perform its obligations under this Agreement or the consummation of any of the transactions contemplated hereby.</w:t>
      </w:r>
    </w:p>
    <w:p>
      <w:pPr>
        <w:spacing w:after="0" w:line="184" w:lineRule="exact"/>
        <w:rPr>
          <w:rFonts w:ascii="Times New Roman" w:cs="Times New Roman" w:eastAsia="Times New Roman" w:hAnsi="Times New Roman"/>
          <w:sz w:val="17"/>
          <w:szCs w:val="17"/>
          <w:color w:val="auto"/>
        </w:rPr>
      </w:pPr>
    </w:p>
    <w:p>
      <w:pPr>
        <w:ind w:firstLine="609"/>
        <w:spacing w:after="0" w:line="253" w:lineRule="auto"/>
        <w:tabs>
          <w:tab w:leader="none" w:pos="118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Subsidiary is in violation or default of (i) any provision of its certificate or articles of incorporation, charter, bylaws, articles of association, limited liability company agreement, certificate or agreement of limited or general partnership, or other similar organizational documents, as the case may be, of such entity, (ii) the terms of any indenture, contract, lease, mortgage, deed of trust, note agreement, loan agreement or other agreement, obligation, condition, covenant or instrument to which it is a party or bound or to which its property or assets is subject, or (iii) any statute, law, rule, regulation, judgment, order or decree of any court, regulatory body, administrative agency, governmental body, arbitrator or other authority having jurisdiction over the Company, any of its Subsidiaries or any of their respective properties or assets, as applicable, except, in the case of clauses (ii) and (iii) above, for any such default or violation that would not, individually or in the aggregate, have a Material Adverse Effect.</w:t>
      </w:r>
    </w:p>
    <w:p>
      <w:pPr>
        <w:spacing w:after="0" w:line="178" w:lineRule="exact"/>
        <w:rPr>
          <w:rFonts w:ascii="Times New Roman" w:cs="Times New Roman" w:eastAsia="Times New Roman" w:hAnsi="Times New Roman"/>
          <w:sz w:val="17"/>
          <w:szCs w:val="17"/>
          <w:color w:val="auto"/>
        </w:rPr>
      </w:pPr>
    </w:p>
    <w:p>
      <w:pPr>
        <w:ind w:right="180" w:firstLine="609"/>
        <w:spacing w:after="0" w:line="262" w:lineRule="auto"/>
        <w:tabs>
          <w:tab w:leader="none" w:pos="118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Ernst &amp; Young LLP, whose report on the consolidated financial statements of the Company and the Subsidiaries is included or incorporated by reference in the Registration Statement and the General Disclosure Package, are independent registered public accountants as required by the Securities Act and the rules of the Public Company Accounting Oversight Board (“</w:t>
      </w:r>
      <w:r>
        <w:rPr>
          <w:rFonts w:ascii="Times New Roman" w:cs="Times New Roman" w:eastAsia="Times New Roman" w:hAnsi="Times New Roman"/>
          <w:sz w:val="17"/>
          <w:szCs w:val="17"/>
          <w:b w:val="1"/>
          <w:bCs w:val="1"/>
          <w:u w:val="single" w:color="auto"/>
          <w:color w:val="auto"/>
        </w:rPr>
        <w:t>PCAOB</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firstLine="609"/>
        <w:spacing w:after="0" w:line="262" w:lineRule="auto"/>
        <w:tabs>
          <w:tab w:leader="none" w:pos="11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Placement Shares.</w:t>
      </w:r>
    </w:p>
    <w:p>
      <w:pPr>
        <w:spacing w:after="0" w:line="170" w:lineRule="exact"/>
        <w:rPr>
          <w:rFonts w:ascii="Times New Roman" w:cs="Times New Roman" w:eastAsia="Times New Roman" w:hAnsi="Times New Roman"/>
          <w:sz w:val="17"/>
          <w:szCs w:val="17"/>
          <w:color w:val="auto"/>
        </w:rPr>
      </w:pPr>
    </w:p>
    <w:p>
      <w:pPr>
        <w:ind w:right="40" w:firstLine="609"/>
        <w:spacing w:after="0" w:line="258" w:lineRule="auto"/>
        <w:tabs>
          <w:tab w:leader="none" w:pos="118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described in the Registration Statement and the General Disclosure Package, all material tax returns required to be filed by the Company or any of the Subsidiaries have been filed (subject to permitted extensions), and all material taxes and other assessments of a similar nature (whether imposed directly or through withholding) including any material interest, additions to tax or penalties applicable thereto due or claimed to be due from such entities have been paid, other than those being contested in good faith and for which adequate reserves have been provided.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ind w:left="-20" w:right="60" w:firstLine="609"/>
        <w:spacing w:after="0" w:line="253" w:lineRule="auto"/>
        <w:tabs>
          <w:tab w:leader="none" w:pos="116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labor dispute with the employees of the Company or any of its Subsidiaries exists or, to the Company’s knowledge, is threatened or imminent, and the Company is not aware of any existing, threatened or imminent labor disturbance by the employees of any of its or any of its Subsidiaries’ principal suppliers, manufacturers, contractors or customers, in each case that would have a Material Adverse Effect. None of the employees of the Company or any of its Subsidiaries is represented by a union and, to the knowledge of the Company, no union organizing activities are taking place. Neither the Company nor any of its Subsidiaries has violated (or received notice of any violation of) any federal, state or local law or foreign law relating to the discrimination in hiring, promotion or pay of employees, nor any applicable wage or hour laws, or the rules and regulations thereunder, or analogous foreign laws and regulations, which would, individually or in the aggregate, reasonably be expected to result in a Material Adverse Effect.</w:t>
      </w:r>
    </w:p>
    <w:p>
      <w:pPr>
        <w:spacing w:after="0" w:line="178" w:lineRule="exact"/>
        <w:rPr>
          <w:rFonts w:ascii="Times New Roman" w:cs="Times New Roman" w:eastAsia="Times New Roman" w:hAnsi="Times New Roman"/>
          <w:sz w:val="17"/>
          <w:szCs w:val="17"/>
          <w:color w:val="auto"/>
        </w:rPr>
      </w:pPr>
    </w:p>
    <w:p>
      <w:pPr>
        <w:ind w:left="-20" w:right="100" w:firstLine="609"/>
        <w:spacing w:after="0" w:line="253" w:lineRule="auto"/>
        <w:tabs>
          <w:tab w:leader="none" w:pos="1197"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the Subsidiaries maintain insurance covering their respective properties, operations, personnel and businesses as the Company reasonably deems adequate; such insurance insures against such losses and risks in accordance with customary industry practice to protect the Company and the Subsidiaries and their respective businesses and which is commercially reasonably for the current conduct of their respective businesses; to the Company’s knowledge, all such insurance is fully in force on the date hereof and is expected to be fully in force at each time of purchase, if any; neither the Company nor any Subsidiary has reason to believe that it will not be able to (i) renew any such insurance as and when such insurance expires or (ii) obtain comparable coverage from similar institutions as may be necessary or appropriate to conduct its business as now conducted at a cost that would not, individually or in the aggregate, reasonably be expected to result in any Material Adverse Effect.</w:t>
      </w:r>
    </w:p>
    <w:p>
      <w:pPr>
        <w:spacing w:after="0" w:line="178" w:lineRule="exact"/>
        <w:rPr>
          <w:sz w:val="20"/>
          <w:szCs w:val="20"/>
          <w:color w:val="auto"/>
        </w:rPr>
      </w:pPr>
    </w:p>
    <w:p>
      <w:pPr>
        <w:ind w:left="-20" w:right="200" w:firstLine="609"/>
        <w:spacing w:after="0" w:line="270" w:lineRule="auto"/>
        <w:tabs>
          <w:tab w:leader="none" w:pos="1188"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nor the Subsidiaries own any real property; the Company and each of the Subsidiaries have good and marketable title to all tangible personal property described in the Registration Statement and the General Disclosure Package as being owned by any of them, free and clear of all liens, claims, security interests or other encumbrances, except those that do not materially interfere with the use or proposed use of such property by the Company or a Subsidiary, respectively, or as would not materially or adversely affect the value of such property; all the property described in the Registration Statement and the General Disclosure Package as being held under lease by the Company or a Subsidiary is held thereby under valid, subsisting and enforceable leases, except where such failure to hold such property would not, individually or in the aggregate, reasonably be expected to have a Material Adverse Effect and except that the enforcement thereof may be subject to (i) bankruptcy, insolvency, reorganization, receivership, moratorium, fraudulent conveyance or other similar laws relating to creditor’s rights generally and (ii) general principles of equity and the discretion of the court before which any proceeding therefor may be brought.</w:t>
      </w:r>
    </w:p>
    <w:p>
      <w:pPr>
        <w:spacing w:after="0" w:line="167" w:lineRule="exact"/>
        <w:rPr>
          <w:rFonts w:ascii="Times New Roman" w:cs="Times New Roman" w:eastAsia="Times New Roman" w:hAnsi="Times New Roman"/>
          <w:sz w:val="16"/>
          <w:szCs w:val="16"/>
          <w:color w:val="auto"/>
        </w:rPr>
      </w:pPr>
    </w:p>
    <w:p>
      <w:pPr>
        <w:ind w:left="-20" w:firstLine="609"/>
        <w:spacing w:after="0" w:line="254" w:lineRule="auto"/>
        <w:tabs>
          <w:tab w:leader="none" w:pos="1164"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possess and are operating in compliance with such valid and current material certificates, authorizations or permits required by United States federal, state or foreign regulatory agencies or bodies to conduct their respective businesses as currently conducted and as described in the Registration Statement and the General Disclosure Package (collectively, “</w:t>
      </w:r>
      <w:r>
        <w:rPr>
          <w:rFonts w:ascii="Times New Roman" w:cs="Times New Roman" w:eastAsia="Times New Roman" w:hAnsi="Times New Roman"/>
          <w:sz w:val="17"/>
          <w:szCs w:val="17"/>
          <w:b w:val="1"/>
          <w:bCs w:val="1"/>
          <w:u w:val="single" w:color="auto"/>
          <w:color w:val="auto"/>
        </w:rPr>
        <w:t>Permits</w:t>
      </w:r>
      <w:r>
        <w:rPr>
          <w:rFonts w:ascii="Times New Roman" w:cs="Times New Roman" w:eastAsia="Times New Roman" w:hAnsi="Times New Roman"/>
          <w:sz w:val="17"/>
          <w:szCs w:val="17"/>
          <w:color w:val="auto"/>
        </w:rPr>
        <w:t>”). Neither the Company nor any of its Subsidiaries is in violation of, or in default under, any of the Permits or has received any written notice of proceedings relating to the revocation or modification of, or non-compliance with, any such certificate, authorization or permit, which, individually or in the aggregate, if the subject of an unfavorable decision, ruling or finding, could reasonably be expected to result in a Material Adverse Effect.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80" w:name="page81"/>
    <w:bookmarkEnd w:id="80"/>
    <w:p>
      <w:pPr>
        <w:ind w:right="60" w:firstLine="609"/>
        <w:spacing w:after="0" w:line="253" w:lineRule="auto"/>
        <w:tabs>
          <w:tab w:leader="none" w:pos="120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General Disclosure Package fairly presents the information called for in all material respects and is prepared in accordance with the Commission’s rules and guidelines applicable thereto.</w:t>
      </w:r>
    </w:p>
    <w:p>
      <w:pPr>
        <w:spacing w:after="0" w:line="178" w:lineRule="exact"/>
        <w:rPr>
          <w:rFonts w:ascii="Times New Roman" w:cs="Times New Roman" w:eastAsia="Times New Roman" w:hAnsi="Times New Roman"/>
          <w:sz w:val="17"/>
          <w:szCs w:val="17"/>
          <w:color w:val="auto"/>
        </w:rPr>
      </w:pPr>
    </w:p>
    <w:p>
      <w:pPr>
        <w:ind w:firstLine="609"/>
        <w:spacing w:after="0" w:line="251" w:lineRule="auto"/>
        <w:tabs>
          <w:tab w:leader="none" w:pos="118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each of its Subsidiaries have established and maintain disclosure controls and procedures (as defined in Rules 13a-15 and 15d-15 under the Exchange Act), which (i) are designed to ensure that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(ii) have been evaluated by management of the Company for effectiveness as of the end of the Company’s most recent fiscal quarter; and (iii) are effective in all material respects to perform the functions for which they were established. Except as disclosed in the Registration Statement and the General Disclosure Package, since the end of the Company’s most recent audited fiscal year, there has been no material weakness in the Company’s internal control over financial reporting (whether or not remediated) and no change in the Company’s internal control over financial reporting, including any corrective actions with regard to significant deficiencies or material weaknesses.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4" w:lineRule="exact"/>
        <w:rPr>
          <w:rFonts w:ascii="Times New Roman" w:cs="Times New Roman" w:eastAsia="Times New Roman" w:hAnsi="Times New Roman"/>
          <w:sz w:val="17"/>
          <w:szCs w:val="17"/>
          <w:color w:val="auto"/>
        </w:rPr>
      </w:pPr>
    </w:p>
    <w:p>
      <w:pPr>
        <w:ind w:right="100" w:firstLine="609"/>
        <w:spacing w:after="0" w:line="255" w:lineRule="auto"/>
        <w:tabs>
          <w:tab w:leader="none" w:pos="120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nor to the knowledge of the Company, any of its or their respective directors, officers or controlling persons has taken, directly or indirectly, without giving effect to any actions taken by the Agent, (i) any action designed to or that might constitute or reasonably be expected to cause or result in, under the Exchange Act or otherwise, stabilization or manipulation of the price of any security of the Company to facilitate the sale or resale of the Placement Shares or (ii) any action designed to or that might constitute or reasonably be expected to cause or result in a violation of Regulation M under the Exchange Act.</w:t>
      </w:r>
    </w:p>
    <w:p>
      <w:pPr>
        <w:spacing w:after="0" w:line="177" w:lineRule="exact"/>
        <w:rPr>
          <w:rFonts w:ascii="Times New Roman" w:cs="Times New Roman" w:eastAsia="Times New Roman" w:hAnsi="Times New Roman"/>
          <w:sz w:val="17"/>
          <w:szCs w:val="17"/>
          <w:color w:val="auto"/>
        </w:rPr>
      </w:pPr>
    </w:p>
    <w:p>
      <w:pPr>
        <w:ind w:right="20" w:firstLine="609"/>
        <w:spacing w:after="0" w:line="251" w:lineRule="auto"/>
        <w:tabs>
          <w:tab w:leader="none" w:pos="120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Subsidiaries are in compliance with, and hold all permits, authorizations and approvals required under, Environmental Laws (as defined below), except to the extent that failure to so comply or to hold such permits, authorizations or approvals would not, individually or in the aggregate, reasonably be expected to have a Material Adverse Effect; the Company and the Subsidiaries are not aware of any non-compliance with Environmental Laws, any past or present events, conditions, activities, practices, actions, omissions or plans that could reasonably be expected to result in non-compliance with Environmental Laws or any current liabilities under Environmental Laws, that could individually or in the aggregate, reasonably be expected to have a Material Adverse Effect; the Company and the Subsidiaries (i) are not the subject of any investigation known to the Company, (ii) have not received any notice or claim, (iii) are not a party to any pending or, to the Company’s knowledge, threatened action, suit or proceeding, (iv) are not bound by any judgment, decree or order or (v) have not entered into any agreement, in each case relating to any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7"/>
          <w:szCs w:val="17"/>
          <w:b w:val="1"/>
          <w:bCs w:val="1"/>
          <w:u w:val="single" w:color="auto"/>
          <w:color w:val="auto"/>
        </w:rPr>
        <w:t>Environmental Law</w:t>
      </w:r>
      <w:r>
        <w:rPr>
          <w:rFonts w:ascii="Times New Roman" w:cs="Times New Roman" w:eastAsia="Times New Roman" w:hAnsi="Times New Roman"/>
          <w:sz w:val="17"/>
          <w:szCs w:val="17"/>
          <w:color w:val="auto"/>
        </w:rPr>
        <w:t>” means any federal, state, local or foreign law, statute, ordinance, rule, regulation, order, decree, judgment, injunction, permit, license, authorization or other legal requirement relating to health, safety or the protection, cleanup or restoration of the environment or natural resources, including those relating to the distribution, processing, generation, treatment, storage, disposal, transportation, other handling or release or threatened release of Hazardous Materials, and “</w:t>
      </w:r>
      <w:r>
        <w:rPr>
          <w:rFonts w:ascii="Times New Roman" w:cs="Times New Roman" w:eastAsia="Times New Roman" w:hAnsi="Times New Roman"/>
          <w:sz w:val="17"/>
          <w:szCs w:val="17"/>
          <w:b w:val="1"/>
          <w:bCs w:val="1"/>
          <w:u w:val="single" w:color="auto"/>
          <w:color w:val="auto"/>
        </w:rPr>
        <w:t>Hazardous Materials</w:t>
      </w:r>
      <w:r>
        <w:rPr>
          <w:rFonts w:ascii="Times New Roman" w:cs="Times New Roman" w:eastAsia="Times New Roman" w:hAnsi="Times New Roman"/>
          <w:sz w:val="17"/>
          <w:szCs w:val="17"/>
          <w:color w:val="auto"/>
        </w:rPr>
        <w:t>” means any material (including, without limitation, pollutants, contaminants, hazardous or toxic substances or wastes) that is regulated by or may give rise to liability under any Environmental Law).</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ind w:left="-20" w:firstLine="609"/>
        <w:spacing w:after="0" w:line="251" w:lineRule="auto"/>
        <w:tabs>
          <w:tab w:leader="none" w:pos="116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matters which would not, individually or in the aggregate, reasonably be expected to have a Material Adverse Effect, each “employee benefit plan” (within the meaning of Section 3(3) of the Employee Retirement Income Security Act of 1974, as amended, including the regulations and published interpretations thereunder (“</w:t>
      </w:r>
      <w:r>
        <w:rPr>
          <w:rFonts w:ascii="Times New Roman" w:cs="Times New Roman" w:eastAsia="Times New Roman" w:hAnsi="Times New Roman"/>
          <w:sz w:val="17"/>
          <w:szCs w:val="17"/>
          <w:b w:val="1"/>
          <w:bCs w:val="1"/>
          <w:u w:val="single" w:color="auto"/>
          <w:color w:val="auto"/>
        </w:rPr>
        <w:t>ERISA</w:t>
      </w:r>
      <w:r>
        <w:rPr>
          <w:rFonts w:ascii="Times New Roman" w:cs="Times New Roman" w:eastAsia="Times New Roman" w:hAnsi="Times New Roman"/>
          <w:sz w:val="17"/>
          <w:szCs w:val="17"/>
          <w:color w:val="auto"/>
        </w:rPr>
        <w:t>”)) for which the Company or any member of its “Controlled Group” (defined as any organization that is a member of a controlled group of corporations within the meaning of Section 414 of the Internal Revenue Code of 1986, as amended (the “</w:t>
      </w:r>
      <w:r>
        <w:rPr>
          <w:rFonts w:ascii="Times New Roman" w:cs="Times New Roman" w:eastAsia="Times New Roman" w:hAnsi="Times New Roman"/>
          <w:sz w:val="17"/>
          <w:szCs w:val="17"/>
          <w:b w:val="1"/>
          <w:bCs w:val="1"/>
          <w:u w:val="single" w:color="auto"/>
          <w:color w:val="auto"/>
        </w:rPr>
        <w:t>Code</w:t>
      </w:r>
      <w:r>
        <w:rPr>
          <w:rFonts w:ascii="Times New Roman" w:cs="Times New Roman" w:eastAsia="Times New Roman" w:hAnsi="Times New Roman"/>
          <w:sz w:val="17"/>
          <w:szCs w:val="17"/>
          <w:color w:val="auto"/>
        </w:rPr>
        <w:t>”), including its subsidiaries, would have liability (each, a “</w:t>
      </w:r>
      <w:r>
        <w:rPr>
          <w:rFonts w:ascii="Times New Roman" w:cs="Times New Roman" w:eastAsia="Times New Roman" w:hAnsi="Times New Roman"/>
          <w:sz w:val="17"/>
          <w:szCs w:val="17"/>
          <w:b w:val="1"/>
          <w:bCs w:val="1"/>
          <w:u w:val="single" w:color="auto"/>
          <w:color w:val="auto"/>
        </w:rPr>
        <w:t>Plan</w:t>
      </w:r>
      <w:r>
        <w:rPr>
          <w:rFonts w:ascii="Times New Roman" w:cs="Times New Roman" w:eastAsia="Times New Roman" w:hAnsi="Times New Roman"/>
          <w:sz w:val="17"/>
          <w:szCs w:val="17"/>
          <w:color w:val="auto"/>
        </w:rPr>
        <w:t>”) is in compliance in all material respects with all presently applicable statutes, rules and regulations, including ERISA and the Code; (ii) with respect to each Plan subject to Title IV of ERISA (a) no “reportable event” (as defined in Section 4043 of ERISA) has occurred for which the Company or any member of its Controlled Group would have any liability; and (b) neither the Company nor any member of its Controlled Group has incurred or expects to incur liability under Title IV of ERISA (other than for contributions to the Plan or premiums payable to the Pension Benefit Guaranty Corporation, in each case in the ordinary course and without default); (iii) no Plan which is subject to Section 412 of the Code or Section 302 of ERISA has failed to satisfy the minimum funding standard within the meaning of such sections of the Code or ERISA; and (iv) each Plan that is intended to be qualified under Section 401(a) of the Code is so qualified and nothing has occurred, whether by action or by failure to act, which would reasonably be expected to cause the loss of such qualification.</w:t>
      </w:r>
    </w:p>
    <w:p>
      <w:pPr>
        <w:spacing w:after="0" w:line="182" w:lineRule="exact"/>
        <w:rPr>
          <w:rFonts w:ascii="Times New Roman" w:cs="Times New Roman" w:eastAsia="Times New Roman" w:hAnsi="Times New Roman"/>
          <w:sz w:val="17"/>
          <w:szCs w:val="17"/>
          <w:color w:val="auto"/>
        </w:rPr>
      </w:pPr>
    </w:p>
    <w:p>
      <w:pPr>
        <w:ind w:left="-20" w:right="40" w:firstLine="609"/>
        <w:spacing w:after="0" w:line="258" w:lineRule="auto"/>
        <w:tabs>
          <w:tab w:leader="none" w:pos="116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taken all actions reasonably necessary to ensure compliance with, and there is and has been no failure on the part of the Company and, to the Company’s knowledge, any of the Company’s directors or officers, in their capacities as such, to comply with, any applicable provision of the Sarbanes-Oxley Act of 2002 and all applicable rules and regulations promulgated thereunder or implementing the provisions thereof (the “</w:t>
      </w:r>
      <w:r>
        <w:rPr>
          <w:rFonts w:ascii="Times New Roman" w:cs="Times New Roman" w:eastAsia="Times New Roman" w:hAnsi="Times New Roman"/>
          <w:sz w:val="17"/>
          <w:szCs w:val="17"/>
          <w:b w:val="1"/>
          <w:bCs w:val="1"/>
          <w:u w:val="single" w:color="auto"/>
          <w:color w:val="auto"/>
        </w:rPr>
        <w:t>Sarbanes-Oxley Act</w:t>
      </w:r>
      <w:r>
        <w:rPr>
          <w:rFonts w:ascii="Times New Roman" w:cs="Times New Roman" w:eastAsia="Times New Roman" w:hAnsi="Times New Roman"/>
          <w:sz w:val="17"/>
          <w:szCs w:val="17"/>
          <w:color w:val="auto"/>
        </w:rPr>
        <w:t>”) and the applicable rules and regulations promulgated in connection therewith, including Section 402 relating to loans.</w:t>
      </w:r>
    </w:p>
    <w:p>
      <w:pPr>
        <w:spacing w:after="0" w:line="172" w:lineRule="exact"/>
        <w:rPr>
          <w:rFonts w:ascii="Times New Roman" w:cs="Times New Roman" w:eastAsia="Times New Roman" w:hAnsi="Times New Roman"/>
          <w:sz w:val="17"/>
          <w:szCs w:val="17"/>
          <w:color w:val="auto"/>
        </w:rPr>
      </w:pPr>
    </w:p>
    <w:p>
      <w:pPr>
        <w:ind w:left="-20" w:right="60" w:firstLine="609"/>
        <w:spacing w:after="0" w:line="252" w:lineRule="auto"/>
        <w:tabs>
          <w:tab w:leader="none" w:pos="117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of the Subsidiaries or any of their respective officers or directors or, to the knowledge of the Company, any agent, employee or controlled affiliate of the Company or any of the Subsidiaries (i) has, directly or indirectly, made, offered, promised, or authorized the unlawful payment or provision of anything of value to any foreign or domestic government official or employee, including of any government-owned or controlled entity or of any public international organization, or any person acting in an official capacity for or on behalf of any of the foregoing, or any political party or party official or candidate for political office, or (ii) is aware of or has taken any action, directly or indirectly, that would result in a violation by such persons of the U.S. Foreign Corrupt Practices Act of 1977, as amended, and the rules and regulations thereunder, or any other applicable anti-bribery or anti-corruption law; the Company, the Subsidiaries and, to the knowledge of the Company, its controlled affiliates have instituted and maintain policies and procedures designed to ensure continued compliance therewith.</w:t>
      </w:r>
    </w:p>
    <w:p>
      <w:pPr>
        <w:spacing w:after="0" w:line="181" w:lineRule="exact"/>
        <w:rPr>
          <w:rFonts w:ascii="Times New Roman" w:cs="Times New Roman" w:eastAsia="Times New Roman" w:hAnsi="Times New Roman"/>
          <w:sz w:val="17"/>
          <w:szCs w:val="17"/>
          <w:color w:val="auto"/>
        </w:rPr>
      </w:pPr>
    </w:p>
    <w:p>
      <w:pPr>
        <w:ind w:left="-20" w:right="20" w:firstLine="609"/>
        <w:spacing w:after="0" w:line="254" w:lineRule="auto"/>
        <w:tabs>
          <w:tab w:leader="none" w:pos="117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operations of the Company and the Subsidiaries are and have been conducted at all times in compliance with applicable financial recordkeeping and reporting requirements of the USA PATRIOT Act, the Bank Secrecy Act of 1970, as amended, the anti-money laundering statutes of all jurisdictions,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7"/>
          <w:szCs w:val="17"/>
          <w:b w:val="1"/>
          <w:bCs w:val="1"/>
          <w:u w:val="single" w:color="auto"/>
          <w:color w:val="auto"/>
        </w:rPr>
        <w:t>Money Laundering Laws</w:t>
      </w:r>
      <w:r>
        <w:rPr>
          <w:rFonts w:ascii="Times New Roman" w:cs="Times New Roman" w:eastAsia="Times New Roman" w:hAnsi="Times New Roman"/>
          <w:sz w:val="17"/>
          <w:szCs w:val="17"/>
          <w:color w:val="auto"/>
        </w:rPr>
        <w:t>”); and no action, suit or proceeding by or before any court or governmental agency, authority or body or any arbitrator or non-governmental authority involving the Company or any of the Subsidiaries with respect to the Money Laundering Laws is pending or, to the Company’s knowledge, threatened.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82" w:name="page83"/>
    <w:bookmarkEnd w:id="82"/>
    <w:p>
      <w:pPr>
        <w:ind w:left="-20" w:firstLine="609"/>
        <w:spacing w:after="0" w:line="250" w:lineRule="auto"/>
        <w:tabs>
          <w:tab w:leader="none" w:pos="116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Company, any of the Subsidiaries or any of their respective officers or directors or, to the knowledge of the Company, any agent, employee or controlled affiliate of the Company or any of the Subsidiaries is currently or has been the subject or target of any sanctions administered or enforced by the Office of Foreign Assets Control of the U.S. Treasury Department, the United Nations Security Council, the European Union, His Majesty’s Treasury or any other relevant sanctions authority (collectively, “</w:t>
      </w:r>
      <w:r>
        <w:rPr>
          <w:rFonts w:ascii="Times New Roman" w:cs="Times New Roman" w:eastAsia="Times New Roman" w:hAnsi="Times New Roman"/>
          <w:sz w:val="17"/>
          <w:szCs w:val="17"/>
          <w:b w:val="1"/>
          <w:bCs w:val="1"/>
          <w:u w:val="single" w:color="auto"/>
          <w:color w:val="auto"/>
        </w:rPr>
        <w:t>Sanctions</w:t>
      </w:r>
      <w:r>
        <w:rPr>
          <w:rFonts w:ascii="Times New Roman" w:cs="Times New Roman" w:eastAsia="Times New Roman" w:hAnsi="Times New Roman"/>
          <w:sz w:val="17"/>
          <w:szCs w:val="17"/>
          <w:color w:val="auto"/>
        </w:rPr>
        <w:t>”), nor, except as disclosed in the Registration Statement and the General Disclosure Package, is the Company or any of its Subsidiaries organized or resident in a country or territory that is the subject of comprehensive Sanctions, including, without limitation, the so-called Donetsk People’s Republic, the so-called Lugansk People’s Republic, the Crimea Region of Ukraine, the non-government controlled areas of the Zaporizhzhia and Kherson Regions, Cuba, Iran, North Korea, and Syria (each, a “</w:t>
      </w:r>
      <w:r>
        <w:rPr>
          <w:rFonts w:ascii="Times New Roman" w:cs="Times New Roman" w:eastAsia="Times New Roman" w:hAnsi="Times New Roman"/>
          <w:sz w:val="17"/>
          <w:szCs w:val="17"/>
          <w:b w:val="1"/>
          <w:bCs w:val="1"/>
          <w:u w:val="single" w:color="auto"/>
          <w:color w:val="auto"/>
        </w:rPr>
        <w:t>Sanctioned Country</w:t>
      </w:r>
      <w:r>
        <w:rPr>
          <w:rFonts w:ascii="Times New Roman" w:cs="Times New Roman" w:eastAsia="Times New Roman" w:hAnsi="Times New Roman"/>
          <w:sz w:val="17"/>
          <w:szCs w:val="17"/>
          <w:color w:val="auto"/>
        </w:rPr>
        <w:t>”), and the Company will not knowingly directly or indirectly use the proceeds of the offering of the Securities contemplated hereby, or lend, contribute or otherwise make available such proceeds to any Subsidiary, joint venture partner or other person or entity (i) to fund or facilitate any activities of or business with any person or country that, at the time of such funding or facilitation, is known to the Company to be the subject of Sanctions or a Sanctioned Country, respectively, or (ii) in any other manner that will result in a violation by any person (including any person participating in the transaction, whether as underwriter, advisor, investor, or otherwise) of Sanctions. Except in connection with the publicly disclosed wind-down of Selecta (RUS) LLC, to the best of the Company’s knowledge, since April 24, 2019, none of the Company or any Subsidiaries has engaged in any direct or indirect dealings or transactions with any person or country that, at the time of such dealing or transaction, was the subject of Sanctions or a Sanctioned Country, respectively.</w:t>
      </w:r>
    </w:p>
    <w:p>
      <w:pPr>
        <w:spacing w:after="0" w:line="188" w:lineRule="exact"/>
        <w:rPr>
          <w:rFonts w:ascii="Times New Roman" w:cs="Times New Roman" w:eastAsia="Times New Roman" w:hAnsi="Times New Roman"/>
          <w:sz w:val="17"/>
          <w:szCs w:val="17"/>
          <w:color w:val="auto"/>
        </w:rPr>
      </w:pPr>
    </w:p>
    <w:p>
      <w:pPr>
        <w:ind w:left="-20" w:firstLine="609"/>
        <w:spacing w:after="0" w:line="249" w:lineRule="auto"/>
        <w:tabs>
          <w:tab w:leader="none" w:pos="1174"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Registration Statement and the General Disclosure Package, the Company and the Subsidiaries own, or have obtained valid and enforceable licenses for, or other rights to use, the patent applications, patents, trademarks, trademark registrations, tradenames, service marks, copyrights, trade secrets and other unpatented or unpatentable proprietary information necessary for, or used in the conduct, or the proposed conduct, of the business of the Company and its Subsidiaries taken as a whole in the manner described in the Registration Statement and the General Disclosure Package (collectively, “</w:t>
      </w:r>
      <w:r>
        <w:rPr>
          <w:rFonts w:ascii="Times New Roman" w:cs="Times New Roman" w:eastAsia="Times New Roman" w:hAnsi="Times New Roman"/>
          <w:sz w:val="17"/>
          <w:szCs w:val="17"/>
          <w:b w:val="1"/>
          <w:bCs w:val="1"/>
          <w:u w:val="single" w:color="auto"/>
          <w:color w:val="auto"/>
        </w:rPr>
        <w:t>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Property</w:t>
      </w:r>
      <w:r>
        <w:rPr>
          <w:rFonts w:ascii="Times New Roman" w:cs="Times New Roman" w:eastAsia="Times New Roman" w:hAnsi="Times New Roman"/>
          <w:sz w:val="17"/>
          <w:szCs w:val="17"/>
          <w:color w:val="auto"/>
        </w:rPr>
        <w:t>”), except as such failure to own or obtain rights would not result in a Material Adverse Effect; except as disclosed in the Registration Statement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General Disclosure Package (i) to the knowledge of the Company, there are no third parties who have any ownership rights in or to any Intellectual Property that is owned by the Company, and, to the knowledge of the Company, no third party has any ownership right in or to any Intellectual Property in any field of use that is exclusively licensed to the Company, other than the licensor to the Company of such Intellectual Property; (ii) the Company has not received written notice of any material infringement by third parties of any Intellectual Property; (iii) there is no pending or, to the Company’s knowledge, threatened action, suit, proceeding or claim by others alleging that the Company is infringing, misappropriating, diluting or otherwise violating any rights of others with respect to any Intellectual Property; (iv) there is no pending or, to the Company’s knowledge, threatened action, suit, proceeding or claim by others challenging the validity, enforceability or scope of any of the patent or patent applications owned or exclusively licensed by the Company included in the Intellectual Property; (v) the Company has not received written notice of any claim of material infringement with any asserted rights of others with respect to any of the Company’s products, proposed products, processes or Intellectual Property; (vi) except as would not reasonably be expected to result in a Material Adverse Effect, the development, sale and any currently proposed use of any of the products, proposed products or processes of the Company referred to in the Registration Statement and the General Disclosure Package, in the current or proposed conduct of the businesses of the Company in the manner and to the extent described in the Registration Statement and the General Disclosure Package, do not currently, and will not upon commercialization, infringe any right or valid patent claim of any third party; (vii) to the knowledge of the Company, the parties prosecuting the patents and patent applications owned or licensed to the Company or under which the Company has rights included in the Intellectual Property have complied with their duty of candor and disclosure to the U.S. Patent and Trademark Office (the “</w:t>
      </w:r>
      <w:r>
        <w:rPr>
          <w:rFonts w:ascii="Times New Roman" w:cs="Times New Roman" w:eastAsia="Times New Roman" w:hAnsi="Times New Roman"/>
          <w:sz w:val="17"/>
          <w:szCs w:val="17"/>
          <w:b w:val="1"/>
          <w:bCs w:val="1"/>
          <w:u w:val="single" w:color="auto"/>
          <w:color w:val="auto"/>
        </w:rPr>
        <w:t>USPTO</w:t>
      </w:r>
      <w:r>
        <w:rPr>
          <w:rFonts w:ascii="Times New Roman" w:cs="Times New Roman" w:eastAsia="Times New Roman" w:hAnsi="Times New Roman"/>
          <w:sz w:val="17"/>
          <w:szCs w:val="17"/>
          <w:color w:val="auto"/>
        </w:rPr>
        <w:t>”) in connection with such applications and the Company is not aware of any facts required to be disclosed to the USPTO that were not disclosed to the USPTO and which would preclude the grant of a patent in connection with any such application, or in the view of the Company could form a reasonable basis of a finding of invalidity with respect to any patents that have issued with respect to such applications; (viii) there is no prior art that may render any patent application within the Intellectual Property unpatentable that has not been disclosed to the USPTO or of which the Company is otherwise aware; (ix) the product candidates described in the Registration Statement and the General Disclosure Package as under development by the Company or any Subsidiary fall within the scope of the claims of one or more patents owned by, or exclusively licensed to, the Company or any Subsidiary; and (x) to the Company’s knowledge, there is no patent or published patent application in the U.S. or other jurisdiction which contains claims that dominate or may dominate the Intellectual Property or that interferes with the issued or pending claims of any such Intellectual Property; the description of the Intellectual Property included or incorporated by reference in the Registration Statement and the General Disclosure Package is accurate and complete in all material respects and presents fairly the information purported to be described therein.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83" w:name="page84"/>
    <w:bookmarkEnd w:id="83"/>
    <w:p>
      <w:pPr>
        <w:ind w:left="-80" w:firstLine="609"/>
        <w:spacing w:after="0" w:line="266" w:lineRule="auto"/>
        <w:tabs>
          <w:tab w:leader="none" w:pos="1114"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and the Subsidiaries are, and since January 1, 2017 have been, in compliance with all applicable Health Care Laws (defined below) except where failure to be in compliance would not be expected reasonably to have a Material Adverse Effect. For purposes of this Agreement, “</w:t>
      </w:r>
      <w:r>
        <w:rPr>
          <w:rFonts w:ascii="Times New Roman" w:cs="Times New Roman" w:eastAsia="Times New Roman" w:hAnsi="Times New Roman"/>
          <w:sz w:val="16"/>
          <w:szCs w:val="16"/>
          <w:b w:val="1"/>
          <w:bCs w:val="1"/>
          <w:u w:val="single" w:color="auto"/>
          <w:color w:val="auto"/>
        </w:rPr>
        <w:t>Health Care Laws</w:t>
      </w:r>
      <w:r>
        <w:rPr>
          <w:rFonts w:ascii="Times New Roman" w:cs="Times New Roman" w:eastAsia="Times New Roman" w:hAnsi="Times New Roman"/>
          <w:sz w:val="16"/>
          <w:szCs w:val="16"/>
          <w:color w:val="auto"/>
        </w:rPr>
        <w:t>” means: (i) the Federal Food, Drug, and Cosmetic Act (21 U.S.C. §§ 301 et seq.), the Public Health Service Act (42 U.S.C. §§201 et seq.) and the regulations promulgated thereunder; (ii) all applicable federal, state, local and foreign health care related fraud and abuse laws, including, without limitation, the U.S. Anti-Kickback Statute (42 U.S.C. § 1320a-7b(b)), the U.S. Civil False Claims Act (31 U.S.C. §§ 3729 et seq.), the Federal False Statements Law (42 U.S.C. § 1320a-7b(a)), all criminal laws relating to health care fraud and abuse, including but not limited to 18 U.S.C. §§ 286 and 287, and the health care fraud criminal provisions under the U.S. Health Insurance Portability and Accountability Act of 1996 (“</w:t>
      </w:r>
      <w:r>
        <w:rPr>
          <w:rFonts w:ascii="Times New Roman" w:cs="Times New Roman" w:eastAsia="Times New Roman" w:hAnsi="Times New Roman"/>
          <w:sz w:val="16"/>
          <w:szCs w:val="16"/>
          <w:b w:val="1"/>
          <w:bCs w:val="1"/>
          <w:u w:val="single" w:color="auto"/>
          <w:color w:val="auto"/>
        </w:rPr>
        <w:t>HIPAA</w:t>
      </w:r>
      <w:r>
        <w:rPr>
          <w:rFonts w:ascii="Times New Roman" w:cs="Times New Roman" w:eastAsia="Times New Roman" w:hAnsi="Times New Roman"/>
          <w:sz w:val="16"/>
          <w:szCs w:val="16"/>
          <w:color w:val="auto"/>
        </w:rPr>
        <w:t>”) (42 U.S.C. §§ 1320d et seq.), the Civil Monetary Penalties Law (42 U.S.C. § 1320a-7a), the exclusion laws (42 U.S.C. § 1320a-7), the Medicare statute (Title XVIII of the Social Security Act), and the Medicaid statute (Title XIX of the Social Security Act) and the regulations promulgated pursuant to such statutes; (iii) HIPAA, as amended by the Health Information Technology for Economic and Clinical Health Act (42 U.S.C. Section 17921 et seq.), and the regulations promulgated thereunder; (iv) the U.S. Physician Payments Sunshine Act (42 U.S.C. § 1320a-7h), and the regulations promulgated thereunder; and (v) any and all other applicable health care laws and regulation applicable to the ownership, testing, development, manufacture, packaging, processing, use, distribution, marketing, advertising, labeling, promotion, sale, offer for sale, storage, import, export or disposal of any product under development by the Company. Neither the Company nor the Subsidiaries has received written notice of any claim, action, suit, proceeding, hearing, enforcement, investigation, arbitration or other action from any court or arbitrator or governmental or regulatory authority alleging that any product operation or activity is in material violation of any Health Care Laws, and, to the Company’s knowledge, no such claim, action, suit, proceeding, hearing, enforcement, investigation, arbitration or other action is threatened. Neither the Company nor the Subsidiaries is a party to any corporate integrity agreements, monitoring agreements, consent decrees, settlement orders, or similar agreements with or imposed by any governmental or regulatory authority. Additionally, none of the Company or its Subsidiaries or any of their respective officers or directors or, to the Company’s knowledge, any of their respective employees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 The Company and the Subsidiaries have filed, obtained, maintained or submitted all reports, documents, forms, notices, applications, records, claims, submissions and supplements or amendments as required by the Health Care Laws, and all such reports, documents, forms, notices, applications, records, claims, submissions and supplements or amendments were complete and accurate on the date filed in all material respects (or were corrected or supplemented by a subsequent submission).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38735</wp:posOffset>
            </wp:positionV>
            <wp:extent cx="714057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00"/>
          </w:cols>
          <w:pgMar w:left="400" w:top="123" w:right="399" w:bottom="1440" w:gutter="0" w:footer="0" w:header="0"/>
        </w:sectPr>
      </w:pPr>
    </w:p>
    <w:bookmarkStart w:id="84" w:name="page85"/>
    <w:bookmarkEnd w:id="84"/>
    <w:p>
      <w:pPr>
        <w:ind w:right="20" w:firstLine="609"/>
        <w:spacing w:after="0" w:line="251" w:lineRule="auto"/>
        <w:tabs>
          <w:tab w:leader="none" w:pos="118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preclinical studies and clinical trials conducted by or, to the Company’s knowledge, on behalf of the Company that are described in, or the results of which are referred to in, the Registration Statement and the General Disclosure Package were and, if still pending, are being conducted in all material respects in accordance with applicable local, state and federal laws, rules and regulations, including, but not limited to, the Federal Food, Drug, and Cosmetic Act and its applicable implementing regulations; each description of the results of such studies contained in the Registration Statement and the General Disclosure Package is accurate in all material respects and fairly presents the data derived from such studies, and the Company is not aware of any other studies the results of which the Company believes reasonably call into question the study results described or referred to in the Registration Statement and the General Disclosure Package; and except as disclosed in the Registration Statement and the General Disclosure Package, neither the Company nor any Subsidiary has received any written notices or other written correspondence from the Food and Drug Administration of the U.S. Department of Health and Human Services or any committee thereof or from any other U.S. or foreign government or drug or medical device regulatory agency having jurisdiction over the Company or any of its properties (collectively, the “</w:t>
      </w:r>
      <w:r>
        <w:rPr>
          <w:rFonts w:ascii="Times New Roman" w:cs="Times New Roman" w:eastAsia="Times New Roman" w:hAnsi="Times New Roman"/>
          <w:sz w:val="17"/>
          <w:szCs w:val="17"/>
          <w:b w:val="1"/>
          <w:bCs w:val="1"/>
          <w:u w:val="single" w:color="auto"/>
          <w:color w:val="auto"/>
        </w:rPr>
        <w:t>Regulatory Agencies</w:t>
      </w:r>
      <w:r>
        <w:rPr>
          <w:rFonts w:ascii="Times New Roman" w:cs="Times New Roman" w:eastAsia="Times New Roman" w:hAnsi="Times New Roman"/>
          <w:sz w:val="17"/>
          <w:szCs w:val="17"/>
          <w:color w:val="auto"/>
        </w:rPr>
        <w:t>”) requiring the termination, suspension or material adverse modification of any clinical trials that are described or referred to in the Registration Statement and the General Disclosure Package; and the Company and the Subsidiaries have each operated and currently are in compliance with all applicable rules and regulations of the Regulatory Agencies except where the failure to be in compliance would not be expected reasonably to have a Material Adverse Effect.</w:t>
      </w:r>
    </w:p>
    <w:p>
      <w:pPr>
        <w:spacing w:after="0" w:line="178" w:lineRule="exact"/>
        <w:rPr>
          <w:rFonts w:ascii="Times New Roman" w:cs="Times New Roman" w:eastAsia="Times New Roman" w:hAnsi="Times New Roman"/>
          <w:sz w:val="17"/>
          <w:szCs w:val="17"/>
          <w:color w:val="auto"/>
        </w:rPr>
      </w:pPr>
    </w:p>
    <w:p>
      <w:pPr>
        <w:ind w:firstLine="609"/>
        <w:spacing w:after="0" w:line="250" w:lineRule="auto"/>
        <w:tabs>
          <w:tab w:leader="none" w:pos="118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the Subsidiaries’ information technology assets and equipment, computers, systems, networks, hardware, software, websites, applications, and databases (collectively, “</w:t>
      </w:r>
      <w:r>
        <w:rPr>
          <w:rFonts w:ascii="Times New Roman" w:cs="Times New Roman" w:eastAsia="Times New Roman" w:hAnsi="Times New Roman"/>
          <w:sz w:val="17"/>
          <w:szCs w:val="17"/>
          <w:b w:val="1"/>
          <w:bCs w:val="1"/>
          <w:u w:val="single" w:color="auto"/>
          <w:color w:val="auto"/>
        </w:rPr>
        <w:t>IT Systems</w:t>
      </w:r>
      <w:r>
        <w:rPr>
          <w:rFonts w:ascii="Times New Roman" w:cs="Times New Roman" w:eastAsia="Times New Roman" w:hAnsi="Times New Roman"/>
          <w:sz w:val="17"/>
          <w:szCs w:val="17"/>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the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Data (as defined below) that is in the Company’s possession, and sensitive, confidential or regulated data (collectively, the “</w:t>
      </w:r>
      <w:r>
        <w:rPr>
          <w:rFonts w:ascii="Times New Roman" w:cs="Times New Roman" w:eastAsia="Times New Roman" w:hAnsi="Times New Roman"/>
          <w:sz w:val="17"/>
          <w:szCs w:val="17"/>
          <w:b w:val="1"/>
          <w:bCs w:val="1"/>
          <w:u w:val="single" w:color="auto"/>
          <w:color w:val="auto"/>
        </w:rPr>
        <w:t>Confidential Data</w:t>
      </w:r>
      <w:r>
        <w:rPr>
          <w:rFonts w:ascii="Times New Roman" w:cs="Times New Roman" w:eastAsia="Times New Roman" w:hAnsi="Times New Roman"/>
          <w:sz w:val="17"/>
          <w:szCs w:val="17"/>
          <w:color w:val="auto"/>
        </w:rPr>
        <w:t>”))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Confidential Data and to the protection of such IT Systems and Confidential Data from unauthorized use, access, misappropriation or modification. “</w:t>
      </w:r>
      <w:r>
        <w:rPr>
          <w:rFonts w:ascii="Times New Roman" w:cs="Times New Roman" w:eastAsia="Times New Roman" w:hAnsi="Times New Roman"/>
          <w:sz w:val="17"/>
          <w:szCs w:val="17"/>
          <w:b w:val="1"/>
          <w:bCs w:val="1"/>
          <w:u w:val="single" w:color="auto"/>
          <w:color w:val="auto"/>
        </w:rPr>
        <w:t>Personal Data</w:t>
      </w:r>
      <w:r>
        <w:rPr>
          <w:rFonts w:ascii="Times New Roman" w:cs="Times New Roman" w:eastAsia="Times New Roman" w:hAnsi="Times New Roman"/>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Protected Health Information as defined by HIPAA; (iv) “personal data” as defined by General Data Protection Regulation, and (v) any other piece of information that allows the identification of such natural person.</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5" w:name="page86"/>
    <w:bookmarkEnd w:id="85"/>
    <w:p>
      <w:pPr>
        <w:ind w:right="100" w:firstLine="609"/>
        <w:spacing w:after="0" w:line="255" w:lineRule="auto"/>
        <w:tabs>
          <w:tab w:leader="none" w:pos="1227"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acknowledges and agrees that the Agent has informed the Company that the Agent may, to the extent permitted under the Securities Act and the Exchange Act, purchase and sell shares of Common Stock for its own account while this Agreement is in effect;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except as may be otherwise agreed by the Company and the Agent in writing.</w:t>
      </w:r>
    </w:p>
    <w:p>
      <w:pPr>
        <w:spacing w:after="0" w:line="177" w:lineRule="exact"/>
        <w:rPr>
          <w:rFonts w:ascii="Times New Roman" w:cs="Times New Roman" w:eastAsia="Times New Roman" w:hAnsi="Times New Roman"/>
          <w:sz w:val="17"/>
          <w:szCs w:val="17"/>
          <w:color w:val="auto"/>
        </w:rPr>
      </w:pPr>
    </w:p>
    <w:p>
      <w:pPr>
        <w:ind w:left="1180" w:hanging="571"/>
        <w:spacing w:after="0"/>
        <w:tabs>
          <w:tab w:leader="none" w:pos="11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a party to any agreement with an agent or underwriter for any other “at the market” or continuous equity transaction.</w:t>
      </w:r>
    </w:p>
    <w:p>
      <w:pPr>
        <w:spacing w:after="0" w:line="209" w:lineRule="exact"/>
        <w:rPr>
          <w:rFonts w:ascii="Times New Roman" w:cs="Times New Roman" w:eastAsia="Times New Roman" w:hAnsi="Times New Roman"/>
          <w:sz w:val="17"/>
          <w:szCs w:val="17"/>
          <w:color w:val="auto"/>
        </w:rPr>
      </w:pPr>
    </w:p>
    <w:p>
      <w:pPr>
        <w:ind w:right="20" w:firstLine="609"/>
        <w:spacing w:after="0" w:line="252" w:lineRule="auto"/>
        <w:tabs>
          <w:tab w:leader="none" w:pos="121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FINRA) any member firm of FINRA. No relationship, direct or indirect, exists between or among the Company, on the one hand, and the directors, officers or stockholders of the Company, on the other hand, which is required by the rules of FINRA to be described in the Registration Statement and the General Disclosure Package, which is not so described. All of the information (including, but not limited to, information regarding affiliations, security ownership and trading activity) provided to the Agent or its counsel by the Company, its officers and directors and the holders of any securities (debt or equity) or warrants, options or rights to acquire any securities of the Company in connection with the filing to be made and other supplemental information to be provided to FINRA pursuant to FINRA Rule 5110 in connection with the transactions contemplated by this Agreement is true, complete and correct.</w:t>
      </w:r>
    </w:p>
    <w:p>
      <w:pPr>
        <w:spacing w:after="0" w:line="181" w:lineRule="exact"/>
        <w:rPr>
          <w:rFonts w:ascii="Times New Roman" w:cs="Times New Roman" w:eastAsia="Times New Roman" w:hAnsi="Times New Roman"/>
          <w:sz w:val="17"/>
          <w:szCs w:val="17"/>
          <w:color w:val="auto"/>
        </w:rPr>
      </w:pPr>
    </w:p>
    <w:p>
      <w:pPr>
        <w:ind w:right="140" w:firstLine="609"/>
        <w:spacing w:after="0" w:line="254" w:lineRule="auto"/>
        <w:tabs>
          <w:tab w:leader="none" w:pos="123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close of trading on Nasdaq on November 22, 2024,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7"/>
          <w:szCs w:val="17"/>
          <w:b w:val="1"/>
          <w:bCs w:val="1"/>
          <w:u w:val="single" w:color="auto"/>
          <w:color w:val="auto"/>
        </w:rPr>
        <w:t>Non-Affiliate Shares</w:t>
      </w:r>
      <w:r>
        <w:rPr>
          <w:rFonts w:ascii="Times New Roman" w:cs="Times New Roman" w:eastAsia="Times New Roman" w:hAnsi="Times New Roman"/>
          <w:sz w:val="17"/>
          <w:szCs w:val="17"/>
          <w:color w:val="auto"/>
        </w:rPr>
        <w:t>”), was approximately $199.5 million (calculated by multiplying (x) the price at which the common equity of the Company was last sold on Nasdaq on November 22, 2024 by (y) the number of Non-Affiliate Shares outstanding on November 22, 2024). The Company is not a shell company (as defined in Rule 405) and has not been a shell company for at least 12 calendar months previously.</w:t>
      </w:r>
    </w:p>
    <w:p>
      <w:pPr>
        <w:spacing w:after="0" w:line="177" w:lineRule="exact"/>
        <w:rPr>
          <w:rFonts w:ascii="Times New Roman" w:cs="Times New Roman" w:eastAsia="Times New Roman" w:hAnsi="Times New Roman"/>
          <w:sz w:val="17"/>
          <w:szCs w:val="17"/>
          <w:color w:val="auto"/>
        </w:rPr>
      </w:pPr>
    </w:p>
    <w:p>
      <w:pPr>
        <w:ind w:firstLine="609"/>
        <w:spacing w:after="0" w:line="255" w:lineRule="auto"/>
        <w:tabs>
          <w:tab w:leader="none" w:pos="119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financial or operational projection or other “forward-looking statement” (as defined by Section 27A of the Securities Act or Section 21E of the Exchange Act) contained in the Registration Statement or the General Disclosure Package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77" w:lineRule="exact"/>
        <w:rPr>
          <w:rFonts w:ascii="Times New Roman" w:cs="Times New Roman" w:eastAsia="Times New Roman" w:hAnsi="Times New Roman"/>
          <w:sz w:val="17"/>
          <w:szCs w:val="17"/>
          <w:color w:val="auto"/>
        </w:rPr>
      </w:pPr>
    </w:p>
    <w:p>
      <w:pPr>
        <w:ind w:right="80" w:firstLine="609"/>
        <w:spacing w:after="0" w:line="255" w:lineRule="auto"/>
        <w:tabs>
          <w:tab w:leader="none" w:pos="118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or the General Disclosure Package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6" w:name="page87"/>
    <w:bookmarkEnd w:id="86"/>
    <w:p>
      <w:pPr>
        <w:ind w:left="1180" w:hanging="571"/>
        <w:spacing w:after="0"/>
        <w:tabs>
          <w:tab w:leader="none" w:pos="11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in or subject to a bankruptcy or insolvency proceeding in any jurisdiction.</w:t>
      </w:r>
    </w:p>
    <w:p>
      <w:pPr>
        <w:spacing w:after="0" w:line="210" w:lineRule="exact"/>
        <w:rPr>
          <w:sz w:val="20"/>
          <w:szCs w:val="20"/>
          <w:color w:val="auto"/>
        </w:rPr>
      </w:pPr>
    </w:p>
    <w:p>
      <w:pPr>
        <w:ind w:right="100" w:firstLine="608"/>
        <w:spacing w:after="0" w:line="276" w:lineRule="auto"/>
        <w:rPr>
          <w:sz w:val="20"/>
          <w:szCs w:val="20"/>
          <w:color w:val="auto"/>
        </w:rPr>
      </w:pPr>
      <w:r>
        <w:rPr>
          <w:rFonts w:ascii="Times New Roman" w:cs="Times New Roman" w:eastAsia="Times New Roman" w:hAnsi="Times New Roman"/>
          <w:sz w:val="17"/>
          <w:szCs w:val="17"/>
          <w:color w:val="auto"/>
        </w:rPr>
        <w:t>Any certificate signed by any officer of the Company and delivered to the Agent or its counsel in connection with the offering of the Placement Shares shall be deemed a representation and warranty by the Company, as to matters covered thereby, to the Agent.</w:t>
      </w:r>
    </w:p>
    <w:p>
      <w:pPr>
        <w:spacing w:after="0" w:line="158" w:lineRule="exact"/>
        <w:rPr>
          <w:sz w:val="20"/>
          <w:szCs w:val="20"/>
          <w:color w:val="auto"/>
        </w:rPr>
      </w:pPr>
    </w:p>
    <w:p>
      <w:pPr>
        <w:ind w:left="1200" w:hanging="591"/>
        <w:spacing w:after="0"/>
        <w:tabs>
          <w:tab w:leader="none" w:pos="120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Covenants of the Company</w:t>
      </w:r>
      <w:r>
        <w:rPr>
          <w:rFonts w:ascii="Times New Roman" w:cs="Times New Roman" w:eastAsia="Times New Roman" w:hAnsi="Times New Roman"/>
          <w:sz w:val="17"/>
          <w:szCs w:val="17"/>
          <w:color w:val="auto"/>
        </w:rPr>
        <w:t>. The Company covenants and agrees with the Agent that:</w:t>
      </w:r>
    </w:p>
    <w:p>
      <w:pPr>
        <w:spacing w:after="0" w:line="210" w:lineRule="exact"/>
        <w:rPr>
          <w:sz w:val="20"/>
          <w:szCs w:val="20"/>
          <w:color w:val="auto"/>
        </w:rPr>
      </w:pPr>
    </w:p>
    <w:p>
      <w:pPr>
        <w:ind w:firstLine="609"/>
        <w:spacing w:after="0" w:line="250" w:lineRule="auto"/>
        <w:tabs>
          <w:tab w:leader="none" w:pos="1217"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Amendments</w:t>
      </w:r>
      <w:r>
        <w:rPr>
          <w:rFonts w:ascii="Times New Roman" w:cs="Times New Roman" w:eastAsia="Times New Roman" w:hAnsi="Times New Roman"/>
          <w:sz w:val="17"/>
          <w:szCs w:val="17"/>
          <w:color w:val="auto"/>
        </w:rPr>
        <w:t>. After the date of this Agreement and during any period in which the ATM Prospectus relating to any Placement Shares is required to be delivered by the Agent under the Securities Act (including in circumstances where such requirement may be satisfied pursuant to Rule 172 under the Securities Act or a similar rule): (i) the Company will notify the Agent promptly of the time when any subsequent amendment to the Registration Statement, other than (A) Incorporated Documents and (B) any prospectus supplement filed in connection with an underwritten offering of securities of the Company, has been filed with the Commission and/or has become effective, or any subsequent supplement to the ATM Prospectus, other than Incorporated Documents, has been filed and of any request by the Commission for any amendment or supplement to the Registration Statement or ATM Prospectus or for additional information; (ii) the Company will prepare and file with the Commission, promptly upon the Agent’s request, any amendments or supplements to the Registration Statement or ATM Prospectus that, in the Agent’s reasonable opinion, may be necessary or advisable in connection with the distribution of the Placement Shares by the Agent (provided, however, that the failure of the Agent to make such request shall not relieve the Company of any obligation or liability hereunder, or affect the Agent’s right to rely on the representations and warranties made by the Company in this Agreement and provided, further, that the only remedy the Agent shall have with respect to the failure by the Company to make such filing (but without limiting the Agent’s rights under Section 9 hereof) will be to cease making sales under this Agreement until such amendment or supplement is filed); (iii) the Company will not file any amendment or supplement to the Registration Statement or ATM Prospectus, other than Incorporated Documents, relating to the Placement Shares or a security convertible into or exchangeable or exercisable for the Placement Shares unless a copy thereof has been submitted to the Agent within a period of time sufficient to provide the Agent a reasonable opportunity to comment on any such proposed amendment or supplement before the filing and the Agent has not reasonably objected thereto (provided, however, that the failure of the Agent to make such objection shall not relieve the Company of any obligation or liability hereunder, or affect the Agent’s right to rely on the representations and warranties made by the Company in this Agreement and provided, further, that the only remedy the Agent shall have with respect to the Company’s making such filing notwithstanding the Agent’s objection (but without limiting the Agent’s rights under Section 9 hereof) will be to cease making sales under this Agreement), and the Company will furnish to the Agent at the time of filing thereof a copy of any Incorporated Document, except for those documents available via EDGAR; and (iv) the Company will cause each amendment or supplement to the ATM Prospectus, other than Incorporated Documents, to be filed with the Commission as required pursuant to the applicable paragraph of Rule 424(b) of the Securities Act within the time period prescribed.</w:t>
      </w:r>
    </w:p>
    <w:p>
      <w:pPr>
        <w:spacing w:after="0" w:line="181" w:lineRule="exact"/>
        <w:rPr>
          <w:rFonts w:ascii="Times New Roman" w:cs="Times New Roman" w:eastAsia="Times New Roman" w:hAnsi="Times New Roman"/>
          <w:sz w:val="17"/>
          <w:szCs w:val="17"/>
          <w:color w:val="auto"/>
        </w:rPr>
      </w:pPr>
    </w:p>
    <w:p>
      <w:pPr>
        <w:ind w:right="20" w:firstLine="609"/>
        <w:spacing w:after="0" w:line="253" w:lineRule="auto"/>
        <w:tabs>
          <w:tab w:leader="none" w:pos="118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Commission Stop Orders</w:t>
      </w:r>
      <w:r>
        <w:rPr>
          <w:rFonts w:ascii="Times New Roman" w:cs="Times New Roman" w:eastAsia="Times New Roman" w:hAnsi="Times New Roman"/>
          <w:sz w:val="17"/>
          <w:szCs w:val="17"/>
          <w:color w:val="auto"/>
        </w:rPr>
        <w:t>.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ATM Prospectus or for additional information related to the offering of the Placement Shares or for additional information related to the Registration Statement or the ATM Prospectus.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7" w:name="page88"/>
    <w:bookmarkEnd w:id="87"/>
    <w:p>
      <w:pPr>
        <w:ind w:right="20" w:firstLine="609"/>
        <w:spacing w:after="0" w:line="268" w:lineRule="auto"/>
        <w:tabs>
          <w:tab w:leader="none" w:pos="121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ATM Prospectus; Subsequent Changes</w:t>
      </w:r>
      <w:r>
        <w:rPr>
          <w:rFonts w:ascii="Times New Roman" w:cs="Times New Roman" w:eastAsia="Times New Roman" w:hAnsi="Times New Roman"/>
          <w:sz w:val="16"/>
          <w:szCs w:val="16"/>
          <w:color w:val="auto"/>
        </w:rPr>
        <w:t>. During any period in which the ATM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comply with all requirements imposed upon it by the Securities Act, as from time to time in force, and will file on or before their respective due dates (taking into account any extensions available under the Exchange Act) all reports and any definitive proxy or information statements required to be filed by the Company with the Commission pursuant to Sections 13(a), 13(c), 14 or 15(d) of or under the Exchange Act. If during such period any event occurs as a result of which the ATM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ATM Prospectus to comply with the Securities Act, the Company will promptly notify the Agent to suspend the offering of Placement Shares during such period and the Company will promptly amend or supplement the Registration Statement or ATM Prospectus (at the expense of the Company) so as to correct such statement or omission or effect such compliance. If the Company has omitted any information from the Registration Statement pursuant to Rule 430B under the Securities Act, it will use its best efforts to comply with the provisions thereof and make all requisite filings with the Commission pursuant to Rule 430B and to notify the Agent promptly of all such filings if not available on EDGAR.</w:t>
      </w:r>
    </w:p>
    <w:p>
      <w:pPr>
        <w:spacing w:after="0" w:line="168" w:lineRule="exact"/>
        <w:rPr>
          <w:rFonts w:ascii="Times New Roman" w:cs="Times New Roman" w:eastAsia="Times New Roman" w:hAnsi="Times New Roman"/>
          <w:sz w:val="16"/>
          <w:szCs w:val="16"/>
          <w:color w:val="auto"/>
        </w:rPr>
      </w:pPr>
    </w:p>
    <w:p>
      <w:pPr>
        <w:ind w:right="260" w:firstLine="609"/>
        <w:spacing w:after="0" w:line="258" w:lineRule="auto"/>
        <w:tabs>
          <w:tab w:leader="none" w:pos="118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Listing of Placement Shares</w:t>
      </w:r>
      <w:r>
        <w:rPr>
          <w:rFonts w:ascii="Times New Roman" w:cs="Times New Roman" w:eastAsia="Times New Roman" w:hAnsi="Times New Roman"/>
          <w:sz w:val="17"/>
          <w:szCs w:val="17"/>
          <w:color w:val="auto"/>
        </w:rPr>
        <w:t>. During any period in which the ATM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the Company will use its commercially reasonable efforts to (i) cause the Placement Shares to be listed on Nasdaq and (ii) timely file with Nasdaq all material documents and notices required by Nasdaq.</w:t>
      </w:r>
    </w:p>
    <w:p>
      <w:pPr>
        <w:spacing w:after="0" w:line="172" w:lineRule="exact"/>
        <w:rPr>
          <w:rFonts w:ascii="Times New Roman" w:cs="Times New Roman" w:eastAsia="Times New Roman" w:hAnsi="Times New Roman"/>
          <w:sz w:val="17"/>
          <w:szCs w:val="17"/>
          <w:color w:val="auto"/>
        </w:rPr>
      </w:pPr>
    </w:p>
    <w:p>
      <w:pPr>
        <w:ind w:firstLine="609"/>
        <w:spacing w:after="0" w:line="270" w:lineRule="auto"/>
        <w:tabs>
          <w:tab w:leader="none" w:pos="1217"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Delivery of Registration Statement and ATM Prospectus</w:t>
      </w:r>
      <w:r>
        <w:rPr>
          <w:rFonts w:ascii="Times New Roman" w:cs="Times New Roman" w:eastAsia="Times New Roman" w:hAnsi="Times New Roman"/>
          <w:sz w:val="16"/>
          <w:szCs w:val="16"/>
          <w:color w:val="auto"/>
        </w:rPr>
        <w:t xml:space="preserve">. The Company will furnish to the Agent and its counsel (at the expense of the Company) copies of the Registration Statement, the ATM Prospectus (including all Incorporated Documents) and all amendments and supplements to the Registration Statement or ATM Prospectus that are filed with the Commission during any period in which the ATM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a similar rule) (including all Incorporated Documents filed with the Commission during such period), in each case as soon as reasonably practicable and in such quantities as the Agent may from time to time reasonably request and, at the Agent’s request, will also furnish copies of the ATM Prospectus to each exchange or market on which sales of the Placement Shares may be made;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not be required to furnish any document (other than the ATM Prospectus but excluding the Incorporated Documents) to the Agent to the extent such document is available on EDGAR.</w:t>
      </w:r>
    </w:p>
    <w:p>
      <w:pPr>
        <w:spacing w:after="0" w:line="167" w:lineRule="exact"/>
        <w:rPr>
          <w:rFonts w:ascii="Times New Roman" w:cs="Times New Roman" w:eastAsia="Times New Roman" w:hAnsi="Times New Roman"/>
          <w:sz w:val="16"/>
          <w:szCs w:val="16"/>
          <w:color w:val="auto"/>
        </w:rPr>
      </w:pPr>
    </w:p>
    <w:p>
      <w:pPr>
        <w:ind w:right="580" w:firstLine="609"/>
        <w:spacing w:after="0" w:line="276" w:lineRule="auto"/>
        <w:tabs>
          <w:tab w:leader="none" w:pos="119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Earnings Statement</w:t>
      </w:r>
      <w:r>
        <w:rPr>
          <w:rFonts w:ascii="Times New Roman" w:cs="Times New Roman" w:eastAsia="Times New Roman" w:hAnsi="Times New Roman"/>
          <w:sz w:val="17"/>
          <w:szCs w:val="17"/>
          <w:color w:val="auto"/>
        </w:rPr>
        <w:t>. The Company will make generally available to its security holders and to the Agent as soon as practicable, an earnings statement covering a 12-month period that satisfies the provisions of Section 11(a) of and Rule 158 under the Securities Act.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8" w:name="page89"/>
    <w:bookmarkEnd w:id="88"/>
    <w:p>
      <w:pPr>
        <w:ind w:firstLine="609"/>
        <w:spacing w:after="0" w:line="250" w:lineRule="auto"/>
        <w:tabs>
          <w:tab w:leader="none" w:pos="118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The Company, whether or not the transactions contemplated hereunder are consummated or this Agreement is terminated in accordance with the provisions of Section 11 hereunder, will pay all expenses incident to the performance of its obligations hereunder, including expenses relating to (i) the preparation, printing and filing of the Registration Statement and each amendment and supplement thereto, of the ATM Prospectus and of each amendment and supplement thereto and of this Agreement and such other documents as may be required in connection with the offering, purchase, sale, issuance or delivery of the Placement Shares, (ii) the preparation, issuance, sale and delivery of the Placement Shares and any taxes due or payable in connection therewith, (iii) the qualification of the Placement Shares under securities laws in accordance with the provisions of Section 7(u) of this Agreement, including filing fees (provided, however, that any fees or disbursements of counsel for the Agent in connection therewith shall be paid by the Agent except as set forth in clauses (vii) and (viii) below), (iv) the printing and delivery to the Agent and its counsel of copies of the ATM Prospectus and any amendments or supplements thereto, and of this Agreement, (v) the fees and expenses incurred in connection with the listing or qualification of the Placement Shares for trading on Nasdaq, (vi) the filing fees and expenses, if any, owed to the Commission or FINRA and the fees and expenses of any transfer agent or registrar for the Placement Shares, (vii) the reasonable and documented fees and associated expenses of the Agent’s outside legal counsel for filings with the FINRA Corporate Financing Department in an amount not to exceed $15,000 (excluding FINRA filing fees referred to in clause (vi) above and in addition to the fees and disbursements referred to in clause (viii) below), and (viii) the reasonable fees and disbursements of the Agent’s outside legal counsel (A) in an amount not to exceed $75,000 arising out of executing this Agreement and the Company’s delivery of the initial certificate pursuant to Section 7(m) and (B) in an amount not to exceed $25,000 in connection with each Representation Date (as defined below) involving the filing of a Form 10-K (including any Form 10-K/A containing amended financial information or a material amendment to the previously filed Form 10-K) on which the Company is required to provide a certificate pursuant to Section 7(m) (in addition to the fees and associated expenses referred to in clause (vii) above) and (C) in an amount not to exceed $15,000 in connection with each other Representation Date on which the Company is required to provide a certificate pursuant to Section 7(m).</w:t>
      </w:r>
    </w:p>
    <w:p>
      <w:pPr>
        <w:spacing w:after="0" w:line="184" w:lineRule="exact"/>
        <w:rPr>
          <w:rFonts w:ascii="Times New Roman" w:cs="Times New Roman" w:eastAsia="Times New Roman" w:hAnsi="Times New Roman"/>
          <w:sz w:val="17"/>
          <w:szCs w:val="17"/>
          <w:color w:val="auto"/>
        </w:rPr>
      </w:pPr>
    </w:p>
    <w:p>
      <w:pPr>
        <w:ind w:left="1180" w:hanging="571"/>
        <w:spacing w:after="0"/>
        <w:tabs>
          <w:tab w:leader="none" w:pos="11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Company will use the Net Proceeds as described in the ATM Prospectus in the section entitled “Use of Proceeds.”</w:t>
      </w:r>
    </w:p>
    <w:p>
      <w:pPr>
        <w:spacing w:after="0" w:line="209" w:lineRule="exact"/>
        <w:rPr>
          <w:rFonts w:ascii="Times New Roman" w:cs="Times New Roman" w:eastAsia="Times New Roman" w:hAnsi="Times New Roman"/>
          <w:sz w:val="17"/>
          <w:szCs w:val="17"/>
          <w:color w:val="auto"/>
        </w:rPr>
      </w:pPr>
    </w:p>
    <w:p>
      <w:pPr>
        <w:ind w:right="20" w:firstLine="609"/>
        <w:spacing w:after="0" w:line="250" w:lineRule="auto"/>
        <w:tabs>
          <w:tab w:leader="none" w:pos="118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Other Sales</w:t>
      </w:r>
      <w:r>
        <w:rPr>
          <w:rFonts w:ascii="Times New Roman" w:cs="Times New Roman" w:eastAsia="Times New Roman" w:hAnsi="Times New Roman"/>
          <w:sz w:val="17"/>
          <w:szCs w:val="17"/>
          <w:color w:val="auto"/>
        </w:rPr>
        <w:t xml:space="preserve">. Without the prior written consent of the Agent, the Company will not, directly or indirectly,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during the period beginning on the second Trading Day immediately prior to the date on which any Placement Notice is delivered to Agent hereunder and ending on the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offering” or continuous equity transaction offer to sell, sell, contract to sell, grant any option to sell or otherwise dispose of any shares of Common Stock (other than the Placement Shares offered pursuant to this Agreement) or securities convertible into or exchangeable or exercisable for shares of Common Stock, warrants or any rights to purchase or acquire, shares of Common Stock prior to the later of the termination of this Agreement and the sixtieth day immediately following the final Settlement Date with respect to Placement Shares sold pursuant to such Placement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restrictions will not be required in connection with the Company’s issuance or sale of (i) shares of Common Stock, options to purchase shares of Common Stock, other securities under the Company’s existing equity incentive plans, or shares of Common Stock issuable upon the exercise of options or vesting of other securities, pursuant to any employee or director stock option or benefits plan, stock ownership plan or dividend reinvestment plan (but not shares of Common Stock subject to a waiver to exceed plan limits in its dividend reinvestment plan) of the Company whether now in effect or hereafter implemented, (ii) shares of Common Stock issuable upon conversion of securities, including the Company’s outstanding preferred stock, or the exercise of warrants, options or other rights in effect or outstanding, and disclosed in filings by the Company available on EDGAR or otherwise in writing to the Agent and (iii) shares of Common Stock or securities convertible into or exchangeable for shares of Common Stock as consideration for mergers, acquisitions, other business combinations or strategic alliances occurring after the date of this Agreement which are not issued primarily for capital raising purposes.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9" w:name="page90"/>
    <w:bookmarkEnd w:id="89"/>
    <w:p>
      <w:pPr>
        <w:ind w:firstLine="609"/>
        <w:spacing w:after="0" w:line="262" w:lineRule="auto"/>
        <w:tabs>
          <w:tab w:leader="none" w:pos="118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Circumstances</w:t>
      </w:r>
      <w:r>
        <w:rPr>
          <w:rFonts w:ascii="Times New Roman" w:cs="Times New Roman" w:eastAsia="Times New Roman" w:hAnsi="Times New Roman"/>
          <w:sz w:val="17"/>
          <w:szCs w:val="17"/>
          <w:color w:val="auto"/>
        </w:rPr>
        <w:t>. The Company will, at any time during a fiscal quarter in which the Company intends to tender a Placement Notice or sell Placement Shares, advise the Agent promptly after it shall have received notice or obtained knowledge of any information or fact that would alter or affect in any material respect any opinion, certificate, letter or other document provided or required to be provided to the Agent pursuant to this Agreement.</w:t>
      </w:r>
    </w:p>
    <w:p>
      <w:pPr>
        <w:spacing w:after="0" w:line="170" w:lineRule="exact"/>
        <w:rPr>
          <w:rFonts w:ascii="Times New Roman" w:cs="Times New Roman" w:eastAsia="Times New Roman" w:hAnsi="Times New Roman"/>
          <w:sz w:val="17"/>
          <w:szCs w:val="17"/>
          <w:color w:val="auto"/>
        </w:rPr>
      </w:pPr>
    </w:p>
    <w:p>
      <w:pPr>
        <w:ind w:firstLine="609"/>
        <w:spacing w:after="0" w:line="286" w:lineRule="auto"/>
        <w:tabs>
          <w:tab w:leader="none" w:pos="1184"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Due Diligence Cooperation</w:t>
      </w:r>
      <w:r>
        <w:rPr>
          <w:rFonts w:ascii="Times New Roman" w:cs="Times New Roman" w:eastAsia="Times New Roman" w:hAnsi="Times New Roman"/>
          <w:sz w:val="16"/>
          <w:szCs w:val="16"/>
          <w:color w:val="auto"/>
        </w:rPr>
        <w:t>. During the term of this Agreement, the Company will cooperate with any reasonable due diligence review conducted by the Agent, its affiliates, agents and counsel from time to time in connection with the transactions contemplated hereby, including providing information and making available documents and senior corporate officers, during regular business hours and at the Company’s principal offices, as the Agent may reasonably request.</w:t>
      </w:r>
    </w:p>
    <w:p>
      <w:pPr>
        <w:spacing w:after="0" w:line="152" w:lineRule="exact"/>
        <w:rPr>
          <w:rFonts w:ascii="Times New Roman" w:cs="Times New Roman" w:eastAsia="Times New Roman" w:hAnsi="Times New Roman"/>
          <w:sz w:val="16"/>
          <w:szCs w:val="16"/>
          <w:color w:val="auto"/>
        </w:rPr>
      </w:pPr>
    </w:p>
    <w:p>
      <w:pPr>
        <w:ind w:right="80" w:firstLine="609"/>
        <w:spacing w:after="0" w:line="270" w:lineRule="auto"/>
        <w:tabs>
          <w:tab w:leader="none" w:pos="1189"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Required Filings Relating to Placement of Placement Shares</w:t>
      </w:r>
      <w:r>
        <w:rPr>
          <w:rFonts w:ascii="Times New Roman" w:cs="Times New Roman" w:eastAsia="Times New Roman" w:hAnsi="Times New Roman"/>
          <w:sz w:val="16"/>
          <w:szCs w:val="16"/>
          <w:color w:val="auto"/>
        </w:rPr>
        <w:t xml:space="preserve">.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number or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unless a prospectus supplement containing such information is required to be filed under the Securities Act, the requirement of this Section 7(l) may be satisfied by Company’s inclusion in the Company’s Form 10-K or Form 10-Q, as applicable, of the number or amount of Placement Shares sold through the Agent, the Net Proceeds to the Company and the compensation payable by the Company to the Agent with respect to such Placement Shares during the relevant period.</w:t>
      </w:r>
    </w:p>
    <w:p>
      <w:pPr>
        <w:spacing w:after="0" w:line="167" w:lineRule="exact"/>
        <w:rPr>
          <w:rFonts w:ascii="Times New Roman" w:cs="Times New Roman" w:eastAsia="Times New Roman" w:hAnsi="Times New Roman"/>
          <w:sz w:val="16"/>
          <w:szCs w:val="16"/>
          <w:color w:val="auto"/>
        </w:rPr>
      </w:pPr>
    </w:p>
    <w:p>
      <w:pPr>
        <w:ind w:left="1200" w:hanging="591"/>
        <w:spacing w:after="0"/>
        <w:tabs>
          <w:tab w:leader="none" w:pos="12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 Dates; Certificate</w:t>
      </w:r>
      <w:r>
        <w:rPr>
          <w:rFonts w:ascii="Times New Roman" w:cs="Times New Roman" w:eastAsia="Times New Roman" w:hAnsi="Times New Roman"/>
          <w:sz w:val="17"/>
          <w:szCs w:val="17"/>
          <w:color w:val="auto"/>
        </w:rPr>
        <w:t>. On or prior to the date on which the Company first delivers a Placement Notice pursuant to this agreement (the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First Placement Notice Date</w:t>
      </w:r>
      <w:r>
        <w:rPr>
          <w:rFonts w:ascii="Times New Roman" w:cs="Times New Roman" w:eastAsia="Times New Roman" w:hAnsi="Times New Roman"/>
          <w:sz w:val="17"/>
          <w:szCs w:val="17"/>
          <w:color w:val="auto"/>
        </w:rPr>
        <w:t>”) and each time the Company:</w:t>
      </w:r>
    </w:p>
    <w:p>
      <w:pPr>
        <w:spacing w:after="0" w:line="194" w:lineRule="exact"/>
        <w:rPr>
          <w:sz w:val="20"/>
          <w:szCs w:val="20"/>
          <w:color w:val="auto"/>
        </w:rPr>
      </w:pPr>
    </w:p>
    <w:p>
      <w:pPr>
        <w:ind w:right="540" w:firstLine="1217"/>
        <w:spacing w:after="0" w:line="262" w:lineRule="auto"/>
        <w:tabs>
          <w:tab w:leader="none" w:pos="1797"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amends or supplements the Registration Statement or the ATM Prospectus relating to the Placement Shares (other than a prospectus supplement filed in accordance with Section 7(l) of this Agreement) by means of a post-effective amendment, sticker or supplement, but not by means of incorporation of document(s) by reference into the Registration Statement or the ATM Prospectus relating to the Placement Shares;</w:t>
      </w:r>
    </w:p>
    <w:p>
      <w:pPr>
        <w:spacing w:after="0" w:line="170" w:lineRule="exact"/>
        <w:rPr>
          <w:rFonts w:ascii="Times New Roman" w:cs="Times New Roman" w:eastAsia="Times New Roman" w:hAnsi="Times New Roman"/>
          <w:sz w:val="17"/>
          <w:szCs w:val="17"/>
          <w:color w:val="auto"/>
        </w:rPr>
      </w:pPr>
    </w:p>
    <w:p>
      <w:pPr>
        <w:ind w:right="200" w:firstLine="1217"/>
        <w:spacing w:after="0" w:line="276" w:lineRule="auto"/>
        <w:tabs>
          <w:tab w:leader="none" w:pos="1759"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an annual report on Form 10-K under the Exchange Act (including any Form 10-K/A containing amended financial information or a material amendment to the previously filed Form 10-K);</w:t>
      </w:r>
    </w:p>
    <w:p>
      <w:pPr>
        <w:spacing w:after="0" w:line="158" w:lineRule="exact"/>
        <w:rPr>
          <w:rFonts w:ascii="Times New Roman" w:cs="Times New Roman" w:eastAsia="Times New Roman" w:hAnsi="Times New Roman"/>
          <w:sz w:val="17"/>
          <w:szCs w:val="17"/>
          <w:color w:val="auto"/>
        </w:rPr>
      </w:pPr>
    </w:p>
    <w:p>
      <w:pPr>
        <w:ind w:left="1760" w:hanging="543"/>
        <w:spacing w:after="0"/>
        <w:tabs>
          <w:tab w:leader="none" w:pos="17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 quarterly report on Form 10-Q under the Exchange Act; or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0" w:name="page91"/>
    <w:bookmarkEnd w:id="90"/>
    <w:p>
      <w:pPr>
        <w:ind w:right="120" w:firstLine="1217"/>
        <w:spacing w:after="0" w:line="262" w:lineRule="auto"/>
        <w:tabs>
          <w:tab w:leader="none" w:pos="1797"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files a current report on Form 8-K containing financial information of the Company that amends financial information included in a previously filed Form 10-K or Form 10-Q of the Company (other than an earnings release that is “furnished” pursuant to Item 2.02 or Item 7.01 of Form 8-K) under the Exchange Act (each date of filing of one or more of the documents referred to in clauses (i) through (iv) shall be a “</w:t>
      </w:r>
      <w:r>
        <w:rPr>
          <w:rFonts w:ascii="Times New Roman" w:cs="Times New Roman" w:eastAsia="Times New Roman" w:hAnsi="Times New Roman"/>
          <w:sz w:val="17"/>
          <w:szCs w:val="17"/>
          <w:b w:val="1"/>
          <w:bCs w:val="1"/>
          <w:u w:val="single" w:color="auto"/>
          <w:color w:val="auto"/>
        </w:rPr>
        <w:t>Representation Date</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7"/>
          <w:szCs w:val="17"/>
          <w:color w:val="auto"/>
        </w:rPr>
        <w:t xml:space="preserve">the Company shall furnish the Agent (but in the case of clause (iv) above only if (1) a Placement Notice is pending or in effect and (2) the Agent requests such certificate within three Business Days (as defined below) after the filing of such Form 8-K with the Commission) with a certificate, in the form attached hereto as </w:t>
      </w:r>
      <w:r>
        <w:rPr>
          <w:rFonts w:ascii="Times New Roman" w:cs="Times New Roman" w:eastAsia="Times New Roman" w:hAnsi="Times New Roman"/>
          <w:sz w:val="17"/>
          <w:szCs w:val="17"/>
          <w:b w:val="1"/>
          <w:bCs w:val="1"/>
          <w:u w:val="single" w:color="auto"/>
          <w:color w:val="auto"/>
        </w:rPr>
        <w:t>Exhibit 7(m)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(modified, as necessary, to relate to the Registration Statement and the ATM Prospectus as then amended or supplemented), within two Trading Days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any Representation Date. The requirement to provide a certificate under this Section 7(m) shall be waived for any Representation Date occurring at a time at which no Placement Notice is pending or in effect, which waiver shall continue until the earlier to occur of (1) the date the Company delivers a Placement Notice hereunder (which for such calendar quarter shall be considered a Representation Date) and (2) the next occurring Representation Date. Notwithstanding the foregoing, if the Company subsequently decides to sell Placement Shares following a Representation Date on which the Company relied on the waiver referred to in the previous sentence and did not provide the Agent with a certificate under this Section 7(m), then before the Company delivers a Placement Notice or the Agent sells any Placement Shares pursuant thereto, the Company shall provide the Agent with a certificate, in the form attached hereto as </w:t>
      </w:r>
      <w:r>
        <w:rPr>
          <w:rFonts w:ascii="Times New Roman" w:cs="Times New Roman" w:eastAsia="Times New Roman" w:hAnsi="Times New Roman"/>
          <w:sz w:val="17"/>
          <w:szCs w:val="17"/>
          <w:b w:val="1"/>
          <w:bCs w:val="1"/>
          <w:u w:val="single" w:color="auto"/>
          <w:color w:val="auto"/>
        </w:rPr>
        <w:t>Exhibit 7(m)</w:t>
      </w:r>
      <w:r>
        <w:rPr>
          <w:rFonts w:ascii="Times New Roman" w:cs="Times New Roman" w:eastAsia="Times New Roman" w:hAnsi="Times New Roman"/>
          <w:sz w:val="17"/>
          <w:szCs w:val="17"/>
          <w:color w:val="auto"/>
        </w:rPr>
        <w:t>, dated the date of such Placement Notice. Within two Trading Days of each Representation Date, the Company shall have furnished to the Agent such further information, certificates and documents as the Agent may reasonably request.</w:t>
      </w:r>
    </w:p>
    <w:p>
      <w:pPr>
        <w:spacing w:after="0" w:line="183" w:lineRule="exact"/>
        <w:rPr>
          <w:sz w:val="20"/>
          <w:szCs w:val="20"/>
          <w:color w:val="auto"/>
        </w:rPr>
      </w:pPr>
    </w:p>
    <w:p>
      <w:pPr>
        <w:jc w:val="both"/>
        <w:ind w:right="100" w:firstLine="609"/>
        <w:spacing w:after="0" w:line="274" w:lineRule="auto"/>
        <w:tabs>
          <w:tab w:leader="none" w:pos="1142" w:val="left"/>
        </w:tabs>
        <w:numPr>
          <w:ilvl w:val="1"/>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Opinions</w:t>
      </w:r>
      <w:r>
        <w:rPr>
          <w:rFonts w:ascii="Times New Roman" w:cs="Times New Roman" w:eastAsia="Times New Roman" w:hAnsi="Times New Roman"/>
          <w:sz w:val="16"/>
          <w:szCs w:val="16"/>
          <w:color w:val="auto"/>
        </w:rPr>
        <w:t>. On or prior to the First Placement Notice Date and on any date which the Company is obligated to deliver a certificate pursuant to Section 7(m) for which no waiver is applicable, the Company shall cause to be furnished to the Agent the written opinion and negative assurance letter of Covington</w:t>
      </w:r>
    </w:p>
    <w:p>
      <w:pPr>
        <w:ind w:right="100" w:firstLine="1"/>
        <w:spacing w:after="0" w:line="269" w:lineRule="auto"/>
        <w:tabs>
          <w:tab w:leader="none" w:pos="173"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Burling LLP, counsel to the Company, or such other counsel satisfactory to the Agent (“</w:t>
      </w:r>
      <w:r>
        <w:rPr>
          <w:rFonts w:ascii="Times New Roman" w:cs="Times New Roman" w:eastAsia="Times New Roman" w:hAnsi="Times New Roman"/>
          <w:sz w:val="16"/>
          <w:szCs w:val="16"/>
          <w:b w:val="1"/>
          <w:bCs w:val="1"/>
          <w:u w:val="single" w:color="auto"/>
          <w:color w:val="auto"/>
        </w:rPr>
        <w:t>Company Counsel</w:t>
      </w:r>
      <w:r>
        <w:rPr>
          <w:rFonts w:ascii="Times New Roman" w:cs="Times New Roman" w:eastAsia="Times New Roman" w:hAnsi="Times New Roman"/>
          <w:sz w:val="16"/>
          <w:szCs w:val="16"/>
          <w:color w:val="auto"/>
        </w:rPr>
        <w:t xml:space="preserve">”), in form and substance satisfactory to the Agent and its counsel, dated the date that the opinion and negative assurance letter are required to be delivered, modified, as necessary, to relate to the Registration Statement and the ATM Prospectus as then amended or supplemented;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in lieu of such opinion and negative assurance letter for subsequent Representation Dates, Company Counsel may furnish the Agent with a letter to the effect that the Agent may rely on a prior opinion and negative assurance letter delivered by such counsel under this Section 7(n) to the same extent as if it were dated the date of such letter (except that statements in such prior opinion and negative assurance letter shall be deemed to relate to the Registration Statement and the ATM Prospectus as amended or supplemented at such Representation Date).</w:t>
      </w:r>
    </w:p>
    <w:p>
      <w:pPr>
        <w:spacing w:after="0" w:line="165" w:lineRule="exact"/>
        <w:rPr>
          <w:rFonts w:ascii="Times New Roman" w:cs="Times New Roman" w:eastAsia="Times New Roman" w:hAnsi="Times New Roman"/>
          <w:sz w:val="16"/>
          <w:szCs w:val="16"/>
          <w:color w:val="auto"/>
        </w:rPr>
      </w:pPr>
    </w:p>
    <w:p>
      <w:pPr>
        <w:ind w:firstLine="609"/>
        <w:spacing w:after="0" w:line="252" w:lineRule="auto"/>
        <w:tabs>
          <w:tab w:leader="none" w:pos="1184"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Intellectual Property Opinion</w:t>
      </w:r>
      <w:r>
        <w:rPr>
          <w:rFonts w:ascii="Times New Roman" w:cs="Times New Roman" w:eastAsia="Times New Roman" w:hAnsi="Times New Roman"/>
          <w:sz w:val="17"/>
          <w:szCs w:val="17"/>
          <w:color w:val="auto"/>
        </w:rPr>
        <w:t>. On or prior to the First Placement Notice Date and on any date which the Company is obligated to deliver a certificate pursuant to Section 7(m) for which no waiver is applicable, the Company shall cause to be furnished to the Agent the written opinion of Wolf, Greenfield &amp; Sacks, P.C., counsel for the Company with respect to intellectual property matters, or such other intellectual property counsel satisfactory to the Agent (“</w:t>
      </w:r>
      <w:r>
        <w:rPr>
          <w:rFonts w:ascii="Times New Roman" w:cs="Times New Roman" w:eastAsia="Times New Roman" w:hAnsi="Times New Roman"/>
          <w:sz w:val="17"/>
          <w:szCs w:val="17"/>
          <w:b w:val="1"/>
          <w:bCs w:val="1"/>
          <w:u w:val="single" w:color="auto"/>
          <w:color w:val="auto"/>
        </w:rPr>
        <w:t>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Property Counsel</w:t>
      </w:r>
      <w:r>
        <w:rPr>
          <w:rFonts w:ascii="Times New Roman" w:cs="Times New Roman" w:eastAsia="Times New Roman" w:hAnsi="Times New Roman"/>
          <w:sz w:val="17"/>
          <w:szCs w:val="17"/>
          <w:color w:val="auto"/>
        </w:rPr>
        <w:t>”), in form and substance satisfactory to the Agent and its counsel, dated the date that the opinion letter is required to be delivered, modified,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necessary, to relate to the Registration Statement and the ATM Prospectus as then amended or supplemented;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lieu of such written opinion for subsequent Representation Dates, Intellectual Property Counsel may furnish the Agent with a letter to the effect that the Agent may rely on a prior opinion letter delivered by such counsel under this Section 7(o) to the same extent as if it were dated the date of such opinion letter (except that statements in such prior opinion letter shall be deemed to relate to the Registration Statement and the ATM Prospectus as amended or supplemented at such Representation Date).</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1" w:name="page92"/>
    <w:bookmarkEnd w:id="91"/>
    <w:p>
      <w:pPr>
        <w:ind w:left="-20" w:firstLine="609"/>
        <w:spacing w:after="0" w:line="251" w:lineRule="auto"/>
        <w:tabs>
          <w:tab w:leader="none" w:pos="116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Comfort Letter</w:t>
      </w:r>
      <w:r>
        <w:rPr>
          <w:rFonts w:ascii="Times New Roman" w:cs="Times New Roman" w:eastAsia="Times New Roman" w:hAnsi="Times New Roman"/>
          <w:sz w:val="17"/>
          <w:szCs w:val="17"/>
          <w:color w:val="auto"/>
        </w:rPr>
        <w:t>. On or prior to the First Placement Notice Date and on any date which the Company is obligated to deliver a certificate pursuant to Section 7(m) for which no waiver is applicable, the Company shall cause its independent registered public accounting firm (and any other independent accountants whose report is included in the Registration Statement or the ATM Prospectus) to furnish the Agent letters (the “</w:t>
      </w:r>
      <w:r>
        <w:rPr>
          <w:rFonts w:ascii="Times New Roman" w:cs="Times New Roman" w:eastAsia="Times New Roman" w:hAnsi="Times New Roman"/>
          <w:sz w:val="17"/>
          <w:szCs w:val="17"/>
          <w:b w:val="1"/>
          <w:bCs w:val="1"/>
          <w:u w:val="single" w:color="auto"/>
          <w:color w:val="auto"/>
        </w:rPr>
        <w:t>Comfort Letters</w:t>
      </w:r>
      <w:r>
        <w:rPr>
          <w:rFonts w:ascii="Times New Roman" w:cs="Times New Roman" w:eastAsia="Times New Roman" w:hAnsi="Times New Roman"/>
          <w:sz w:val="17"/>
          <w:szCs w:val="17"/>
          <w:color w:val="auto"/>
        </w:rPr>
        <w:t xml:space="preserve">”), dated the date the Comfort Letter is delivered, which shall meet the requirements set forth in this Section 7(p);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if requested by the Agent, the Company shall cause a Comfort Letter to be furnished to the Agent within 10 Trading Days of the filing of additional, pro forma, amended or revised financial statements (including any restatement of previously issued financial statements) resulting from the occurrence of any material transaction or event. Each Comfort Letter shall be in form and substance satisfactory to the Agent and each Comfort Letter from the Company’s independent registered public accounting firm shall (i) confirm that they are an independent registered public accounting firm within the meaning of the Securities Act and the PCAOB, (ii) state,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cs="Times New Roman" w:eastAsia="Times New Roman" w:hAnsi="Times New Roman"/>
          <w:sz w:val="17"/>
          <w:szCs w:val="17"/>
          <w:b w:val="1"/>
          <w:bCs w:val="1"/>
          <w:u w:val="single" w:color="auto"/>
          <w:color w:val="auto"/>
        </w:rPr>
        <w:t>Initial Comfort Letter</w:t>
      </w:r>
      <w:r>
        <w:rPr>
          <w:rFonts w:ascii="Times New Roman" w:cs="Times New Roman" w:eastAsia="Times New Roman" w:hAnsi="Times New Roman"/>
          <w:sz w:val="17"/>
          <w:szCs w:val="17"/>
          <w:color w:val="auto"/>
        </w:rPr>
        <w:t>”) and (iii) update the Initial Comfort Letter with any information that would have been included in the Initial Comfort Letter had it been given on such date and modified as necessary to relate to the Registration Statement and the ATM Prospectus, as amended and supplemented to the date of such letter.</w:t>
      </w:r>
    </w:p>
    <w:p>
      <w:pPr>
        <w:spacing w:after="0" w:line="180" w:lineRule="exact"/>
        <w:rPr>
          <w:rFonts w:ascii="Times New Roman" w:cs="Times New Roman" w:eastAsia="Times New Roman" w:hAnsi="Times New Roman"/>
          <w:sz w:val="17"/>
          <w:szCs w:val="17"/>
          <w:color w:val="auto"/>
        </w:rPr>
      </w:pPr>
    </w:p>
    <w:p>
      <w:pPr>
        <w:ind w:left="-20" w:right="320" w:firstLine="609"/>
        <w:spacing w:after="0" w:line="255" w:lineRule="auto"/>
        <w:tabs>
          <w:tab w:leader="none" w:pos="116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Market Activities</w:t>
      </w:r>
      <w:r>
        <w:rPr>
          <w:rFonts w:ascii="Times New Roman" w:cs="Times New Roman" w:eastAsia="Times New Roman" w:hAnsi="Times New Roman"/>
          <w:sz w:val="17"/>
          <w:szCs w:val="17"/>
          <w:color w:val="auto"/>
        </w:rPr>
        <w:t xml:space="preserve">. The Company will not, directly or indirectly, and will cause its officers, directors and Subsidiaries not to (i) take any action designed to cause or result in, or that constitutes or might reasonably be expected to constitute, the stabilization or manipulation of the price of any security of the Company to facilitate the sale or resale of shares of Common Stock or (ii) sell, bid for, or purchase shares of Common Stock in violation of Regulation M, or pay anyone any compensation for soliciting purchases of the Placement Shares other than the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may bid for and purchase shares of Common Stock in accordance with Rule 10b-18 under the Exchange Act.</w:t>
      </w:r>
    </w:p>
    <w:p>
      <w:pPr>
        <w:spacing w:after="0" w:line="177" w:lineRule="exact"/>
        <w:rPr>
          <w:rFonts w:ascii="Times New Roman" w:cs="Times New Roman" w:eastAsia="Times New Roman" w:hAnsi="Times New Roman"/>
          <w:sz w:val="17"/>
          <w:szCs w:val="17"/>
          <w:color w:val="auto"/>
        </w:rPr>
      </w:pPr>
    </w:p>
    <w:p>
      <w:pPr>
        <w:ind w:left="-20" w:right="60" w:firstLine="609"/>
        <w:spacing w:after="0" w:line="262" w:lineRule="auto"/>
        <w:tabs>
          <w:tab w:leader="none" w:pos="117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w:t>
      </w:r>
    </w:p>
    <w:p>
      <w:pPr>
        <w:spacing w:after="0" w:line="170" w:lineRule="exact"/>
        <w:rPr>
          <w:rFonts w:ascii="Times New Roman" w:cs="Times New Roman" w:eastAsia="Times New Roman" w:hAnsi="Times New Roman"/>
          <w:sz w:val="17"/>
          <w:szCs w:val="17"/>
          <w:color w:val="auto"/>
        </w:rPr>
      </w:pPr>
    </w:p>
    <w:p>
      <w:pPr>
        <w:ind w:left="-20" w:right="80" w:firstLine="609"/>
        <w:spacing w:after="0" w:line="262" w:lineRule="auto"/>
        <w:tabs>
          <w:tab w:leader="none" w:pos="1188"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Act and Exchange Act</w:t>
      </w:r>
      <w:r>
        <w:rPr>
          <w:rFonts w:ascii="Times New Roman" w:cs="Times New Roman" w:eastAsia="Times New Roman" w:hAnsi="Times New Roman"/>
          <w:sz w:val="17"/>
          <w:szCs w:val="17"/>
          <w:color w:val="auto"/>
        </w:rPr>
        <w:t>. The Company will use its best efforts to comply with all requirements imposed upon it by the Securities Act and the Exchange Act as from time to time in force, so far as necessary to permit the sales of, or dealings in, the Placement Shares as contemplated by the provisions hereof and the ATM Prospectus.</w:t>
      </w:r>
    </w:p>
    <w:p>
      <w:pPr>
        <w:spacing w:after="0" w:line="170" w:lineRule="exact"/>
        <w:rPr>
          <w:rFonts w:ascii="Times New Roman" w:cs="Times New Roman" w:eastAsia="Times New Roman" w:hAnsi="Times New Roman"/>
          <w:sz w:val="17"/>
          <w:szCs w:val="17"/>
          <w:color w:val="auto"/>
        </w:rPr>
      </w:pPr>
    </w:p>
    <w:p>
      <w:pPr>
        <w:ind w:left="-20" w:right="240" w:firstLine="609"/>
        <w:spacing w:after="0" w:line="258" w:lineRule="auto"/>
        <w:tabs>
          <w:tab w:leader="none" w:pos="1169"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Offer to Sell</w:t>
      </w:r>
      <w:r>
        <w:rPr>
          <w:rFonts w:ascii="Times New Roman" w:cs="Times New Roman" w:eastAsia="Times New Roman" w:hAnsi="Times New Roman"/>
          <w:sz w:val="17"/>
          <w:szCs w:val="17"/>
          <w:color w:val="auto"/>
        </w:rPr>
        <w:t>. Other than the Registration Statement, the ATM Prospectus or a free writing prospectus (as defined in Rule 405 under the Securities Act) approved in advance by the Company and the Agent, neither the Agent nor the Company (including its agents and representatives, other than the Agent in its capacity as agent)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40" w:top="123" w:right="339" w:bottom="1440" w:gutter="0" w:footer="0" w:header="0"/>
        </w:sectPr>
      </w:pPr>
    </w:p>
    <w:bookmarkStart w:id="92" w:name="page93"/>
    <w:bookmarkEnd w:id="92"/>
    <w:p>
      <w:pPr>
        <w:ind w:firstLine="609"/>
        <w:spacing w:after="0" w:line="252" w:lineRule="auto"/>
        <w:tabs>
          <w:tab w:leader="none" w:pos="118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Blue Sky and Other Qualifications</w:t>
      </w:r>
      <w:r>
        <w:rPr>
          <w:rFonts w:ascii="Times New Roman" w:cs="Times New Roman" w:eastAsia="Times New Roman" w:hAnsi="Times New Roman"/>
          <w:sz w:val="17"/>
          <w:szCs w:val="17"/>
          <w:color w:val="auto"/>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w:t>
      </w:r>
    </w:p>
    <w:p>
      <w:pPr>
        <w:spacing w:after="0" w:line="178" w:lineRule="exact"/>
        <w:rPr>
          <w:rFonts w:ascii="Times New Roman" w:cs="Times New Roman" w:eastAsia="Times New Roman" w:hAnsi="Times New Roman"/>
          <w:sz w:val="17"/>
          <w:szCs w:val="17"/>
          <w:color w:val="auto"/>
        </w:rPr>
      </w:pPr>
    </w:p>
    <w:p>
      <w:pPr>
        <w:ind w:right="40" w:firstLine="609"/>
        <w:spacing w:after="0" w:line="250" w:lineRule="auto"/>
        <w:tabs>
          <w:tab w:leader="none" w:pos="118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 Act</w:t>
      </w:r>
      <w:r>
        <w:rPr>
          <w:rFonts w:ascii="Times New Roman" w:cs="Times New Roman" w:eastAsia="Times New Roman" w:hAnsi="Times New Roman"/>
          <w:sz w:val="17"/>
          <w:szCs w:val="17"/>
          <w:color w:val="auto"/>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spacing w:after="0" w:line="188" w:lineRule="exact"/>
        <w:rPr>
          <w:rFonts w:ascii="Times New Roman" w:cs="Times New Roman" w:eastAsia="Times New Roman" w:hAnsi="Times New Roman"/>
          <w:sz w:val="17"/>
          <w:szCs w:val="17"/>
          <w:color w:val="auto"/>
        </w:rPr>
      </w:pPr>
    </w:p>
    <w:p>
      <w:pPr>
        <w:ind w:left="1180" w:hanging="571"/>
        <w:spacing w:after="0"/>
        <w:tabs>
          <w:tab w:leader="none" w:pos="118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Renewal of Registration Statement.</w:t>
      </w:r>
      <w:r>
        <w:rPr>
          <w:rFonts w:ascii="Times New Roman" w:cs="Times New Roman" w:eastAsia="Times New Roman" w:hAnsi="Times New Roman"/>
          <w:sz w:val="17"/>
          <w:szCs w:val="17"/>
          <w:color w:val="auto"/>
        </w:rPr>
        <w:t xml:space="preserve"> If, immediately prior to the third anniversary of the initial effective date of the Registration Statement (the</w:t>
      </w:r>
    </w:p>
    <w:p>
      <w:pPr>
        <w:spacing w:after="0" w:line="2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Renewal Date</w:t>
      </w:r>
      <w:r>
        <w:rPr>
          <w:rFonts w:ascii="Times New Roman" w:cs="Times New Roman" w:eastAsia="Times New Roman" w:hAnsi="Times New Roman"/>
          <w:sz w:val="17"/>
          <w:szCs w:val="17"/>
          <w:color w:val="auto"/>
        </w:rPr>
        <w:t>”), any of the Placement Shares remain unsold and this Agreement has not been terminated, the Company will, prior to the Renewal Date, file a new shelf registration statement or, if applicable, an automatic shelf registration statement relating to the Common Stock that may be offered and sold pursuant to this Agreement (which shall include a prospectus reflecting the number or amount of Placement Shares that may be offered and sold pursuant to this Agreement), in a form satisfactory to the Agent and its counsel, and, if such registration statement is not an automatic shelf registration statement, will use its best efforts to cause such registration statement to be declared effective within 180 days after the Renewal Date. The Company will take all other reasonable actions necessary or appropriate to permit the public offer and sale of the Placement Shares to continue as contemplated in the expired registration statement and this Agreement. From and after the effective date thereof, references herein to the “Registration Statement” shall include such new shelf registration statement or such new automatic shelf registration statement, as the case may be.</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3" w:name="page94"/>
    <w:bookmarkEnd w:id="93"/>
    <w:p>
      <w:pPr>
        <w:ind w:right="20" w:firstLine="609"/>
        <w:spacing w:after="0" w:line="252" w:lineRule="auto"/>
        <w:tabs>
          <w:tab w:leader="none" w:pos="118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 Instruction I.B.6. of Form S-3</w:t>
      </w:r>
      <w:r>
        <w:rPr>
          <w:rFonts w:ascii="Times New Roman" w:cs="Times New Roman" w:eastAsia="Times New Roman" w:hAnsi="Times New Roman"/>
          <w:sz w:val="17"/>
          <w:szCs w:val="17"/>
          <w:color w:val="auto"/>
        </w:rPr>
        <w:t xml:space="preserve">. If, from and after the date of this Agreement, the Company is no longer eligible to use Form S-3 (including pursuant to General Instruction I.B.6.) at the time it files with the Commission an annual report on Form 10-K or any post-effective amendment to the Registration Statement, then it shall promptly notify the Agent and, within two Business Days after the date of filing of such annual report on Form 10-K or amendment to the Registration Statement, the Company shall file a new prospectus supplement with the Commission reflecting the number of shares of Common Stock available to be offered and sold by the Company under this Agreement pursuant to General Instruction I.B.6. of Form S-3;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Company may delay the filing of any such prospectus supplement for up to 30 days if, in the reasonable judgment of the Company, it is in the best interest of the Company to do so, provided that no Placement Notice is in effect or pending during such time. Until such time as the Company shall have corrected such misstatement or omission or effected such compliance, the Company shall not notify the Agent to resume the offering of Placement Shares.</w:t>
      </w:r>
    </w:p>
    <w:p>
      <w:pPr>
        <w:spacing w:after="0" w:line="181" w:lineRule="exact"/>
        <w:rPr>
          <w:rFonts w:ascii="Times New Roman" w:cs="Times New Roman" w:eastAsia="Times New Roman" w:hAnsi="Times New Roman"/>
          <w:sz w:val="17"/>
          <w:szCs w:val="17"/>
          <w:color w:val="auto"/>
        </w:rPr>
      </w:pPr>
    </w:p>
    <w:p>
      <w:pPr>
        <w:ind w:right="480" w:firstLine="609"/>
        <w:spacing w:after="0" w:line="276" w:lineRule="auto"/>
        <w:tabs>
          <w:tab w:leader="none" w:pos="118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Indemnity</w:t>
      </w:r>
      <w:r>
        <w:rPr>
          <w:rFonts w:ascii="Times New Roman" w:cs="Times New Roman" w:eastAsia="Times New Roman" w:hAnsi="Times New Roman"/>
          <w:sz w:val="17"/>
          <w:szCs w:val="17"/>
          <w:color w:val="auto"/>
        </w:rPr>
        <w:t>. The Company will indemnify and hold harmless the Agent against any documentary, stamp or similar issue tax, including any interest and penalties, on the issue and sale of the Placement Shares.</w:t>
      </w:r>
    </w:p>
    <w:p>
      <w:pPr>
        <w:spacing w:after="0" w:line="158" w:lineRule="exact"/>
        <w:rPr>
          <w:rFonts w:ascii="Times New Roman" w:cs="Times New Roman" w:eastAsia="Times New Roman" w:hAnsi="Times New Roman"/>
          <w:sz w:val="17"/>
          <w:szCs w:val="17"/>
          <w:color w:val="auto"/>
        </w:rPr>
      </w:pPr>
    </w:p>
    <w:p>
      <w:pPr>
        <w:ind w:left="1220" w:hanging="611"/>
        <w:spacing w:after="0"/>
        <w:tabs>
          <w:tab w:leader="none" w:pos="12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 Agent</w:t>
      </w:r>
      <w:r>
        <w:rPr>
          <w:rFonts w:ascii="Times New Roman" w:cs="Times New Roman" w:eastAsia="Times New Roman" w:hAnsi="Times New Roman"/>
          <w:sz w:val="17"/>
          <w:szCs w:val="17"/>
          <w:color w:val="auto"/>
        </w:rPr>
        <w:t>. The Company has engaged and will maintain, at its sole expense, a transfer agent and registrar for the Common Stock.</w:t>
      </w:r>
    </w:p>
    <w:p>
      <w:pPr>
        <w:spacing w:after="0" w:line="210" w:lineRule="exact"/>
        <w:rPr>
          <w:sz w:val="20"/>
          <w:szCs w:val="20"/>
          <w:color w:val="auto"/>
        </w:rPr>
      </w:pPr>
    </w:p>
    <w:p>
      <w:pPr>
        <w:ind w:right="120" w:firstLine="609"/>
        <w:spacing w:after="0" w:line="258" w:lineRule="auto"/>
        <w:tabs>
          <w:tab w:leader="none" w:pos="1198"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Conditions to the Agent’s Obligations</w:t>
      </w:r>
      <w:r>
        <w:rPr>
          <w:rFonts w:ascii="Times New Roman" w:cs="Times New Roman" w:eastAsia="Times New Roman" w:hAnsi="Times New Roman"/>
          <w:sz w:val="17"/>
          <w:szCs w:val="17"/>
          <w:color w:val="auto"/>
        </w:rPr>
        <w:t>.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w:t>
      </w:r>
    </w:p>
    <w:p>
      <w:pPr>
        <w:spacing w:after="0" w:line="173" w:lineRule="exact"/>
        <w:rPr>
          <w:sz w:val="20"/>
          <w:szCs w:val="20"/>
          <w:color w:val="auto"/>
        </w:rPr>
      </w:pPr>
    </w:p>
    <w:p>
      <w:pPr>
        <w:ind w:firstLine="609"/>
        <w:spacing w:after="0" w:line="276" w:lineRule="auto"/>
        <w:tabs>
          <w:tab w:leader="none" w:pos="121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Statement Effective</w:t>
      </w:r>
      <w:r>
        <w:rPr>
          <w:rFonts w:ascii="Times New Roman" w:cs="Times New Roman" w:eastAsia="Times New Roman" w:hAnsi="Times New Roman"/>
          <w:sz w:val="17"/>
          <w:szCs w:val="17"/>
          <w:color w:val="auto"/>
        </w:rPr>
        <w:t>. The Registration Statement shall be effective and shall be available for all offers and sales of Placement Shares (i) that have been issued pursuant to all prior Placement Notices and (ii) that will be issued pursuant to any Placement Notice.</w:t>
      </w:r>
    </w:p>
    <w:p>
      <w:pPr>
        <w:spacing w:after="0" w:line="158" w:lineRule="exact"/>
        <w:rPr>
          <w:rFonts w:ascii="Times New Roman" w:cs="Times New Roman" w:eastAsia="Times New Roman" w:hAnsi="Times New Roman"/>
          <w:sz w:val="17"/>
          <w:szCs w:val="17"/>
          <w:color w:val="auto"/>
        </w:rPr>
      </w:pPr>
    </w:p>
    <w:p>
      <w:pPr>
        <w:jc w:val="both"/>
        <w:ind w:right="320" w:firstLine="609"/>
        <w:spacing w:after="0" w:line="309" w:lineRule="auto"/>
        <w:tabs>
          <w:tab w:leader="none" w:pos="1184"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ATM Prospectus</w:t>
      </w:r>
      <w:r>
        <w:rPr>
          <w:rFonts w:ascii="Times New Roman" w:cs="Times New Roman" w:eastAsia="Times New Roman" w:hAnsi="Times New Roman"/>
          <w:sz w:val="16"/>
          <w:szCs w:val="16"/>
          <w:color w:val="auto"/>
        </w:rPr>
        <w:t>. The Company shall have filed with the Commission the ATM Prospectus pursuant to Rule 424(b) under the Securities Act not later than the Commission’s close of business on the second Business Day following the date the Registration Statement is declared effective by the Commission.</w:t>
      </w:r>
    </w:p>
    <w:p>
      <w:pPr>
        <w:spacing w:after="0" w:line="134" w:lineRule="exact"/>
        <w:rPr>
          <w:rFonts w:ascii="Times New Roman" w:cs="Times New Roman" w:eastAsia="Times New Roman" w:hAnsi="Times New Roman"/>
          <w:sz w:val="16"/>
          <w:szCs w:val="16"/>
          <w:color w:val="auto"/>
        </w:rPr>
      </w:pPr>
    </w:p>
    <w:p>
      <w:pPr>
        <w:ind w:right="20" w:firstLine="609"/>
        <w:spacing w:after="0" w:line="268" w:lineRule="auto"/>
        <w:tabs>
          <w:tab w:leader="none" w:pos="1217"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Material Notices</w:t>
      </w:r>
      <w:r>
        <w:rPr>
          <w:rFonts w:ascii="Times New Roman" w:cs="Times New Roman" w:eastAsia="Times New Roman" w:hAnsi="Times New Roman"/>
          <w:sz w:val="16"/>
          <w:szCs w:val="16"/>
          <w:color w:val="auto"/>
        </w:rPr>
        <w:t>.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ATM Prospectus; (ii) the issuance by the Commission or any other federal or state governmental authority of any stop order suspending the effectiveness of the Registration Statement or the initiation of any proceedings for that purpose; (iii) receipt by the Company or any of its Subsidiaries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General Disclosure Package untrue in any material respect or that requires the making of any changes in the Registration Statement or the General Disclosure Package so that, in the case of the Registration Statement, it will not contain any untrue statement of a material fact or omit to state any material fact required to be stated therein or necessary to make the statements therein not misleading and, in the case of the General Disclosure Package, so that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4" w:name="page95"/>
    <w:bookmarkEnd w:id="94"/>
    <w:p>
      <w:pPr>
        <w:jc w:val="both"/>
        <w:ind w:right="440" w:firstLine="609"/>
        <w:spacing w:after="0" w:line="262" w:lineRule="auto"/>
        <w:tabs>
          <w:tab w:leader="none" w:pos="118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Material Omission</w:t>
      </w:r>
      <w:r>
        <w:rPr>
          <w:rFonts w:ascii="Times New Roman" w:cs="Times New Roman" w:eastAsia="Times New Roman" w:hAnsi="Times New Roman"/>
          <w:sz w:val="17"/>
          <w:szCs w:val="17"/>
          <w:color w:val="auto"/>
        </w:rPr>
        <w:t>. The Agent shall not have advised the Company that the Registration Statement or General Disclosure Package, or any amendment or supplement thereto, contains an untrue statement of fact that in the Agent’s opinion is material, or omits to state a fact that in the Agent’s opinion is material and is required to be stated therein or is necessary to make the statements therein not misleading.</w:t>
      </w:r>
    </w:p>
    <w:p>
      <w:pPr>
        <w:spacing w:after="0" w:line="170" w:lineRule="exact"/>
        <w:rPr>
          <w:rFonts w:ascii="Times New Roman" w:cs="Times New Roman" w:eastAsia="Times New Roman" w:hAnsi="Times New Roman"/>
          <w:sz w:val="17"/>
          <w:szCs w:val="17"/>
          <w:color w:val="auto"/>
        </w:rPr>
      </w:pPr>
    </w:p>
    <w:p>
      <w:pPr>
        <w:ind w:right="60" w:firstLine="609"/>
        <w:spacing w:after="0" w:line="253" w:lineRule="auto"/>
        <w:tabs>
          <w:tab w:leader="none" w:pos="121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w:t>
      </w:r>
      <w:r>
        <w:rPr>
          <w:rFonts w:ascii="Times New Roman" w:cs="Times New Roman" w:eastAsia="Times New Roman" w:hAnsi="Times New Roman"/>
          <w:sz w:val="17"/>
          <w:szCs w:val="17"/>
          <w:color w:val="auto"/>
        </w:rPr>
        <w:t>. Except as contemplated in the General Disclosure Package, or disclosed in the Company’s reports filed with the Commission, there shall not have been any material adverse change, on a consolidated basis, in the authorized capital stock of the Company or any Material Adverse Effect, or any downgrading in or withdrawal of the rating assigned to any of the Company’s securities (other than asset backed securities), if any, by any rating organization or a public announcement by any rating organization that it has under surveillance or review its rating of any of the Company’s securities (other than asset backed securities), if any, the effect of which, in the judgment of the Agent (without relieving the Company of any obligation or liability it may otherwise have), is so material as to make it impracticable or inadvisable to proceed with the offering of the Placement Shares on the terms and in the manner contemplated in the General Disclosure Package.</w:t>
      </w:r>
    </w:p>
    <w:p>
      <w:pPr>
        <w:spacing w:after="0" w:line="178" w:lineRule="exact"/>
        <w:rPr>
          <w:rFonts w:ascii="Times New Roman" w:cs="Times New Roman" w:eastAsia="Times New Roman" w:hAnsi="Times New Roman"/>
          <w:sz w:val="17"/>
          <w:szCs w:val="17"/>
          <w:color w:val="auto"/>
        </w:rPr>
      </w:pPr>
    </w:p>
    <w:p>
      <w:pPr>
        <w:ind w:right="120" w:firstLine="609"/>
        <w:spacing w:after="0" w:line="262" w:lineRule="auto"/>
        <w:tabs>
          <w:tab w:leader="none" w:pos="119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Counsel Legal Opinions</w:t>
      </w:r>
      <w:r>
        <w:rPr>
          <w:rFonts w:ascii="Times New Roman" w:cs="Times New Roman" w:eastAsia="Times New Roman" w:hAnsi="Times New Roman"/>
          <w:sz w:val="17"/>
          <w:szCs w:val="17"/>
          <w:color w:val="auto"/>
        </w:rPr>
        <w:t>. The Agent shall have received the opinions and negative assurance letters, as applicable, of Company Counsel and Intellectual Property Counsel required to be delivered pursuant to Section 7(n) and Section 7(o), as applicable, on or before the date on which such delivery of such opinions and negative assurance letters are required pursuant to Section 7(n) and Section 7(o), as applicable.</w:t>
      </w:r>
    </w:p>
    <w:p>
      <w:pPr>
        <w:spacing w:after="0" w:line="170" w:lineRule="exact"/>
        <w:rPr>
          <w:rFonts w:ascii="Times New Roman" w:cs="Times New Roman" w:eastAsia="Times New Roman" w:hAnsi="Times New Roman"/>
          <w:sz w:val="17"/>
          <w:szCs w:val="17"/>
          <w:color w:val="auto"/>
        </w:rPr>
      </w:pPr>
    </w:p>
    <w:p>
      <w:pPr>
        <w:ind w:firstLine="609"/>
        <w:spacing w:after="0" w:line="262" w:lineRule="auto"/>
        <w:tabs>
          <w:tab w:leader="none" w:pos="1226"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 Counsel Legal Opinion</w:t>
      </w:r>
      <w:r>
        <w:rPr>
          <w:rFonts w:ascii="Times New Roman" w:cs="Times New Roman" w:eastAsia="Times New Roman" w:hAnsi="Times New Roman"/>
          <w:sz w:val="17"/>
          <w:szCs w:val="17"/>
          <w:color w:val="auto"/>
        </w:rPr>
        <w:t>. The Agent shall have received from Cooley LLP, counsel for the Agent, such opinion or opinions, on or before the date on which the delivery of the Company Counsel legal opinion is required pursuant to Section 7(n), with respect to such matters as the Agent may reasonably require, and the Company shall have furnished to such counsel such documents as they may request to enable them to pass upon such matters.</w:t>
      </w:r>
    </w:p>
    <w:p>
      <w:pPr>
        <w:spacing w:after="0" w:line="170" w:lineRule="exact"/>
        <w:rPr>
          <w:rFonts w:ascii="Times New Roman" w:cs="Times New Roman" w:eastAsia="Times New Roman" w:hAnsi="Times New Roman"/>
          <w:sz w:val="17"/>
          <w:szCs w:val="17"/>
          <w:color w:val="auto"/>
        </w:rPr>
      </w:pPr>
    </w:p>
    <w:p>
      <w:pPr>
        <w:ind w:right="120" w:firstLine="609"/>
        <w:spacing w:after="0" w:line="276" w:lineRule="auto"/>
        <w:tabs>
          <w:tab w:leader="none" w:pos="118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Comfort Letter</w:t>
      </w:r>
      <w:r>
        <w:rPr>
          <w:rFonts w:ascii="Times New Roman" w:cs="Times New Roman" w:eastAsia="Times New Roman" w:hAnsi="Times New Roman"/>
          <w:sz w:val="17"/>
          <w:szCs w:val="17"/>
          <w:color w:val="auto"/>
        </w:rPr>
        <w:t>. The Agent shall have received the Comfort Letter required to be delivered pursuant to Section 7(p) on or before the date on which such delivery of such Comfort Letter is required pursuant to Section 7(p).</w:t>
      </w:r>
    </w:p>
    <w:p>
      <w:pPr>
        <w:spacing w:after="0" w:line="158" w:lineRule="exact"/>
        <w:rPr>
          <w:rFonts w:ascii="Times New Roman" w:cs="Times New Roman" w:eastAsia="Times New Roman" w:hAnsi="Times New Roman"/>
          <w:sz w:val="17"/>
          <w:szCs w:val="17"/>
          <w:color w:val="auto"/>
        </w:rPr>
      </w:pPr>
    </w:p>
    <w:p>
      <w:pPr>
        <w:ind w:right="120" w:firstLine="609"/>
        <w:spacing w:after="0" w:line="276" w:lineRule="auto"/>
        <w:tabs>
          <w:tab w:leader="none" w:pos="118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 Certificate</w:t>
      </w:r>
      <w:r>
        <w:rPr>
          <w:rFonts w:ascii="Times New Roman" w:cs="Times New Roman" w:eastAsia="Times New Roman" w:hAnsi="Times New Roman"/>
          <w:sz w:val="17"/>
          <w:szCs w:val="17"/>
          <w:color w:val="auto"/>
        </w:rPr>
        <w:t>. The Agent shall have received the certificate required to be delivered pursuant to Section 7(m) on or before the date on which delivery of such certificate is required pursuant to Section 7(m).</w:t>
      </w:r>
    </w:p>
    <w:p>
      <w:pPr>
        <w:spacing w:after="0" w:line="158" w:lineRule="exact"/>
        <w:rPr>
          <w:rFonts w:ascii="Times New Roman" w:cs="Times New Roman" w:eastAsia="Times New Roman" w:hAnsi="Times New Roman"/>
          <w:sz w:val="17"/>
          <w:szCs w:val="17"/>
          <w:color w:val="auto"/>
        </w:rPr>
      </w:pPr>
    </w:p>
    <w:p>
      <w:pPr>
        <w:ind w:firstLine="609"/>
        <w:spacing w:after="0" w:line="254" w:lineRule="auto"/>
        <w:tabs>
          <w:tab w:leader="none" w:pos="1189"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Secretary’s Certificate</w:t>
      </w:r>
      <w:r>
        <w:rPr>
          <w:rFonts w:ascii="Times New Roman" w:cs="Times New Roman" w:eastAsia="Times New Roman" w:hAnsi="Times New Roman"/>
          <w:sz w:val="17"/>
          <w:szCs w:val="17"/>
          <w:color w:val="auto"/>
        </w:rPr>
        <w:t xml:space="preserve">. On or prior to the First Placement Notice Date, the Agent shall have received a certificate, signed on behalf of the Company by the Secretary of the Company and attested to by an executive officer of the Company, dated as of such date and in form and substance satisfactory to the Agent and its counsel, certifying as to (i) the restated certificate of incorporation, as amended, of the Company, (ii) the amended and restated bylaws of the Company, (iii) the resolutions of the board of directors of the Company or duly authorized committee thereof authorizing the execution, delivery and performance of this Agreement and the issuance and sale of the Placement Shares and (iv) the incumbency of the officers of the Company duly authorized to execute this Agreement and the other documents contemplated by this Agreement (including each of the officers set forth on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w:t>
      </w:r>
    </w:p>
    <w:p>
      <w:pPr>
        <w:spacing w:after="0" w:line="177" w:lineRule="exact"/>
        <w:rPr>
          <w:rFonts w:ascii="Times New Roman" w:cs="Times New Roman" w:eastAsia="Times New Roman" w:hAnsi="Times New Roman"/>
          <w:sz w:val="17"/>
          <w:szCs w:val="17"/>
          <w:color w:val="auto"/>
        </w:rPr>
      </w:pPr>
    </w:p>
    <w:p>
      <w:pPr>
        <w:ind w:right="120" w:firstLine="609"/>
        <w:spacing w:after="0" w:line="276" w:lineRule="auto"/>
        <w:tabs>
          <w:tab w:leader="none" w:pos="118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Suspension</w:t>
      </w:r>
      <w:r>
        <w:rPr>
          <w:rFonts w:ascii="Times New Roman" w:cs="Times New Roman" w:eastAsia="Times New Roman" w:hAnsi="Times New Roman"/>
          <w:sz w:val="17"/>
          <w:szCs w:val="17"/>
          <w:color w:val="auto"/>
        </w:rPr>
        <w:t>. The Common Stock shall be duly listed, and admitted and authorized for trading, subject to official notice of issuance, on Nasdaq. Trading in the Common Stock shall not have been suspended on, and the Common Stock shall not have been delisted from, Nasdaq.</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5" w:name="page96"/>
    <w:bookmarkEnd w:id="95"/>
    <w:p>
      <w:pPr>
        <w:ind w:left="-20" w:right="80" w:firstLine="609"/>
        <w:spacing w:after="0" w:line="258" w:lineRule="auto"/>
        <w:tabs>
          <w:tab w:leader="none" w:pos="116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Materials</w:t>
      </w:r>
      <w:r>
        <w:rPr>
          <w:rFonts w:ascii="Times New Roman" w:cs="Times New Roman" w:eastAsia="Times New Roman" w:hAnsi="Times New Roman"/>
          <w:sz w:val="17"/>
          <w:szCs w:val="17"/>
          <w:color w:val="auto"/>
        </w:rPr>
        <w:t>. On each date on which the Company is required to deliver a certificate pursuant to Section 7(m), the Company shall have furnished to the Agent such appropriate further information, opinions, certificates, letters and other documents as the Agent may have reasonably requested. All such information, opinions, certificates, letters and other documents shall have been in compliance with the provisions hereof. The Company shall have furnished the Agent with conformed copies of such opinions, certificates, letters and other documents as the Agent may have reasonably requested.</w:t>
      </w:r>
    </w:p>
    <w:p>
      <w:pPr>
        <w:spacing w:after="0" w:line="172" w:lineRule="exact"/>
        <w:rPr>
          <w:rFonts w:ascii="Times New Roman" w:cs="Times New Roman" w:eastAsia="Times New Roman" w:hAnsi="Times New Roman"/>
          <w:sz w:val="17"/>
          <w:szCs w:val="17"/>
          <w:color w:val="auto"/>
        </w:rPr>
      </w:pPr>
    </w:p>
    <w:p>
      <w:pPr>
        <w:jc w:val="both"/>
        <w:ind w:left="-20" w:right="40" w:firstLine="609"/>
        <w:spacing w:after="0" w:line="262" w:lineRule="auto"/>
        <w:tabs>
          <w:tab w:leader="none" w:pos="1169"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Act Filings Made</w:t>
      </w:r>
      <w:r>
        <w:rPr>
          <w:rFonts w:ascii="Times New Roman" w:cs="Times New Roman" w:eastAsia="Times New Roman" w:hAnsi="Times New Roman"/>
          <w:sz w:val="17"/>
          <w:szCs w:val="17"/>
          <w:color w:val="auto"/>
        </w:rPr>
        <w:t>. All filings with the Commission required by Rule 424(b) or Rule 433 under the Securities Act to have been filed prior to the issuance of any Placement Notice hereunder shall have been made within the applicable time period prescribed for such filing by Rule 424(b) (without reliance on Rule 424(b)(8) of the Securities Act) or Rule 433, as applicable.</w:t>
      </w:r>
    </w:p>
    <w:p>
      <w:pPr>
        <w:spacing w:after="0" w:line="170" w:lineRule="exact"/>
        <w:rPr>
          <w:rFonts w:ascii="Times New Roman" w:cs="Times New Roman" w:eastAsia="Times New Roman" w:hAnsi="Times New Roman"/>
          <w:sz w:val="17"/>
          <w:szCs w:val="17"/>
          <w:color w:val="auto"/>
        </w:rPr>
      </w:pPr>
    </w:p>
    <w:p>
      <w:pPr>
        <w:jc w:val="both"/>
        <w:ind w:left="-20" w:right="140" w:firstLine="609"/>
        <w:spacing w:after="0" w:line="262" w:lineRule="auto"/>
        <w:tabs>
          <w:tab w:leader="none" w:pos="116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Approval for Listing</w:t>
      </w:r>
      <w:r>
        <w:rPr>
          <w:rFonts w:ascii="Times New Roman" w:cs="Times New Roman" w:eastAsia="Times New Roman" w:hAnsi="Times New Roman"/>
          <w:sz w:val="17"/>
          <w:szCs w:val="17"/>
          <w:color w:val="auto"/>
        </w:rPr>
        <w:t>. Either (i) the Placement Shares shall have been approved for listing on Nasdaq, subject only to notice of issuance, or (ii) the Company shall have filed a Notification of Listing of Additional Shares with Nasdaq with respect to the Placement Shares at, or prior to, the First Placement Notice Date and Nasdaq shall have not provided any objections thereto.</w:t>
      </w:r>
    </w:p>
    <w:p>
      <w:pPr>
        <w:spacing w:after="0" w:line="170" w:lineRule="exact"/>
        <w:rPr>
          <w:rFonts w:ascii="Times New Roman" w:cs="Times New Roman" w:eastAsia="Times New Roman" w:hAnsi="Times New Roman"/>
          <w:sz w:val="17"/>
          <w:szCs w:val="17"/>
          <w:color w:val="auto"/>
        </w:rPr>
      </w:pPr>
    </w:p>
    <w:p>
      <w:pPr>
        <w:ind w:left="-20" w:right="420" w:firstLine="609"/>
        <w:spacing w:after="0" w:line="276" w:lineRule="auto"/>
        <w:tabs>
          <w:tab w:leader="none" w:pos="116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FINRA</w:t>
      </w:r>
      <w:r>
        <w:rPr>
          <w:rFonts w:ascii="Times New Roman" w:cs="Times New Roman" w:eastAsia="Times New Roman" w:hAnsi="Times New Roman"/>
          <w:sz w:val="17"/>
          <w:szCs w:val="17"/>
          <w:color w:val="auto"/>
        </w:rPr>
        <w:t>. FINRA shall have raised no objection to the terms of the offering contemplated hereby and the amount of compensation allowable or payable to the Agent as described in the ATM Prospectus.</w:t>
      </w:r>
    </w:p>
    <w:p>
      <w:pPr>
        <w:spacing w:after="0" w:line="158" w:lineRule="exact"/>
        <w:rPr>
          <w:rFonts w:ascii="Times New Roman" w:cs="Times New Roman" w:eastAsia="Times New Roman" w:hAnsi="Times New Roman"/>
          <w:sz w:val="17"/>
          <w:szCs w:val="17"/>
          <w:color w:val="auto"/>
        </w:rPr>
      </w:pPr>
    </w:p>
    <w:p>
      <w:pPr>
        <w:ind w:left="1160" w:hanging="571"/>
        <w:spacing w:after="0"/>
        <w:tabs>
          <w:tab w:leader="none" w:pos="11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Termination Event</w:t>
      </w:r>
      <w:r>
        <w:rPr>
          <w:rFonts w:ascii="Times New Roman" w:cs="Times New Roman" w:eastAsia="Times New Roman" w:hAnsi="Times New Roman"/>
          <w:sz w:val="17"/>
          <w:szCs w:val="17"/>
          <w:color w:val="auto"/>
        </w:rPr>
        <w:t>. There shall not have occurred any event that would permit the Agent to terminate this Agreement pursuant to Section 11(a).</w:t>
      </w:r>
    </w:p>
    <w:p>
      <w:pPr>
        <w:spacing w:after="0" w:line="210" w:lineRule="exact"/>
        <w:rPr>
          <w:sz w:val="20"/>
          <w:szCs w:val="20"/>
          <w:color w:val="auto"/>
        </w:rPr>
      </w:pPr>
    </w:p>
    <w:p>
      <w:pPr>
        <w:ind w:left="1180" w:hanging="591"/>
        <w:spacing w:after="0"/>
        <w:tabs>
          <w:tab w:leader="none" w:pos="118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and Contribution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20" w:firstLine="609"/>
        <w:spacing w:after="0" w:line="250" w:lineRule="auto"/>
        <w:tabs>
          <w:tab w:leader="none" w:pos="119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Indemnification</w:t>
      </w:r>
      <w:r>
        <w:rPr>
          <w:rFonts w:ascii="Times New Roman" w:cs="Times New Roman" w:eastAsia="Times New Roman" w:hAnsi="Times New Roman"/>
          <w:sz w:val="17"/>
          <w:szCs w:val="17"/>
          <w:color w:val="auto"/>
        </w:rPr>
        <w:t xml:space="preserve">. The Company agrees to indemnify and hold harmless the Agent, its affiliates and their respective partners, members, directors, officers, employees and agents, and each person, if any, who (i) controls the Agent within the meaning of Section 15 of the Securities Act or Section 20 of the Exchange Act or (ii) is controlled by or is under common control with the Agent, in each case from and against any and all losses, claims, liabilities, expenses and damages (including any and all investigative, legal and other expenses reasonably incurred in connection with, and any and all amounts paid in settlement (in accordance with this Section 9), any action, suit, investigation or proceeding between any of the indemnified parties and any indemnifying parties or between any indemnified party and any third party (including any governmental or self-regulatory authority, or otherwise, or any claim asserted or threatened), as and when incurred, to which the Agent, or any such other person may become subject under the Securities Act, the Exchange Act or other federal or state statutory law or regulation, at common law or otherwise, insofar as such losses, claims, liabilities, expenses or damages arise out of or are based, directly or indirectly, on (x) any untrue statement or alleged untrue statement of a material fact contained in the Registration Statement or the General Disclosure Package (or any amendment or supplement to the Registration Statement or the General Disclosure Package) or in any free writing prospectus or in any application or other document executed by or on behalf of the Company or based on written information furnished by or on behalf of the Company filed in any jurisdiction in order to qualify the Common Stock under the securities laws thereof or filed with the Commission, (y) the omission or alleged omission to state in any such document a material fact required to be stated therein or necessary to make the statements therein (solely with respect to the General Disclosure Package, in light of the circumstances under which they were made) not misleading or (z) any breach by any of the indemnifying parties of any of their respective representations, warranties or agreements contained in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this indemnity agreement shall not apply to the extent that such loss, claim, liability, expense or damage arises from the sale of the Placement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pursuant to this Agreement and is caused, directly or indirectly, by an untrue statement or omission, or alleged untrue statement or omission, made in reliance upon and in conformity with the Agent’s Information (as defined below). This indemnity agreement will be in addition to any liability that the Company might otherwise have.</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96" w:name="page97"/>
    <w:bookmarkEnd w:id="96"/>
    <w:p>
      <w:pPr>
        <w:ind w:firstLine="609"/>
        <w:spacing w:after="0" w:line="254" w:lineRule="auto"/>
        <w:tabs>
          <w:tab w:leader="none" w:pos="1184"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 Indemnification</w:t>
      </w:r>
      <w:r>
        <w:rPr>
          <w:rFonts w:ascii="Times New Roman" w:cs="Times New Roman" w:eastAsia="Times New Roman" w:hAnsi="Times New Roman"/>
          <w:sz w:val="17"/>
          <w:szCs w:val="17"/>
          <w:color w:val="auto"/>
        </w:rPr>
        <w:t>. The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9(a), as incurred, but only with respect to untrue statements or omissions, or alleged untrue statements or omissions, made in the Registration Statement (or any amendments thereto) or the General Disclosure Package (or any amendment or supplement thereto) in reliance upon and in conformity with the Agent’s Information.</w:t>
      </w:r>
    </w:p>
    <w:p>
      <w:pPr>
        <w:spacing w:after="0" w:line="177" w:lineRule="exact"/>
        <w:rPr>
          <w:rFonts w:ascii="Times New Roman" w:cs="Times New Roman" w:eastAsia="Times New Roman" w:hAnsi="Times New Roman"/>
          <w:sz w:val="17"/>
          <w:szCs w:val="17"/>
          <w:color w:val="auto"/>
        </w:rPr>
      </w:pPr>
    </w:p>
    <w:p>
      <w:pPr>
        <w:ind w:right="60" w:firstLine="609"/>
        <w:spacing w:after="0" w:line="265" w:lineRule="auto"/>
        <w:tabs>
          <w:tab w:leader="none" w:pos="1217" w:val="left"/>
        </w:tabs>
        <w:numPr>
          <w:ilvl w:val="1"/>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Procedure</w:t>
      </w:r>
      <w:r>
        <w:rPr>
          <w:rFonts w:ascii="Times New Roman" w:cs="Times New Roman" w:eastAsia="Times New Roman" w:hAnsi="Times New Roman"/>
          <w:sz w:val="16"/>
          <w:szCs w:val="16"/>
          <w:color w:val="auto"/>
        </w:rPr>
        <w:t>. Any party that proposes to assert the right to be indemnified under this Section 9 will, promptly after receipt of notice of commencement of any action against such party in respect of which a claim is to be made against an indemnifying party or parties under this Section 9,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9 and (ii) any liability that it may have to any indemnified party under the foregoing provision of this Section 9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w:t>
      </w:r>
    </w:p>
    <w:p>
      <w:pPr>
        <w:spacing w:after="0" w:line="8" w:lineRule="exact"/>
        <w:rPr>
          <w:rFonts w:ascii="Times New Roman" w:cs="Times New Roman" w:eastAsia="Times New Roman" w:hAnsi="Times New Roman"/>
          <w:sz w:val="16"/>
          <w:szCs w:val="16"/>
          <w:color w:val="auto"/>
        </w:rPr>
      </w:pPr>
    </w:p>
    <w:p>
      <w:pPr>
        <w:ind w:left="240" w:hanging="239"/>
        <w:spacing w:after="0"/>
        <w:tabs>
          <w:tab w:leader="none" w:pos="24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conflict or potential conflict exists (based on advice of counsel to the indemnified party) between the indemnified party and the indemnifying party (in which</w:t>
      </w:r>
    </w:p>
    <w:p>
      <w:pPr>
        <w:spacing w:after="0" w:line="7" w:lineRule="exact"/>
        <w:rPr>
          <w:rFonts w:ascii="Times New Roman" w:cs="Times New Roman" w:eastAsia="Times New Roman" w:hAnsi="Times New Roman"/>
          <w:sz w:val="17"/>
          <w:szCs w:val="17"/>
          <w:color w:val="auto"/>
        </w:rPr>
      </w:pPr>
    </w:p>
    <w:p>
      <w:pPr>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case the indemnifying party will not have the right to direct the defense of such action on behalf of the indemnified party) or (4) the indemnifying party has not in fact employed counsel reasonably satisfactory to the indemnified party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fees, disbursements and other charges of more than one separate firm (plus local counsel) admitted to practice in such jurisdiction at any one time for all such indemnified party or parties. All such fees, disbursements and other charges will be reimbursed by the indemnifying party promptly after the indemnifying party receives a written invoice relating to such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9 (whether or not any indemnified party is a party thereto), unless such settlement, compromise or consent (1) includes an unconditional release of each indemnified party, in form and substance reasonably satisfactory to such indemnified party, from all liability arising out of such claim, action or proceeding and (2) does not include a statement as to or an admission of fault, culpability or a failure to act by or on behalf of any indemnified party.</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97" w:name="page98"/>
    <w:bookmarkEnd w:id="97"/>
    <w:p>
      <w:pPr>
        <w:ind w:right="140" w:firstLine="609"/>
        <w:spacing w:after="0" w:line="255" w:lineRule="auto"/>
        <w:tabs>
          <w:tab w:leader="none" w:pos="1184"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 Without Consent if Failure to Reimburse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If an indemnified party shall have requested an indemnifying party to reimburse the indemnified party for reasonable fees and expenses of counsel for which it is entitled to be reimbursed under this Section 9, such indemnifying party agrees that it shall be liable for any settlement of the nature contemplated by Section 9(a)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76" w:lineRule="exact"/>
        <w:rPr>
          <w:rFonts w:ascii="Times New Roman" w:cs="Times New Roman" w:eastAsia="Times New Roman" w:hAnsi="Times New Roman"/>
          <w:sz w:val="17"/>
          <w:szCs w:val="17"/>
          <w:color w:val="auto"/>
        </w:rPr>
      </w:pPr>
    </w:p>
    <w:p>
      <w:pPr>
        <w:ind w:firstLine="609"/>
        <w:spacing w:after="0" w:line="265" w:lineRule="auto"/>
        <w:tabs>
          <w:tab w:leader="none" w:pos="1217"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Contribution</w:t>
      </w:r>
      <w:r>
        <w:rPr>
          <w:rFonts w:ascii="Times New Roman" w:cs="Times New Roman" w:eastAsia="Times New Roman" w:hAnsi="Times New Roman"/>
          <w:sz w:val="16"/>
          <w:szCs w:val="16"/>
          <w:color w:val="auto"/>
        </w:rPr>
        <w:t xml:space="preserve">. In order to provide for just and equitable contribution in circumstances in which the indemnification provided for in the foregoing paragraphs of this Section 9 is applicable in accordance with its terms but for any reason is held to be unavailable or insufficient from the Company or the Agent, the Company and the Agent will contribute to the total losses, claims, liabilities, expenses and damages (including any investigative, legal and other expenses reasonably incurred in connection with, and any amount paid in settlement of, any action, suit, investigation or proceeding or any claim asserted, but after deducting any contribution received by the Company from persons other than the Agent, such as persons who control the Company within the meaning of the Securities Act, officers of the Company who signed the Registration Statement and directors of the Company, who also may be liable for contribution)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suit, investigation or proceeding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Section 9(e) were to be determined by </w:t>
      </w:r>
      <w:r>
        <w:rPr>
          <w:rFonts w:ascii="Times New Roman" w:cs="Times New Roman" w:eastAsia="Times New Roman" w:hAnsi="Times New Roman"/>
          <w:sz w:val="16"/>
          <w:szCs w:val="16"/>
          <w:i w:val="1"/>
          <w:iCs w:val="1"/>
          <w:color w:val="auto"/>
        </w:rPr>
        <w:t>pro rata</w:t>
      </w:r>
      <w:r>
        <w:rPr>
          <w:rFonts w:ascii="Times New Roman" w:cs="Times New Roman" w:eastAsia="Times New Roman" w:hAnsi="Times New Roman"/>
          <w:sz w:val="16"/>
          <w:szCs w:val="16"/>
          <w:color w:val="auto"/>
        </w:rPr>
        <w:t xml:space="preserve"> allocation or by any other method of allocation that does not take into account the equitable considerations referred to herein. The amount paid or payable by an indemnified party as a result of the loss, claim, liability, expense or damage, or action, suit, investigation or proceeding in respect thereof, referred to above in this Section 9(e) shall be deemed to include, for the purpose of this Section 9(e), any legal or other expenses reasonably incurred by such indemnified party in connection with investigating or defending any such action, suit, investigation, proceeding or claim to the extent consistent with this Section 9. Notwithstanding the foregoing provisions of this Section 9(e),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9(e), any person who controls a party to this Agreement within the meaning of Section 15 of the Securities Act or Section 20 of the Exchange Act, any affiliates of the Agent, any partners, members, directors, officers, employees and agents of the Agent and each person that is controlled by or under common control with the Agent will have the same rights to contribution as that party, and each officer and director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9(e), will notify any such party or parties from whom contribution may be sought, but the omission to so notify will not relieve that party or parties from whom contribution may be sought from any other obligation it or they may have under this Section 9(e) except to the extent that the failure to so notify such other party materially prejudiced the substantive rights or defenses of the party from whom contribution is sought. Except for a settlement entered into pursuant to the last sentence of Section 9(c) hereof or pursuant to Section 9(d) hereof, no party will be liable for contribution with respect to any action or claim settled without its written consent if such consent is required pursuant to Section 9(c) hereof.</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ind w:right="60" w:firstLine="609"/>
        <w:spacing w:after="0" w:line="258" w:lineRule="auto"/>
        <w:tabs>
          <w:tab w:leader="none" w:pos="119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Agreements to Survive Delivery</w:t>
      </w:r>
      <w:r>
        <w:rPr>
          <w:rFonts w:ascii="Times New Roman" w:cs="Times New Roman" w:eastAsia="Times New Roman" w:hAnsi="Times New Roman"/>
          <w:sz w:val="17"/>
          <w:szCs w:val="17"/>
          <w:color w:val="auto"/>
        </w:rPr>
        <w:t>. The indemnity and contribution agreements contained in Section 9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w:t>
      </w:r>
    </w:p>
    <w:p>
      <w:pPr>
        <w:spacing w:after="0" w:line="172" w:lineRule="exact"/>
        <w:rPr>
          <w:rFonts w:ascii="Times New Roman" w:cs="Times New Roman" w:eastAsia="Times New Roman" w:hAnsi="Times New Roman"/>
          <w:sz w:val="17"/>
          <w:szCs w:val="17"/>
          <w:color w:val="auto"/>
        </w:rPr>
      </w:pPr>
    </w:p>
    <w:p>
      <w:pPr>
        <w:ind w:left="1200" w:hanging="591"/>
        <w:spacing w:after="0"/>
        <w:tabs>
          <w:tab w:leader="none" w:pos="12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609"/>
        <w:spacing w:after="0" w:line="250" w:lineRule="auto"/>
        <w:tabs>
          <w:tab w:leader="none" w:pos="1217"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Agent shall have the right, by giving notice as hereinafter specified, at any time to terminate this Agreement if (i) any Material Adverse Effect, or any development that could reasonably be expected to result in a Material Adverse Effect, has occurred that, in the judgment of the Agent, may materially impair the ability of the Agent to sell the Placement Shares hereunder, (ii) the Company shall have failed, refused or been unable to perform any agreement on its part to be performed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in the case of any failure of the Company to deliver (or cause another person to deliver) any certification, opinion or letter required under Section 7(m), Section 7(n), Section 7(o) or Section 7(p), the Agent’s right to terminate shall not arise unless such failure to deliver (or cause to be delivered) continues for more than 15 calendar days from the date such delivery was required, (iii) any other condition of the Agent’s obligations hereunder is not fulfilled, (iv) any suspension or limitation of trading in the Common Stock or in securities generally on Nasdaq shall have occurred, (v) a general banking moratorium shall have been declared by any of United States federal or New York authorities, or (vi) there shall have occurred any outbreak or escalation of national or international hostilities or any crisis or calamity, or any adverse change in the United States or international financial markets, or any substantial change or development involving a prospective substantial change in United States or international political, financial or economic conditions that, in the judgment of the Agent, may materially impair the ability of the Agent to sell the Placement Shares hereunder or to enforce contracts for the sale of securities. Any such termination shall be without liability of any party to any other party except that the provisions of Section 7(g), Section 9, Section 10, Section 11(a), Section 16 and Section 17 hereof shall remain in full force and effect notwithstanding such termination. If the Agent elects to terminate this Agreement as provided in this Section 11(a), the Agent shall provide the required notice as specified in Section 12.</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9" w:name="page100"/>
    <w:bookmarkEnd w:id="99"/>
    <w:p>
      <w:pPr>
        <w:ind w:right="120" w:firstLine="609"/>
        <w:spacing w:after="0" w:line="262" w:lineRule="auto"/>
        <w:tabs>
          <w:tab w:leader="none" w:pos="1226"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11(b), Section 11(f), Section 16 and Section 17 hereof shall remain in full force and effect notwithstanding such termination.</w:t>
      </w:r>
    </w:p>
    <w:p>
      <w:pPr>
        <w:spacing w:after="0" w:line="170" w:lineRule="exact"/>
        <w:rPr>
          <w:rFonts w:ascii="Times New Roman" w:cs="Times New Roman" w:eastAsia="Times New Roman" w:hAnsi="Times New Roman"/>
          <w:sz w:val="17"/>
          <w:szCs w:val="17"/>
          <w:color w:val="auto"/>
        </w:rPr>
      </w:pPr>
    </w:p>
    <w:p>
      <w:pPr>
        <w:ind w:right="40" w:firstLine="609"/>
        <w:spacing w:after="0" w:line="262" w:lineRule="auto"/>
        <w:tabs>
          <w:tab w:leader="none" w:pos="121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shall have the right, by giving 10 days’ prior notice as hereinafter specified, to terminate this Agreement in its sole discretion at any time after the date of this Agreement. Any such termination shall be without liability of any party to any other party except that the provisions of Section 7(g), Section 9, Section 10, Section 11(c), Section 11(f), Section 16 and Section 17 hereof shall remain in full force and effect notwithstanding such termination.</w:t>
      </w:r>
    </w:p>
    <w:p>
      <w:pPr>
        <w:spacing w:after="0" w:line="170" w:lineRule="exact"/>
        <w:rPr>
          <w:rFonts w:ascii="Times New Roman" w:cs="Times New Roman" w:eastAsia="Times New Roman" w:hAnsi="Times New Roman"/>
          <w:sz w:val="17"/>
          <w:szCs w:val="17"/>
          <w:color w:val="auto"/>
        </w:rPr>
      </w:pPr>
    </w:p>
    <w:p>
      <w:pPr>
        <w:jc w:val="both"/>
        <w:ind w:firstLine="609"/>
        <w:spacing w:after="0" w:line="262" w:lineRule="auto"/>
        <w:tabs>
          <w:tab w:leader="none" w:pos="118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earlier terminated pursuant to this Section 11, this Agreement shall automatically terminate upon the issuance and sale of all of the Placement Shares through the Agent on the terms and subject to the conditions set forth herein;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provisions of Section 7(g), Section 9, Section 10, Section 11(d), Section 11(f), Section 16 and Section 17 hereof shall remain in full force and effect notwithstanding such termination.</w:t>
      </w:r>
    </w:p>
    <w:p>
      <w:pPr>
        <w:spacing w:after="0" w:line="170" w:lineRule="exact"/>
        <w:rPr>
          <w:rFonts w:ascii="Times New Roman" w:cs="Times New Roman" w:eastAsia="Times New Roman" w:hAnsi="Times New Roman"/>
          <w:sz w:val="17"/>
          <w:szCs w:val="17"/>
          <w:color w:val="auto"/>
        </w:rPr>
      </w:pPr>
    </w:p>
    <w:p>
      <w:pPr>
        <w:jc w:val="both"/>
        <w:ind w:right="440" w:firstLine="609"/>
        <w:spacing w:after="0" w:line="262" w:lineRule="auto"/>
        <w:tabs>
          <w:tab w:leader="none" w:pos="117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shall remain in full force and effect unless terminated pursuant to Sections 11(a), (b), (c), or (d) above or otherwise by mutual agreement of the parties;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such termination by mutual agreement shall in all cases be deemed to provide that Section 7(g), Section 9, Section 10, Section 11(e), Section 11(f), Section 16 and Section 17 shall remain in full force and effect.</w:t>
      </w:r>
    </w:p>
    <w:p>
      <w:pPr>
        <w:spacing w:after="0" w:line="166" w:lineRule="exact"/>
        <w:rPr>
          <w:rFonts w:ascii="Times New Roman" w:cs="Times New Roman" w:eastAsia="Times New Roman" w:hAnsi="Times New Roman"/>
          <w:sz w:val="17"/>
          <w:szCs w:val="17"/>
          <w:color w:val="auto"/>
        </w:rPr>
      </w:pPr>
    </w:p>
    <w:p>
      <w:pPr>
        <w:ind w:firstLine="609"/>
        <w:spacing w:after="0" w:line="276" w:lineRule="auto"/>
        <w:tabs>
          <w:tab w:leader="none" w:pos="1198"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termination of this Agreement shall be effective on the date specified in such notice of termination;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Upon termination of this Agreement, the Company shall not be required to pay to the Agent any discount or commission with respect to any Placement Shares not otherwise sold by the Agent under this Agreement;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however</w:t>
      </w:r>
      <w:r>
        <w:rPr>
          <w:rFonts w:ascii="Times New Roman" w:cs="Times New Roman" w:eastAsia="Times New Roman" w:hAnsi="Times New Roman"/>
          <w:sz w:val="16"/>
          <w:szCs w:val="16"/>
          <w:color w:val="auto"/>
        </w:rPr>
        <w:t>, that the Company shall remain obligated to reimburse the Agent’s expenses pursuant to Section 7(g).</w:t>
      </w:r>
    </w:p>
    <w:p>
      <w:pPr>
        <w:spacing w:after="0" w:line="162" w:lineRule="exact"/>
        <w:rPr>
          <w:sz w:val="20"/>
          <w:szCs w:val="20"/>
          <w:color w:val="auto"/>
        </w:rPr>
      </w:pPr>
    </w:p>
    <w:p>
      <w:pPr>
        <w:ind w:right="600" w:firstLine="609"/>
        <w:spacing w:after="0" w:line="276" w:lineRule="auto"/>
        <w:tabs>
          <w:tab w:leader="none" w:pos="119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required or permitted to be given by any party to any other party pursuant to the terms of this Agreement shall be in writing, unless otherwise specified in this Agreement, and if sent to the Agent, shall be delivered to:</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Leerink Partners LLC</w:t>
      </w:r>
    </w:p>
    <w:p>
      <w:pPr>
        <w:ind w:left="580"/>
        <w:spacing w:after="0" w:line="182" w:lineRule="auto"/>
        <w:rPr>
          <w:sz w:val="20"/>
          <w:szCs w:val="20"/>
          <w:color w:val="auto"/>
        </w:rPr>
      </w:pPr>
      <w:r>
        <w:rPr>
          <w:rFonts w:ascii="Times New Roman" w:cs="Times New Roman" w:eastAsia="Times New Roman" w:hAnsi="Times New Roman"/>
          <w:sz w:val="16"/>
          <w:szCs w:val="16"/>
          <w:color w:val="auto"/>
        </w:rPr>
        <w:t>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New York, New York 10019</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Attention: Peter M. Fry</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E-mail: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copies (which shall not constitute notice) to:</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Leerink Partners LLC</w:t>
      </w:r>
    </w:p>
    <w:p>
      <w:pPr>
        <w:ind w:left="580"/>
        <w:spacing w:after="0" w:line="182" w:lineRule="auto"/>
        <w:rPr>
          <w:sz w:val="20"/>
          <w:szCs w:val="20"/>
          <w:color w:val="auto"/>
        </w:rPr>
      </w:pPr>
      <w:r>
        <w:rPr>
          <w:rFonts w:ascii="Times New Roman" w:cs="Times New Roman" w:eastAsia="Times New Roman" w:hAnsi="Times New Roman"/>
          <w:sz w:val="16"/>
          <w:szCs w:val="16"/>
          <w:color w:val="auto"/>
        </w:rPr>
        <w:t>1301 Avenue of the Americas,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spacing w:after="0" w:line="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New York, New York 10019</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Attention: Legal Department</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E-mail: [***]</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0" w:name="page101"/>
    <w:bookmarkEnd w:id="100"/>
    <w:p>
      <w:pPr>
        <w:ind w:left="580"/>
        <w:spacing w:after="0"/>
        <w:rPr>
          <w:sz w:val="20"/>
          <w:szCs w:val="20"/>
          <w:color w:val="auto"/>
        </w:rPr>
      </w:pPr>
      <w:r>
        <w:rPr>
          <w:rFonts w:ascii="Times New Roman" w:cs="Times New Roman" w:eastAsia="Times New Roman" w:hAnsi="Times New Roman"/>
          <w:sz w:val="17"/>
          <w:szCs w:val="17"/>
          <w:color w:val="auto"/>
        </w:rPr>
        <w:t>Cooley LLP</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55 Hudson Yards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New York, New York 10001</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Attention: Daniel I. Goldberg</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E-mail: [***]</w:t>
      </w:r>
    </w:p>
    <w:p>
      <w:pPr>
        <w:spacing w:after="0" w:line="194" w:lineRule="exact"/>
        <w:rPr>
          <w:sz w:val="20"/>
          <w:szCs w:val="20"/>
          <w:color w:val="auto"/>
        </w:rPr>
      </w:pPr>
    </w:p>
    <w:p>
      <w:pPr>
        <w:jc w:val="center"/>
        <w:ind w:right="8220"/>
        <w:spacing w:after="0"/>
        <w:rPr>
          <w:sz w:val="20"/>
          <w:szCs w:val="20"/>
          <w:color w:val="auto"/>
        </w:rPr>
      </w:pPr>
      <w:r>
        <w:rPr>
          <w:rFonts w:ascii="Times New Roman" w:cs="Times New Roman" w:eastAsia="Times New Roman" w:hAnsi="Times New Roman"/>
          <w:sz w:val="16"/>
          <w:szCs w:val="16"/>
          <w:color w:val="auto"/>
        </w:rPr>
        <w:t>and if to the Company, shall be delivered to:</w:t>
      </w:r>
    </w:p>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Attention: Blaine Davis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7495 New Horizon Way</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Frederick, Maryland 21703</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E-mail: [***]</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Covington &amp; Burling LLP</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Attention: Brian K. Rosenzweig; Sarah C. Griffiths</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One International Place, Suite 1020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Boston, Massachusetts 02110</w:t>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E-mail: [***]; [***]</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Each party to this Agreement may change such address for notices by sending to the parties to this Agreement written notice of a new address for such purpose. Each such notice or other communication shall be deemed given (i) when delivered personally on or before 4:30 P.M., New York City time, on a Business Day, or, if such day is not a Business Day, on the next succeeding Business Day, (ii) by Electronic Notice as set forth in the next paragraph, (iii) on the next Business Day after timely delivery to a nationally recognized overnight courier or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7"/>
          <w:szCs w:val="17"/>
          <w:b w:val="1"/>
          <w:bCs w:val="1"/>
          <w:u w:val="single" w:color="auto"/>
          <w:color w:val="auto"/>
        </w:rPr>
        <w:t>Business Day</w:t>
      </w:r>
      <w:r>
        <w:rPr>
          <w:rFonts w:ascii="Times New Roman" w:cs="Times New Roman" w:eastAsia="Times New Roman" w:hAnsi="Times New Roman"/>
          <w:sz w:val="17"/>
          <w:szCs w:val="17"/>
          <w:color w:val="auto"/>
        </w:rPr>
        <w:t>” shall mean any day on which the Nasdaq and commercial banks in the City of New York are open for business.</w:t>
      </w:r>
    </w:p>
    <w:p>
      <w:pPr>
        <w:spacing w:after="0" w:line="17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An electronic communication (“</w:t>
      </w:r>
      <w:r>
        <w:rPr>
          <w:rFonts w:ascii="Times New Roman" w:cs="Times New Roman" w:eastAsia="Times New Roman" w:hAnsi="Times New Roman"/>
          <w:sz w:val="17"/>
          <w:szCs w:val="17"/>
          <w:b w:val="1"/>
          <w:bCs w:val="1"/>
          <w:u w:val="single" w:color="auto"/>
          <w:color w:val="auto"/>
        </w:rPr>
        <w:t>Electronic Notice</w:t>
      </w:r>
      <w:r>
        <w:rPr>
          <w:rFonts w:ascii="Times New Roman" w:cs="Times New Roman" w:eastAsia="Times New Roman" w:hAnsi="Times New Roman"/>
          <w:sz w:val="17"/>
          <w:szCs w:val="17"/>
          <w:color w:val="auto"/>
        </w:rPr>
        <w:t>”) shall be deemed written notice for purposes of this Section 12 if sent to the electronic mail address specified by the receiving party in Section 12. Electronic Notice shall be deemed received at the time the party sending Electronic Notice receives actual acknowledgment of receipt from the person whom the notice is sent, other than via auto-reply. Any party receiving Electronic Notice may request and shall be entitled to receive the notice on paper, in a nonelectronic form (“</w:t>
      </w:r>
      <w:r>
        <w:rPr>
          <w:rFonts w:ascii="Times New Roman" w:cs="Times New Roman" w:eastAsia="Times New Roman" w:hAnsi="Times New Roman"/>
          <w:sz w:val="17"/>
          <w:szCs w:val="17"/>
          <w:b w:val="1"/>
          <w:bCs w:val="1"/>
          <w:u w:val="single" w:color="auto"/>
          <w:color w:val="auto"/>
        </w:rPr>
        <w:t>Nonelectronic Notice</w:t>
      </w:r>
      <w:r>
        <w:rPr>
          <w:rFonts w:ascii="Times New Roman" w:cs="Times New Roman" w:eastAsia="Times New Roman" w:hAnsi="Times New Roman"/>
          <w:sz w:val="17"/>
          <w:szCs w:val="17"/>
          <w:color w:val="auto"/>
        </w:rPr>
        <w:t>”), which shall be sent to the requesting party within 10 days of receipt of the written request for Nonelectronic Notice.</w:t>
      </w:r>
    </w:p>
    <w:p>
      <w:pPr>
        <w:spacing w:after="0" w:line="173" w:lineRule="exact"/>
        <w:rPr>
          <w:sz w:val="20"/>
          <w:szCs w:val="20"/>
          <w:color w:val="auto"/>
        </w:rPr>
      </w:pPr>
    </w:p>
    <w:p>
      <w:pPr>
        <w:ind w:firstLine="609"/>
        <w:spacing w:after="0" w:line="253" w:lineRule="auto"/>
        <w:tabs>
          <w:tab w:leader="none" w:pos="1198"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This Agreement shall inure to the benefit of and be binding upon the Company and the Agent and their respective successors and the affiliates, controlling persons, officers, directors and other persons referred to in Section 9 hereof. References to any of the parties contained in this Agreement shall be deemed to include the successors and permitted assigns of each such party. Nothing in this Agreement, express or implied, is intended to confer upon any party other than the parties hereto, the persons referred to in the preceding sentence and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Agent may assign its rights and obligations hereunder to an affiliate of the Agent without obtaining the Company’s consent, so long as such affiliate is a registered broker-dealer.</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01" w:name="page102"/>
    <w:bookmarkEnd w:id="101"/>
    <w:p>
      <w:pPr>
        <w:ind w:right="180" w:firstLine="609"/>
        <w:spacing w:after="0" w:line="276" w:lineRule="auto"/>
        <w:tabs>
          <w:tab w:leader="none" w:pos="119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Adjustments for Share Splits</w:t>
      </w:r>
      <w:r>
        <w:rPr>
          <w:rFonts w:ascii="Times New Roman" w:cs="Times New Roman" w:eastAsia="Times New Roman" w:hAnsi="Times New Roman"/>
          <w:sz w:val="17"/>
          <w:szCs w:val="17"/>
          <w:color w:val="auto"/>
        </w:rPr>
        <w:t>. The parties acknowledge and agree that any share-related numbers contained in this Agreement shall be adjusted to take into account any share split, share dividend or similar event effected with respect to the Common Stock.</w:t>
      </w:r>
    </w:p>
    <w:p>
      <w:pPr>
        <w:spacing w:after="0" w:line="158" w:lineRule="exact"/>
        <w:rPr>
          <w:rFonts w:ascii="Times New Roman" w:cs="Times New Roman" w:eastAsia="Times New Roman" w:hAnsi="Times New Roman"/>
          <w:sz w:val="17"/>
          <w:szCs w:val="17"/>
          <w:color w:val="auto"/>
        </w:rPr>
      </w:pPr>
    </w:p>
    <w:p>
      <w:pPr>
        <w:ind w:firstLine="609"/>
        <w:spacing w:after="0" w:line="250" w:lineRule="auto"/>
        <w:tabs>
          <w:tab w:leader="none" w:pos="119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 Amendment; Severability; Waiver</w:t>
      </w:r>
      <w:r>
        <w:rPr>
          <w:rFonts w:ascii="Times New Roman" w:cs="Times New Roman" w:eastAsia="Times New Roman" w:hAnsi="Times New Roman"/>
          <w:sz w:val="17"/>
          <w:szCs w:val="17"/>
          <w:color w:val="auto"/>
        </w:rPr>
        <w:t>. This Agreement (including all schedules (as amended pursuant to this Agreement) and exhibits attached hereto and Placement Notices issued pursuant hereto) constitutes the entire agreement and supersedes all other prior and contemporaneous agreements and undertakings, both written and oral, among the parties hereto with regard to the subject matter hereof, including that certain sales agreement, dated October 25, 2021, between the Agent and the Company (the “</w:t>
      </w:r>
      <w:r>
        <w:rPr>
          <w:rFonts w:ascii="Times New Roman" w:cs="Times New Roman" w:eastAsia="Times New Roman" w:hAnsi="Times New Roman"/>
          <w:sz w:val="17"/>
          <w:szCs w:val="17"/>
          <w:b w:val="1"/>
          <w:bCs w:val="1"/>
          <w:u w:val="single" w:color="auto"/>
          <w:color w:val="auto"/>
        </w:rPr>
        <w:t>Prior Sales Agreement</w:t>
      </w:r>
      <w:r>
        <w:rPr>
          <w:rFonts w:ascii="Times New Roman" w:cs="Times New Roman" w:eastAsia="Times New Roman" w:hAnsi="Times New Roman"/>
          <w:sz w:val="17"/>
          <w:szCs w:val="17"/>
          <w:color w:val="auto"/>
        </w:rPr>
        <w:t xml:space="preserve">”). Neither this Agreement nor any term hereof may be amended except pursuant to a written instrument executed by the Company and the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of this Agreement may be amended by either party from time to time by sending a notice containing a revised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to the other party in the manner provided in Section 12 and, upon such amendment, all references herein to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xml:space="preserve"> shall automatically be deemed to refer to such amended </w:t>
      </w:r>
      <w:r>
        <w:rPr>
          <w:rFonts w:ascii="Times New Roman" w:cs="Times New Roman" w:eastAsia="Times New Roman" w:hAnsi="Times New Roman"/>
          <w:sz w:val="17"/>
          <w:szCs w:val="17"/>
          <w:b w:val="1"/>
          <w:bCs w:val="1"/>
          <w:u w:val="single" w:color="auto"/>
          <w:color w:val="auto"/>
        </w:rPr>
        <w:t>Schedule 2</w:t>
      </w:r>
      <w:r>
        <w:rPr>
          <w:rFonts w:ascii="Times New Roman" w:cs="Times New Roman" w:eastAsia="Times New Roman" w:hAnsi="Times New Roman"/>
          <w:sz w:val="17"/>
          <w:szCs w:val="17"/>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 For the avoidance of doubt, the Prior Sales Agreement shall be deemed terminated as of the date hereof, with both the Agent and the Company consenting hereby to waive any required notice periods for such termination under the Prior Sales Agreement.</w:t>
      </w:r>
    </w:p>
    <w:p>
      <w:pPr>
        <w:spacing w:after="0" w:line="183" w:lineRule="exact"/>
        <w:rPr>
          <w:rFonts w:ascii="Times New Roman" w:cs="Times New Roman" w:eastAsia="Times New Roman" w:hAnsi="Times New Roman"/>
          <w:sz w:val="17"/>
          <w:szCs w:val="17"/>
          <w:color w:val="auto"/>
        </w:rPr>
      </w:pPr>
    </w:p>
    <w:p>
      <w:pPr>
        <w:ind w:right="40" w:firstLine="609"/>
        <w:spacing w:after="0" w:line="257" w:lineRule="auto"/>
        <w:tabs>
          <w:tab w:leader="none" w:pos="1198"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 AND TIME; WAIVER OF JURY TRIAL</w:t>
      </w:r>
      <w:r>
        <w:rPr>
          <w:rFonts w:ascii="Times New Roman" w:cs="Times New Roman" w:eastAsia="Times New Roman" w:hAnsi="Times New Roman"/>
          <w:sz w:val="17"/>
          <w:szCs w:val="17"/>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spacing w:after="0" w:line="173" w:lineRule="exact"/>
        <w:rPr>
          <w:rFonts w:ascii="Times New Roman" w:cs="Times New Roman" w:eastAsia="Times New Roman" w:hAnsi="Times New Roman"/>
          <w:sz w:val="17"/>
          <w:szCs w:val="17"/>
          <w:color w:val="auto"/>
        </w:rPr>
      </w:pPr>
    </w:p>
    <w:p>
      <w:pPr>
        <w:ind w:right="40" w:firstLine="609"/>
        <w:spacing w:after="0" w:line="271" w:lineRule="auto"/>
        <w:tabs>
          <w:tab w:leader="none" w:pos="119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Consent to Jurisdiction</w:t>
      </w:r>
      <w:r>
        <w:rPr>
          <w:rFonts w:ascii="Times New Roman" w:cs="Times New Roman" w:eastAsia="Times New Roman" w:hAnsi="Times New Roman"/>
          <w:sz w:val="16"/>
          <w:szCs w:val="16"/>
          <w:color w:val="auto"/>
        </w:rPr>
        <w:t>. Each party hereby irrevocably submits to the exclusive jurisdiction of the state and federal courts sitting in the City of New York, Borough of Manhattan, for the adjudication of any dispute hereunder or in connection with any of the transactions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(certified or registered mail, return receipt requested) to such party at the address in effect for notices under Section 12 of this Agreement and agrees that such service shall constitute good and sufficient notice of process and notice thereof. Nothing contained herein shall be deemed to limit in any way any right to serve process in any manner permitted by law.</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2" w:name="page103"/>
    <w:bookmarkEnd w:id="102"/>
    <w:p>
      <w:pPr>
        <w:ind w:left="1200" w:hanging="591"/>
        <w:spacing w:after="0"/>
        <w:tabs>
          <w:tab w:leader="none" w:pos="120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180" w:hanging="571"/>
        <w:spacing w:after="0"/>
        <w:tabs>
          <w:tab w:leader="none" w:pos="11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section and exhibit headings herein are for convenience only and shall not affect the construction hereof.</w:t>
      </w:r>
    </w:p>
    <w:p>
      <w:pPr>
        <w:spacing w:after="0" w:line="209" w:lineRule="exact"/>
        <w:rPr>
          <w:rFonts w:ascii="Times New Roman" w:cs="Times New Roman" w:eastAsia="Times New Roman" w:hAnsi="Times New Roman"/>
          <w:sz w:val="17"/>
          <w:szCs w:val="17"/>
          <w:color w:val="auto"/>
        </w:rPr>
      </w:pPr>
    </w:p>
    <w:p>
      <w:pPr>
        <w:ind w:left="1180" w:hanging="571"/>
        <w:spacing w:after="0"/>
        <w:tabs>
          <w:tab w:leader="none" w:pos="11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defined in the singular shall have a comparable meaning when used in the plural, and vice versa.</w:t>
      </w:r>
    </w:p>
    <w:p>
      <w:pPr>
        <w:spacing w:after="0" w:line="209" w:lineRule="exact"/>
        <w:rPr>
          <w:rFonts w:ascii="Times New Roman" w:cs="Times New Roman" w:eastAsia="Times New Roman" w:hAnsi="Times New Roman"/>
          <w:sz w:val="17"/>
          <w:szCs w:val="17"/>
          <w:color w:val="auto"/>
        </w:rPr>
      </w:pPr>
    </w:p>
    <w:p>
      <w:pPr>
        <w:ind w:right="40" w:firstLine="609"/>
        <w:spacing w:after="0" w:line="276" w:lineRule="auto"/>
        <w:tabs>
          <w:tab w:leader="none" w:pos="1217"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words “hereof,” “hereto,” “herein” and “hereunder” and words of similar import, when used in this Agreement, shall refer to this Agreement as a whole and not to any particular provision of this Agreement.</w:t>
      </w:r>
    </w:p>
    <w:p>
      <w:pPr>
        <w:spacing w:after="0" w:line="158" w:lineRule="exact"/>
        <w:rPr>
          <w:rFonts w:ascii="Times New Roman" w:cs="Times New Roman" w:eastAsia="Times New Roman" w:hAnsi="Times New Roman"/>
          <w:sz w:val="17"/>
          <w:szCs w:val="17"/>
          <w:color w:val="auto"/>
        </w:rPr>
      </w:pPr>
    </w:p>
    <w:p>
      <w:pPr>
        <w:ind w:left="1180" w:hanging="571"/>
        <w:spacing w:after="0"/>
        <w:tabs>
          <w:tab w:leader="none" w:pos="118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Wherever the word “include,” “includes” or “including” is used in this Agreement, it shall be deemed to be followed by the words “without</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w:t>
      </w:r>
    </w:p>
    <w:p>
      <w:pPr>
        <w:spacing w:after="0" w:line="193" w:lineRule="exact"/>
        <w:rPr>
          <w:rFonts w:ascii="Times New Roman" w:cs="Times New Roman" w:eastAsia="Times New Roman" w:hAnsi="Times New Roman"/>
          <w:sz w:val="17"/>
          <w:szCs w:val="17"/>
          <w:color w:val="auto"/>
        </w:rPr>
      </w:pPr>
    </w:p>
    <w:p>
      <w:pPr>
        <w:ind w:left="1220" w:hanging="611"/>
        <w:spacing w:after="0"/>
        <w:tabs>
          <w:tab w:leader="none" w:pos="12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herein to any gender shall include each other gender.</w:t>
      </w:r>
    </w:p>
    <w:p>
      <w:pPr>
        <w:spacing w:after="0" w:line="209" w:lineRule="exact"/>
        <w:rPr>
          <w:rFonts w:ascii="Times New Roman" w:cs="Times New Roman" w:eastAsia="Times New Roman" w:hAnsi="Times New Roman"/>
          <w:sz w:val="17"/>
          <w:szCs w:val="17"/>
          <w:color w:val="auto"/>
        </w:rPr>
      </w:pPr>
    </w:p>
    <w:p>
      <w:pPr>
        <w:ind w:right="120" w:firstLine="609"/>
        <w:spacing w:after="0" w:line="262" w:lineRule="auto"/>
        <w:tabs>
          <w:tab w:leader="none" w:pos="119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70" w:lineRule="exact"/>
        <w:rPr>
          <w:sz w:val="20"/>
          <w:szCs w:val="20"/>
          <w:color w:val="auto"/>
        </w:rPr>
      </w:pPr>
    </w:p>
    <w:p>
      <w:pPr>
        <w:ind w:right="100" w:firstLine="609"/>
        <w:spacing w:after="0" w:line="253" w:lineRule="auto"/>
        <w:tabs>
          <w:tab w:leader="none" w:pos="119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Permitted Free Writing Prospectuses</w:t>
      </w:r>
      <w:r>
        <w:rPr>
          <w:rFonts w:ascii="Times New Roman" w:cs="Times New Roman" w:eastAsia="Times New Roman" w:hAnsi="Times New Roman"/>
          <w:sz w:val="17"/>
          <w:szCs w:val="17"/>
          <w:color w:val="auto"/>
        </w:rPr>
        <w:t>. Each of the Company and the Agent represents, warrants and agrees that, unless it obtains the prior written consent of the other party, which consent shall not be unreasonably withheld, conditioned or delayed,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w:t>
      </w:r>
      <w:r>
        <w:rPr>
          <w:rFonts w:ascii="Times New Roman" w:cs="Times New Roman" w:eastAsia="Times New Roman" w:hAnsi="Times New Roman"/>
          <w:sz w:val="17"/>
          <w:szCs w:val="17"/>
          <w:b w:val="1"/>
          <w:bCs w:val="1"/>
          <w:u w:val="single" w:color="auto"/>
          <w:color w:val="auto"/>
        </w:rPr>
        <w:t>Permitted Free Writing Prospectus</w:t>
      </w:r>
      <w:r>
        <w:rPr>
          <w:rFonts w:ascii="Times New Roman" w:cs="Times New Roman" w:eastAsia="Times New Roman" w:hAnsi="Times New Roman"/>
          <w:sz w:val="17"/>
          <w:szCs w:val="17"/>
          <w:color w:val="auto"/>
        </w:rPr>
        <w:t>.” The Company represents and warrants that it has treated and agrees that it will treat each Permitted Free Writing Prospectus as an issuer free writing prospectus, and that it has complied and will comply with the requirements of Rule 433 applicable to any Permitted Free Writing Prospectus, including timely filing with the Commission where required, legending and record keeping.</w:t>
      </w:r>
    </w:p>
    <w:p>
      <w:pPr>
        <w:spacing w:after="0" w:line="178" w:lineRule="exact"/>
        <w:rPr>
          <w:rFonts w:ascii="Times New Roman" w:cs="Times New Roman" w:eastAsia="Times New Roman" w:hAnsi="Times New Roman"/>
          <w:sz w:val="17"/>
          <w:szCs w:val="17"/>
          <w:color w:val="auto"/>
        </w:rPr>
      </w:pPr>
    </w:p>
    <w:p>
      <w:pPr>
        <w:ind w:left="1200" w:hanging="591"/>
        <w:spacing w:after="0"/>
        <w:tabs>
          <w:tab w:leader="none" w:pos="120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Absence of Fiduciary Relationship</w:t>
      </w:r>
      <w:r>
        <w:rPr>
          <w:rFonts w:ascii="Times New Roman" w:cs="Times New Roman" w:eastAsia="Times New Roman" w:hAnsi="Times New Roman"/>
          <w:sz w:val="17"/>
          <w:szCs w:val="17"/>
          <w:color w:val="auto"/>
        </w:rPr>
        <w:t>. The Company acknowledges and agrees that:</w:t>
      </w:r>
    </w:p>
    <w:p>
      <w:pPr>
        <w:spacing w:after="0" w:line="210" w:lineRule="exact"/>
        <w:rPr>
          <w:sz w:val="20"/>
          <w:szCs w:val="20"/>
          <w:color w:val="auto"/>
        </w:rPr>
      </w:pPr>
    </w:p>
    <w:p>
      <w:pPr>
        <w:ind w:right="20" w:firstLine="609"/>
        <w:spacing w:after="0" w:line="255" w:lineRule="auto"/>
        <w:tabs>
          <w:tab w:leader="none" w:pos="121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has been retained to act as sales agent in connection with the sale of the Placement Shares, the Agent has acted at arms’ length and no fiduciary or advisory relationship between the Company or any of its respective affiliates, stockholders (or other equity holders), creditors or employees or any other party, on the one hand, and the Agent, on the other hand, has been or will be created in respect of any of the transactions contemplated by this Agreement, irrespective of whether the Agent has advised or is advising the Company on other matters and the Agent has no duties or obligations to the Company with respect to the transactions contemplated by this Agreement except the obligations expressly set forth herein;</w:t>
      </w:r>
    </w:p>
    <w:p>
      <w:pPr>
        <w:spacing w:after="0" w:line="177" w:lineRule="exact"/>
        <w:rPr>
          <w:rFonts w:ascii="Times New Roman" w:cs="Times New Roman" w:eastAsia="Times New Roman" w:hAnsi="Times New Roman"/>
          <w:sz w:val="17"/>
          <w:szCs w:val="17"/>
          <w:color w:val="auto"/>
        </w:rPr>
      </w:pPr>
    </w:p>
    <w:p>
      <w:pPr>
        <w:ind w:right="760" w:firstLine="609"/>
        <w:spacing w:after="0" w:line="276" w:lineRule="auto"/>
        <w:tabs>
          <w:tab w:leader="none" w:pos="1226"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capable of evaluating, and understanding and understands and accepts, the terms, risks and conditions of the transactions contemplated by this Agreement;</w:t>
      </w:r>
    </w:p>
    <w:p>
      <w:pPr>
        <w:spacing w:after="0" w:line="158" w:lineRule="exact"/>
        <w:rPr>
          <w:rFonts w:ascii="Times New Roman" w:cs="Times New Roman" w:eastAsia="Times New Roman" w:hAnsi="Times New Roman"/>
          <w:sz w:val="17"/>
          <w:szCs w:val="17"/>
          <w:color w:val="auto"/>
        </w:rPr>
      </w:pPr>
    </w:p>
    <w:p>
      <w:pPr>
        <w:ind w:firstLine="609"/>
        <w:spacing w:after="0" w:line="276" w:lineRule="auto"/>
        <w:tabs>
          <w:tab w:leader="none" w:pos="1217"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Agent nor its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3" w:name="page104"/>
    <w:bookmarkEnd w:id="103"/>
    <w:p>
      <w:pPr>
        <w:ind w:firstLine="609"/>
        <w:spacing w:after="0" w:line="262" w:lineRule="auto"/>
        <w:tabs>
          <w:tab w:leader="none" w:pos="1184"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been advised and is aware that the Agent and its affiliates are engaged in a broad range of transactions which may involve interests that differ from those of the Company and that the Agent and its affiliates have no obligation to disclose such interests and transactions to the Company by virtue of any fiduciary, advisory or agency relationship or otherwise; and</w:t>
      </w:r>
    </w:p>
    <w:p>
      <w:pPr>
        <w:spacing w:after="0" w:line="170" w:lineRule="exact"/>
        <w:rPr>
          <w:rFonts w:ascii="Times New Roman" w:cs="Times New Roman" w:eastAsia="Times New Roman" w:hAnsi="Times New Roman"/>
          <w:sz w:val="17"/>
          <w:szCs w:val="17"/>
          <w:color w:val="auto"/>
        </w:rPr>
      </w:pPr>
    </w:p>
    <w:p>
      <w:pPr>
        <w:jc w:val="both"/>
        <w:ind w:right="80" w:firstLine="609"/>
        <w:spacing w:after="0" w:line="258" w:lineRule="auto"/>
        <w:tabs>
          <w:tab w:leader="none" w:pos="1217"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waives, to the fullest extent permitted by law, any claims it may have against the Agent or its affiliates for breach of fiduciary duty or alleged breach of fiduciary duty in connection with the transactions contemplated by this Agreement and agrees that the Agent and its affiliates shall have no liability (whether direct or indirect) to the Company in respect of such a fiduciary claim or to any person asserting a fiduciary duty claim on behalf of or in right of the Company, including stockholders (or other equity holders), creditors or employees of the Company.</w:t>
      </w:r>
    </w:p>
    <w:p>
      <w:pPr>
        <w:spacing w:after="0" w:line="173" w:lineRule="exact"/>
        <w:rPr>
          <w:sz w:val="20"/>
          <w:szCs w:val="20"/>
          <w:color w:val="auto"/>
        </w:rPr>
      </w:pPr>
    </w:p>
    <w:p>
      <w:pPr>
        <w:ind w:firstLine="609"/>
        <w:spacing w:after="0" w:line="258" w:lineRule="auto"/>
        <w:tabs>
          <w:tab w:leader="none" w:pos="1198"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Recognition of the U.S. Special Resolution Regimes</w:t>
      </w:r>
      <w:r>
        <w:rPr>
          <w:rFonts w:ascii="Times New Roman" w:cs="Times New Roman" w:eastAsia="Times New Roman" w:hAnsi="Times New Roman"/>
          <w:sz w:val="17"/>
          <w:szCs w:val="17"/>
          <w:color w:val="auto"/>
        </w:rPr>
        <w:t>. In the event that the Agent is a Covered Entity (as defined below) and becomes subject to a proceeding under a U.S. Special Resolution Regime (as defined below),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3" w:lineRule="exact"/>
        <w:rPr>
          <w:sz w:val="20"/>
          <w:szCs w:val="20"/>
          <w:color w:val="auto"/>
        </w:rPr>
      </w:pPr>
    </w:p>
    <w:p>
      <w:pPr>
        <w:ind w:right="80" w:firstLine="608"/>
        <w:spacing w:after="0" w:line="258" w:lineRule="auto"/>
        <w:rPr>
          <w:sz w:val="20"/>
          <w:szCs w:val="20"/>
          <w:color w:val="auto"/>
        </w:rPr>
      </w:pPr>
      <w:r>
        <w:rPr>
          <w:rFonts w:ascii="Times New Roman" w:cs="Times New Roman" w:eastAsia="Times New Roman" w:hAnsi="Times New Roman"/>
          <w:sz w:val="17"/>
          <w:szCs w:val="17"/>
          <w:color w:val="auto"/>
        </w:rPr>
        <w:t>In the event that the Agent is a Covered Entity and the Agent or a BHC Act Affiliate (as defined below) of the Agent becomes subject to a proceeding under a U.S. Special Resolution Regime, Default Rights (as defined below)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173" w:lineRule="exact"/>
        <w:rPr>
          <w:sz w:val="20"/>
          <w:szCs w:val="20"/>
          <w:color w:val="auto"/>
        </w:rPr>
      </w:pPr>
    </w:p>
    <w:p>
      <w:pPr>
        <w:ind w:right="20" w:firstLine="608"/>
        <w:spacing w:after="0" w:line="273" w:lineRule="auto"/>
        <w:rPr>
          <w:sz w:val="20"/>
          <w:szCs w:val="20"/>
          <w:color w:val="auto"/>
        </w:rPr>
      </w:pPr>
      <w:r>
        <w:rPr>
          <w:rFonts w:ascii="Times New Roman" w:cs="Times New Roman" w:eastAsia="Times New Roman" w:hAnsi="Times New Roman"/>
          <w:sz w:val="16"/>
          <w:szCs w:val="16"/>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3" w:lineRule="exact"/>
        <w:rPr>
          <w:sz w:val="20"/>
          <w:szCs w:val="20"/>
          <w:color w:val="auto"/>
        </w:rPr>
      </w:pPr>
    </w:p>
    <w:p>
      <w:pPr>
        <w:ind w:right="100" w:firstLine="609"/>
        <w:spacing w:after="0" w:line="255" w:lineRule="auto"/>
        <w:tabs>
          <w:tab w:leader="none" w:pos="119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7" w:lineRule="exact"/>
        <w:rPr>
          <w:rFonts w:ascii="Times New Roman" w:cs="Times New Roman" w:eastAsia="Times New Roman" w:hAnsi="Times New Roman"/>
          <w:sz w:val="17"/>
          <w:szCs w:val="17"/>
          <w:color w:val="auto"/>
        </w:rPr>
      </w:pPr>
    </w:p>
    <w:p>
      <w:pPr>
        <w:ind w:right="220" w:firstLine="609"/>
        <w:spacing w:after="0" w:line="262" w:lineRule="auto"/>
        <w:tabs>
          <w:tab w:leader="none" w:pos="1198"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Information</w:t>
      </w:r>
      <w:r>
        <w:rPr>
          <w:rFonts w:ascii="Times New Roman" w:cs="Times New Roman" w:eastAsia="Times New Roman" w:hAnsi="Times New Roman"/>
          <w:sz w:val="17"/>
          <w:szCs w:val="17"/>
          <w:color w:val="auto"/>
        </w:rPr>
        <w:t>. The Agent may not provide any information gained in connection with this Agreement and the transactions contemplated by this Agreement, including due diligence, to any third party other than its legal counsel advising it on this Agreement and the transactions contemplated by this Agreement unless expressly approved by the Company in writing.</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4" w:name="page105"/>
    <w:bookmarkEnd w:id="104"/>
    <w:p>
      <w:pPr>
        <w:ind w:firstLine="609"/>
        <w:spacing w:after="0" w:line="281" w:lineRule="auto"/>
        <w:tabs>
          <w:tab w:leader="none" w:pos="1198"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 Information</w:t>
      </w:r>
      <w:r>
        <w:rPr>
          <w:rFonts w:ascii="Times New Roman" w:cs="Times New Roman" w:eastAsia="Times New Roman" w:hAnsi="Times New Roman"/>
          <w:sz w:val="17"/>
          <w:szCs w:val="17"/>
          <w:color w:val="auto"/>
        </w:rPr>
        <w:t>. As used in this Agreement, “</w:t>
      </w:r>
      <w:r>
        <w:rPr>
          <w:rFonts w:ascii="Times New Roman" w:cs="Times New Roman" w:eastAsia="Times New Roman" w:hAnsi="Times New Roman"/>
          <w:sz w:val="17"/>
          <w:szCs w:val="17"/>
          <w:b w:val="1"/>
          <w:bCs w:val="1"/>
          <w:u w:val="single" w:color="auto"/>
          <w:color w:val="auto"/>
        </w:rPr>
        <w:t>Agent’s Information</w:t>
      </w:r>
      <w:r>
        <w:rPr>
          <w:rFonts w:ascii="Times New Roman" w:cs="Times New Roman" w:eastAsia="Times New Roman" w:hAnsi="Times New Roman"/>
          <w:sz w:val="17"/>
          <w:szCs w:val="17"/>
          <w:color w:val="auto"/>
        </w:rPr>
        <w:t>” means solely the following information in the Registration Statement and the ATM Prospectus: the third sentence of the seventh paragraph and the ninth paragraph under the heading “Plan of Distribution” in the ATM Prospectus.</w:t>
      </w:r>
    </w:p>
    <w:p>
      <w:pPr>
        <w:spacing w:after="0" w:line="154" w:lineRule="exact"/>
        <w:rPr>
          <w:sz w:val="20"/>
          <w:szCs w:val="20"/>
          <w:color w:val="auto"/>
        </w:rPr>
      </w:pPr>
    </w:p>
    <w:p>
      <w:pPr>
        <w:ind w:firstLine="608"/>
        <w:spacing w:after="0" w:line="255" w:lineRule="auto"/>
        <w:rPr>
          <w:sz w:val="20"/>
          <w:szCs w:val="20"/>
          <w:color w:val="auto"/>
        </w:rPr>
      </w:pPr>
      <w:r>
        <w:rPr>
          <w:rFonts w:ascii="Times New Roman" w:cs="Times New Roman" w:eastAsia="Times New Roman" w:hAnsi="Times New Roman"/>
          <w:sz w:val="17"/>
          <w:szCs w:val="17"/>
          <w:color w:val="auto"/>
        </w:rPr>
        <w:t>All references in this Agreement to the Registration Statement, the ATM Prospectus, the General Disclosure Package or any amendment or supplement to any of the foregoing shall be deemed to include the copy filed with the Commission pursuant to EDGAR. All references in this Agreement to financial statements and schedules and other information that is “contained,” “included” or “stated” in the Registration Statement, the ATM Prospectus or the General Disclosure Package (and all other references of like import) shall be deemed to mean and include all such financial statements and schedules and other information that is incorporated by reference in the Registration Statement, the Prospectus or the General Disclosure Package, as the case may be.</w:t>
      </w:r>
    </w:p>
    <w:p>
      <w:pPr>
        <w:spacing w:after="0" w:line="177" w:lineRule="exact"/>
        <w:rPr>
          <w:sz w:val="20"/>
          <w:szCs w:val="20"/>
          <w:color w:val="auto"/>
        </w:rPr>
      </w:pPr>
    </w:p>
    <w:p>
      <w:pPr>
        <w:ind w:right="500" w:firstLine="608"/>
        <w:spacing w:after="0" w:line="276" w:lineRule="auto"/>
        <w:rPr>
          <w:sz w:val="20"/>
          <w:szCs w:val="20"/>
          <w:color w:val="auto"/>
        </w:rPr>
      </w:pPr>
      <w:r>
        <w:rPr>
          <w:rFonts w:ascii="Times New Roman" w:cs="Times New Roman" w:eastAsia="Times New Roman" w:hAnsi="Times New Roman"/>
          <w:sz w:val="17"/>
          <w:szCs w:val="17"/>
          <w:color w:val="auto"/>
        </w:rPr>
        <w:t>All references in this Agreement to “supplements” to the ATM Prospectus shall include any supplements, “wrappers” or similar materials prepared in connection with any offering, sale or private placement of any Placement Shares by the Agent outside of the United States.</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[Remainder of Page Intentionally Blank]</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05" w:name="page106"/>
    <w:bookmarkEnd w:id="105"/>
    <w:p>
      <w:pPr>
        <w:ind w:firstLine="608"/>
        <w:spacing w:after="0" w:line="276" w:lineRule="auto"/>
        <w:rPr>
          <w:sz w:val="20"/>
          <w:szCs w:val="20"/>
          <w:color w:val="auto"/>
        </w:rPr>
      </w:pPr>
      <w:r>
        <w:rPr>
          <w:rFonts w:ascii="Times New Roman" w:cs="Times New Roman" w:eastAsia="Times New Roman" w:hAnsi="Times New Roman"/>
          <w:sz w:val="17"/>
          <w:szCs w:val="17"/>
          <w:color w:val="auto"/>
        </w:rPr>
        <w:t>If the foregoing correctly sets forth the understanding between the Company and the Agent, please so indicate in the space provided below for that purpose, whereupon this letter shall constitute a binding agreement between the Company and the Agent.</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CARTESIAN THERAPEUTICS, INC.</w:t>
      </w:r>
    </w:p>
    <w:p>
      <w:pPr>
        <w:spacing w:after="0" w:line="21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Blaine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22860</wp:posOffset>
            </wp:positionV>
            <wp:extent cx="320865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3208655"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Blaine Davis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1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ACCEPTED as of the date first-above written:</w:t>
      </w: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LEERINK PARTNERS LLC</w:t>
      </w:r>
    </w:p>
    <w:p>
      <w:pPr>
        <w:spacing w:after="0" w:line="214"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Peter M.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22860</wp:posOffset>
            </wp:positionV>
            <wp:extent cx="320865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3208655"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Peter M. Fry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Head of Alternative Equities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238125</wp:posOffset>
            </wp:positionV>
            <wp:extent cx="714057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FORM OF PLACEMENT NOTICE</w:t>
            </w:r>
          </w:p>
        </w:tc>
      </w:tr>
      <w:tr>
        <w:trPr>
          <w:trHeight w:val="407"/>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From:</w:t>
            </w:r>
          </w:p>
        </w:tc>
        <w:tc>
          <w:tcPr>
            <w:tcW w:w="1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1436"/>
              <w:spacing w:after="0"/>
              <w:rPr>
                <w:sz w:val="20"/>
                <w:szCs w:val="20"/>
                <w:color w:val="auto"/>
              </w:rPr>
            </w:pPr>
            <w:r>
              <w:rPr>
                <w:rFonts w:ascii="Times New Roman" w:cs="Times New Roman" w:eastAsia="Times New Roman" w:hAnsi="Times New Roman"/>
                <w:sz w:val="17"/>
                <w:szCs w:val="17"/>
                <w:color w:val="auto"/>
              </w:rPr>
              <w:t>]</w:t>
            </w:r>
          </w:p>
        </w:tc>
        <w:tc>
          <w:tcPr>
            <w:tcW w:w="2620" w:type="dxa"/>
            <w:vAlign w:val="bottom"/>
          </w:tcPr>
          <w:p>
            <w:pPr>
              <w:spacing w:after="0"/>
              <w:rPr>
                <w:sz w:val="24"/>
                <w:szCs w:val="24"/>
                <w:color w:val="auto"/>
              </w:rPr>
            </w:pPr>
          </w:p>
        </w:tc>
      </w:tr>
      <w:tr>
        <w:trPr>
          <w:trHeight w:val="203"/>
        </w:trPr>
        <w:tc>
          <w:tcPr>
            <w:tcW w:w="840" w:type="dxa"/>
            <w:vAlign w:val="bottom"/>
          </w:tcPr>
          <w:p>
            <w:pPr>
              <w:spacing w:after="0"/>
              <w:rPr>
                <w:sz w:val="17"/>
                <w:szCs w:val="17"/>
                <w:color w:val="auto"/>
              </w:rPr>
            </w:pPr>
          </w:p>
        </w:tc>
        <w:tc>
          <w:tcPr>
            <w:tcW w:w="1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61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Cartesian Therapeutics, Inc.</w:t>
            </w:r>
          </w:p>
        </w:tc>
      </w:tr>
      <w:tr>
        <w:trPr>
          <w:trHeight w:val="20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Cc:</w:t>
            </w:r>
          </w:p>
        </w:tc>
        <w:tc>
          <w:tcPr>
            <w:tcW w:w="1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1436"/>
              <w:spacing w:after="0"/>
              <w:rPr>
                <w:sz w:val="20"/>
                <w:szCs w:val="20"/>
                <w:color w:val="auto"/>
              </w:rPr>
            </w:pPr>
            <w:r>
              <w:rPr>
                <w:rFonts w:ascii="Times New Roman" w:cs="Times New Roman" w:eastAsia="Times New Roman" w:hAnsi="Times New Roman"/>
                <w:sz w:val="17"/>
                <w:szCs w:val="17"/>
                <w:color w:val="auto"/>
              </w:rPr>
              <w:t>]</w:t>
            </w:r>
          </w:p>
        </w:tc>
        <w:tc>
          <w:tcPr>
            <w:tcW w:w="2620" w:type="dxa"/>
            <w:vAlign w:val="bottom"/>
          </w:tcPr>
          <w:p>
            <w:pPr>
              <w:spacing w:after="0"/>
              <w:rPr>
                <w:sz w:val="17"/>
                <w:szCs w:val="17"/>
                <w:color w:val="auto"/>
              </w:rPr>
            </w:pPr>
          </w:p>
        </w:tc>
      </w:tr>
      <w:tr>
        <w:trPr>
          <w:trHeight w:val="203"/>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To:</w:t>
            </w:r>
          </w:p>
        </w:tc>
        <w:tc>
          <w:tcPr>
            <w:tcW w:w="184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Leerink Partners LLC</w:t>
            </w:r>
          </w:p>
        </w:tc>
        <w:tc>
          <w:tcPr>
            <w:tcW w:w="16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7"/>
                <w:szCs w:val="17"/>
                <w:color w:val="auto"/>
              </w:rPr>
              <w:t>Subject:</w:t>
            </w:r>
          </w:p>
        </w:tc>
        <w:tc>
          <w:tcPr>
            <w:tcW w:w="6100" w:type="dxa"/>
            <w:vAlign w:val="bottom"/>
            <w:gridSpan w:val="3"/>
          </w:tcPr>
          <w:p>
            <w:pPr>
              <w:ind w:left="280"/>
              <w:spacing w:after="0"/>
              <w:rPr>
                <w:sz w:val="20"/>
                <w:szCs w:val="20"/>
                <w:color w:val="auto"/>
              </w:rPr>
            </w:pPr>
            <w:r>
              <w:rPr>
                <w:rFonts w:ascii="Times New Roman" w:cs="Times New Roman" w:eastAsia="Times New Roman" w:hAnsi="Times New Roman"/>
                <w:sz w:val="17"/>
                <w:szCs w:val="17"/>
                <w:color w:val="auto"/>
              </w:rPr>
              <w:t>Leerink Partners —At the Market Offering—Placement Notice</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6"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7"/>
          <w:szCs w:val="17"/>
          <w:color w:val="auto"/>
        </w:rPr>
        <w:t>Pursuant to the terms and subject to the conditions contained in the Sales Agreement, dated December 13, 2024 (the “</w:t>
      </w:r>
      <w:r>
        <w:rPr>
          <w:rFonts w:ascii="Times New Roman" w:cs="Times New Roman" w:eastAsia="Times New Roman" w:hAnsi="Times New Roman"/>
          <w:sz w:val="17"/>
          <w:szCs w:val="17"/>
          <w:b w:val="1"/>
          <w:bCs w:val="1"/>
          <w:u w:val="single" w:color="auto"/>
          <w:color w:val="auto"/>
        </w:rPr>
        <w:t>Agreement</w:t>
      </w:r>
      <w:r>
        <w:rPr>
          <w:rFonts w:ascii="Times New Roman" w:cs="Times New Roman" w:eastAsia="Times New Roman" w:hAnsi="Times New Roman"/>
          <w:sz w:val="17"/>
          <w:szCs w:val="17"/>
          <w:color w:val="auto"/>
        </w:rPr>
        <w:t>”), by and between Cartesian Therapeutics, Inc., a Delaware corporation (the “</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and Leerink Partners LLC (“</w:t>
      </w:r>
      <w:r>
        <w:rPr>
          <w:rFonts w:ascii="Times New Roman" w:cs="Times New Roman" w:eastAsia="Times New Roman" w:hAnsi="Times New Roman"/>
          <w:sz w:val="17"/>
          <w:szCs w:val="17"/>
          <w:b w:val="1"/>
          <w:bCs w:val="1"/>
          <w:u w:val="single" w:color="auto"/>
          <w:color w:val="auto"/>
        </w:rPr>
        <w:t>Leerink Partners</w:t>
      </w:r>
      <w:r>
        <w:rPr>
          <w:rFonts w:ascii="Times New Roman" w:cs="Times New Roman" w:eastAsia="Times New Roman" w:hAnsi="Times New Roman"/>
          <w:sz w:val="17"/>
          <w:szCs w:val="17"/>
          <w:color w:val="auto"/>
        </w:rPr>
        <w:t>”), I hereby request on behalf of the Company that Leerink Partners sell up to [ ] shares of common stock, $0.0001 par value per share, of the Company (the “</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color w:val="auto"/>
        </w:rPr>
        <w:t xml:space="preserve">”), at a minimum market price of $ per share[;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 more than [ ] Shares shall be sold in any one Trading Day (as such term is defined in Section 3 of the Agreement)]. Sales should begin [on the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this Placement Notice] and end on [DATE] [until all Shares that are the subject of this Placement Notice are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224790</wp:posOffset>
            </wp:positionV>
            <wp:extent cx="714057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The Company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Carsten Brunn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Blaine Davis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Matthew Bartholomae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Leerink Partners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 Dubin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Sean Pitt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atm@leerink.com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238125</wp:posOffset>
            </wp:positionV>
            <wp:extent cx="714057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SCHEDULE 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Compensation</w:t>
      </w:r>
    </w:p>
    <w:p>
      <w:pPr>
        <w:spacing w:after="0" w:line="214"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 xml:space="preserve">The Company shall pay Leerink Partners compensation in cash of up to 3.0% of the gross proceeds from the sales of Placement Shares pursuant to the terms of the Sales Agreement of which this </w:t>
      </w:r>
      <w:r>
        <w:rPr>
          <w:rFonts w:ascii="Times New Roman" w:cs="Times New Roman" w:eastAsia="Times New Roman" w:hAnsi="Times New Roman"/>
          <w:sz w:val="17"/>
          <w:szCs w:val="17"/>
          <w:b w:val="1"/>
          <w:bCs w:val="1"/>
          <w:u w:val="single" w:color="auto"/>
          <w:color w:val="auto"/>
        </w:rPr>
        <w:t>Schedule 3</w:t>
      </w:r>
      <w:r>
        <w:rPr>
          <w:rFonts w:ascii="Times New Roman" w:cs="Times New Roman" w:eastAsia="Times New Roman" w:hAnsi="Times New Roman"/>
          <w:sz w:val="17"/>
          <w:szCs w:val="17"/>
          <w:color w:val="auto"/>
        </w:rPr>
        <w:t xml:space="preserve"> forms a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215265</wp:posOffset>
            </wp:positionV>
            <wp:extent cx="714057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7(m)</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OFFICERS’ CERTIFICATE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of Carsten Brunn, Ph.D., the duly qualified and elected President and Chief Executive Officer of Cartesian Therapeutics, Inc., a Delaware corporation (the</w:t>
      </w:r>
    </w:p>
    <w:p>
      <w:pPr>
        <w:spacing w:after="0" w:line="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Company</w:t>
      </w:r>
      <w:r>
        <w:rPr>
          <w:rFonts w:ascii="Times New Roman" w:cs="Times New Roman" w:eastAsia="Times New Roman" w:hAnsi="Times New Roman"/>
          <w:sz w:val="17"/>
          <w:szCs w:val="17"/>
          <w:color w:val="auto"/>
        </w:rPr>
        <w:t>”), and Blaine Davis, the duly qualified and elected Chief Financial Officer of the Company, does hereby certify in his respective capacity and on behalf of the Company, pursuant to Section 7(m) of the Sales Agreement, dated December 13, 2024 (the “</w:t>
      </w:r>
      <w:r>
        <w:rPr>
          <w:rFonts w:ascii="Times New Roman" w:cs="Times New Roman" w:eastAsia="Times New Roman" w:hAnsi="Times New Roman"/>
          <w:sz w:val="17"/>
          <w:szCs w:val="17"/>
          <w:b w:val="1"/>
          <w:bCs w:val="1"/>
          <w:u w:val="single" w:color="auto"/>
          <w:color w:val="auto"/>
        </w:rPr>
        <w:t>Sales Agreement</w:t>
      </w:r>
      <w:r>
        <w:rPr>
          <w:rFonts w:ascii="Times New Roman" w:cs="Times New Roman" w:eastAsia="Times New Roman" w:hAnsi="Times New Roman"/>
          <w:sz w:val="17"/>
          <w:szCs w:val="17"/>
          <w:color w:val="auto"/>
        </w:rPr>
        <w:t>”), by and between the Company and Leerink Partners LLC, that, after due inquiry, to the best of the knowledge of the undersigned:</w:t>
      </w:r>
    </w:p>
    <w:p>
      <w:pPr>
        <w:spacing w:after="0" w:line="176" w:lineRule="exact"/>
        <w:rPr>
          <w:sz w:val="20"/>
          <w:szCs w:val="20"/>
          <w:color w:val="auto"/>
        </w:rPr>
      </w:pPr>
    </w:p>
    <w:p>
      <w:pPr>
        <w:ind w:right="20" w:firstLine="609"/>
        <w:spacing w:after="0" w:line="253" w:lineRule="auto"/>
        <w:tabs>
          <w:tab w:leader="none" w:pos="118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that those representations and warranties that address matters only as of a particular date were true and correct as of such date), and (B) to the extent such representations and warranties are not subject to any qualifications or exceptions relating to materiality or Material Adverse Effect, are true and correct in all material respects as of the date hereof as if made on and as of the date hereof with the same force and effect as if expressly made on and as of the date hereof (except that those representations and warranties that address matters only as of a particular date were true and correct in all material respects as of such date).</w:t>
      </w:r>
    </w:p>
    <w:p>
      <w:pPr>
        <w:spacing w:after="0" w:line="178" w:lineRule="exact"/>
        <w:rPr>
          <w:rFonts w:ascii="Times New Roman" w:cs="Times New Roman" w:eastAsia="Times New Roman" w:hAnsi="Times New Roman"/>
          <w:sz w:val="17"/>
          <w:szCs w:val="17"/>
          <w:color w:val="auto"/>
        </w:rPr>
      </w:pPr>
    </w:p>
    <w:p>
      <w:pPr>
        <w:ind w:right="80" w:firstLine="609"/>
        <w:spacing w:after="0" w:line="276" w:lineRule="auto"/>
        <w:tabs>
          <w:tab w:leader="none" w:pos="1194"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complied with all agreements and satisfied all conditions on its part to be performed or satisfied pursuant to the Sales Agreement at or prior to the date hereof.</w:t>
      </w:r>
    </w:p>
    <w:p>
      <w:pPr>
        <w:spacing w:after="0" w:line="158" w:lineRule="exact"/>
        <w:rPr>
          <w:rFonts w:ascii="Times New Roman" w:cs="Times New Roman" w:eastAsia="Times New Roman" w:hAnsi="Times New Roman"/>
          <w:sz w:val="17"/>
          <w:szCs w:val="17"/>
          <w:color w:val="auto"/>
        </w:rPr>
      </w:pPr>
    </w:p>
    <w:p>
      <w:pPr>
        <w:ind w:right="40" w:firstLine="609"/>
        <w:spacing w:after="0" w:line="254" w:lineRule="auto"/>
        <w:tabs>
          <w:tab w:leader="none" w:pos="1198"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(A) the Registration Statement complies in all material respects with the requirements of the Securities Act and does not contain any untrue statement of a material fact or omit to state a material fact required to be stated therein or necessary in order to make the statements therein not misleading, (B) the Prospectus complies in all material respects with the requirements of the Securities Act does not contain any untrue statement of a material fact or omit to state a material fact required to be stated therein or necessary in order to make the statements therein, in light of the circumstances under which they were made, not misleading and (C) no event has occurred as a result of which it is necessary to amend or supplement the Registration Statement or the Prospectus in order to make the statements therein not untrue or misleading or for clauses (A) and (B) above, to be true and correct.</w:t>
      </w:r>
    </w:p>
    <w:p>
      <w:pPr>
        <w:spacing w:after="0" w:line="177" w:lineRule="exact"/>
        <w:rPr>
          <w:rFonts w:ascii="Times New Roman" w:cs="Times New Roman" w:eastAsia="Times New Roman" w:hAnsi="Times New Roman"/>
          <w:sz w:val="17"/>
          <w:szCs w:val="17"/>
          <w:color w:val="auto"/>
        </w:rPr>
      </w:pPr>
    </w:p>
    <w:p>
      <w:pPr>
        <w:ind w:right="80" w:firstLine="609"/>
        <w:spacing w:after="0" w:line="258" w:lineRule="auto"/>
        <w:tabs>
          <w:tab w:leader="none" w:pos="118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no material adverse change, or any development that could reasonably be expected to result in a material adverse change, in the condition (financial or otherwise), earnings, results of operations, business, properties, operations, assets, liabilities or prospects of the Company and its Subsidiaries, taken as a whole, whether or not arising from transactions in the ordinary course of business, since the date as of which information is given in the Prospectus, as amended or supplemented to the date hereof.</w:t>
      </w:r>
    </w:p>
    <w:p>
      <w:pPr>
        <w:spacing w:after="0" w:line="172" w:lineRule="exact"/>
        <w:rPr>
          <w:rFonts w:ascii="Times New Roman" w:cs="Times New Roman" w:eastAsia="Times New Roman" w:hAnsi="Times New Roman"/>
          <w:sz w:val="17"/>
          <w:szCs w:val="17"/>
          <w:color w:val="auto"/>
        </w:rPr>
      </w:pPr>
    </w:p>
    <w:p>
      <w:pPr>
        <w:ind w:left="1220" w:hanging="611"/>
        <w:spacing w:after="0"/>
        <w:tabs>
          <w:tab w:leader="none" w:pos="12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does not possess any material non-public information.</w:t>
      </w:r>
    </w:p>
    <w:p>
      <w:pPr>
        <w:spacing w:after="0" w:line="209" w:lineRule="exact"/>
        <w:rPr>
          <w:rFonts w:ascii="Times New Roman" w:cs="Times New Roman" w:eastAsia="Times New Roman" w:hAnsi="Times New Roman"/>
          <w:sz w:val="17"/>
          <w:szCs w:val="17"/>
          <w:color w:val="auto"/>
        </w:rPr>
      </w:pPr>
    </w:p>
    <w:p>
      <w:pPr>
        <w:ind w:right="100" w:firstLine="609"/>
        <w:spacing w:after="0" w:line="262" w:lineRule="auto"/>
        <w:tabs>
          <w:tab w:leader="none" w:pos="118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amount of Placement Shares that may be sold pursuant to the Sales Agreement has been duly authorized by the Company’s board of directors or a duly authorized committee thereof pursuant to a resolution or unanimous written consent in accordance with the Company’s restated articles of incorporation, as amended, amended and restated bylaws and applicable law.</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Capitalized terms used but not defined herein shall have the meanings ascribed to them in the Sales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Signature Page to Officers’ Certificate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057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0" w:name="page111"/>
    <w:bookmarkEnd w:id="110"/>
    <w:p>
      <w:pPr>
        <w:ind w:firstLine="608"/>
        <w:spacing w:after="0" w:line="276" w:lineRule="auto"/>
        <w:rPr>
          <w:sz w:val="20"/>
          <w:szCs w:val="20"/>
          <w:color w:val="auto"/>
        </w:rPr>
      </w:pPr>
      <w:r>
        <w:rPr>
          <w:rFonts w:ascii="Times New Roman" w:cs="Times New Roman" w:eastAsia="Times New Roman" w:hAnsi="Times New Roman"/>
          <w:sz w:val="17"/>
          <w:szCs w:val="17"/>
          <w:color w:val="auto"/>
        </w:rPr>
        <w:t>IN WITNESS WHEREOF, each of the undersigned, in such individual’s respective capacity as Chief Executive Officer or Chief Financial Officer of the Company, has executed this Officers’ Certificate on behalf of the Company.</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22860</wp:posOffset>
            </wp:positionV>
            <wp:extent cx="320865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3208655"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Carsten Brunn, Ph.D.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Date:</w:t>
      </w:r>
    </w:p>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3933190</wp:posOffset>
            </wp:positionH>
            <wp:positionV relativeFrom="paragraph">
              <wp:posOffset>22860</wp:posOffset>
            </wp:positionV>
            <wp:extent cx="320865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3208655" cy="15875"/>
                    </a:xfrm>
                    <a:prstGeom prst="rect">
                      <a:avLst/>
                    </a:prstGeom>
                    <a:noFill/>
                  </pic:spPr>
                </pic:pic>
              </a:graphicData>
            </a:graphic>
          </wp:anchor>
        </w:drawing>
      </w:r>
    </w:p>
    <w:p>
      <w:pPr>
        <w:spacing w:after="0" w:line="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Name: Blaine Davis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Date:</w:t>
      </w: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Signature Page to Officers’ Certificate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202565</wp:posOffset>
            </wp:positionV>
            <wp:extent cx="714057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900"/>
          </w:cols>
          <w:pgMar w:left="320" w:top="123" w:right="67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194310</wp:posOffset>
            </wp:positionV>
            <wp:extent cx="714057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b w:val="1"/>
          <w:bCs w:val="1"/>
          <w:color w:val="auto"/>
        </w:rPr>
        <w:t>CARTESIAN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202565</wp:posOffset>
            </wp:positionV>
            <wp:extent cx="714057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38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1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200025</wp:posOffset>
            </wp:positionV>
            <wp:extent cx="714057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pacing w:after="0" w:line="38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[_________]</w:t>
      </w:r>
    </w:p>
    <w:p>
      <w:pPr>
        <w:spacing w:after="0" w:line="21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248285</wp:posOffset>
            </wp:positionV>
            <wp:extent cx="714057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20"/>
          </w:cols>
          <w:pgMar w:left="1440" w:top="258"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8"/>
        </w:trPr>
        <w:tc>
          <w:tcPr>
            <w:tcW w:w="10680" w:type="dxa"/>
            <w:vAlign w:val="bottom"/>
          </w:tcPr>
          <w:p>
            <w:pPr>
              <w:ind w:left="4760"/>
              <w:spacing w:after="0"/>
              <w:rPr>
                <w:sz w:val="20"/>
                <w:szCs w:val="20"/>
                <w:color w:val="auto"/>
              </w:rPr>
            </w:pPr>
            <w:r>
              <w:rPr>
                <w:rFonts w:ascii="Times New Roman" w:cs="Times New Roman" w:eastAsia="Times New Roman" w:hAnsi="Times New Roman"/>
                <w:sz w:val="17"/>
                <w:szCs w:val="17"/>
                <w:color w:val="auto"/>
              </w:rPr>
              <w:t>TABLE OF CONTENTS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10680" w:type="dxa"/>
            <w:vAlign w:val="bottom"/>
          </w:tcPr>
          <w:p>
            <w:pPr>
              <w:spacing w:after="0"/>
              <w:rPr>
                <w:sz w:val="24"/>
                <w:szCs w:val="24"/>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w w:val="96"/>
              </w:rPr>
              <w:t>Page</w:t>
            </w:r>
          </w:p>
        </w:tc>
        <w:tc>
          <w:tcPr>
            <w:tcW w:w="0" w:type="dxa"/>
            <w:vAlign w:val="bottom"/>
          </w:tcPr>
          <w:p>
            <w:pPr>
              <w:spacing w:after="0"/>
              <w:rPr>
                <w:sz w:val="1"/>
                <w:szCs w:val="1"/>
                <w:color w:val="auto"/>
              </w:rPr>
            </w:pPr>
          </w:p>
        </w:tc>
      </w:tr>
      <w:tr>
        <w:trPr>
          <w:trHeight w:val="203"/>
        </w:trPr>
        <w:tc>
          <w:tcPr>
            <w:tcW w:w="10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 DEFINITIONS AND INCORPORATION BY REFERENCE</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1.2. Other Definitions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1.3. Incorporation by Reference of Trust Indenture Act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1.4. Rules of Construction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II. THE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 Issuable in Series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2.2. Establishment of Terms of Series of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2.3. Execution and Authentication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2.4. Registrar and Paying Agent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2.5. Paying Agent to Hold Money in Trust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2.6. Securityholder Lists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2.7. Transfer and Exchange</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2.8. Mutilated, Destroyed, Lost and Stolen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2.9. Outstanding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2.10. Treasury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2.11. Temporary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2.12. Cancellation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2.13. Defaulted Interest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2.14. Global Securities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2.15. CUSIP Numbers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spacing w:after="0"/>
              <w:rPr>
                <w:sz w:val="20"/>
                <w:szCs w:val="20"/>
                <w:color w:val="auto"/>
              </w:rPr>
            </w:pPr>
            <w:r>
              <w:rPr>
                <w:rFonts w:ascii="Times New Roman" w:cs="Times New Roman" w:eastAsia="Times New Roman" w:hAnsi="Times New Roman"/>
                <w:sz w:val="17"/>
                <w:szCs w:val="17"/>
                <w:color w:val="auto"/>
              </w:rPr>
              <w:t>ARTICLE III.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3.1. Notice to Trustee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3.2. Selection of Securities to be Redeemed</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3.3. Notice of Redemption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3.4. Effect of Notice of Redemption</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3.5. Deposit of Redemption Price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3.6. Securities Redeemed in Part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spacing w:after="0"/>
              <w:rPr>
                <w:sz w:val="20"/>
                <w:szCs w:val="20"/>
                <w:color w:val="auto"/>
              </w:rPr>
            </w:pPr>
            <w:r>
              <w:rPr>
                <w:rFonts w:ascii="Times New Roman" w:cs="Times New Roman" w:eastAsia="Times New Roman" w:hAnsi="Times New Roman"/>
                <w:sz w:val="17"/>
                <w:szCs w:val="17"/>
                <w:color w:val="auto"/>
              </w:rPr>
              <w:t>ARTICLE IV. COVENANTS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4.1. Payment of Principal and Interest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4.2. SEC Reports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4.3. Compliance Certificate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4.4. Stay, Extension and Usury Laws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tcPr>
          <w:p>
            <w:pPr>
              <w:spacing w:after="0"/>
              <w:rPr>
                <w:sz w:val="20"/>
                <w:szCs w:val="20"/>
                <w:color w:val="auto"/>
              </w:rPr>
            </w:pPr>
            <w:r>
              <w:rPr>
                <w:rFonts w:ascii="Times New Roman" w:cs="Times New Roman" w:eastAsia="Times New Roman" w:hAnsi="Times New Roman"/>
                <w:sz w:val="17"/>
                <w:szCs w:val="17"/>
                <w:color w:val="auto"/>
              </w:rPr>
              <w:t>ARTICLE V. SUCCESSORS</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5.1. When Company May Merge, Etc.</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0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5.2. Successor Corporation Substituted</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 DEFAULTS AND REMEDIES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 Events of Default</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6.2. Acceleration of Maturity; Rescission and Annulment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6.3. Collection of Indebtedness and Suits for Enforcement by Trustee</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6.4. Trustee May File Proofs of Claim</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6.5. Trustee May Enforce Claims Without Possession of Securities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6.6. Application of Money Collected</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6.7. Limitation on Suits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6.8. Unconditional Right of Holders to Receive Principal and Interest</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6.9. Restoration of Rights and Remedies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6.10. Rights and Remedies Cumulative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6.11. Delay or Omission Not Waiver</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6.12. Control by Holders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6.13. Waiver of Past Defaults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6.14. Undertaking for Costs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VII. TRUSTEE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7.1. Duties of Trustee</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7.2. Rights of Trustee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7.3. Individual Rights of Trustee</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7.4. Trustee’s Disclaimer</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7.5. Notice of Defaults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7.6. Reports by Trustee to Holders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7.7. Compensation and Indemnity</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7.8. Replacement of Trustee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7.9. Successor Trustee by Merger, Etc.</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7.10. Eligibility; Disqualification</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7.11. Preferential Collection of Claims Against Company</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ARTICLE VIII. SATISFACTION AND DISCHARGE; DEFEASANCE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8.1. Satisfaction and Discharge of Indenture</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8.2. Application of Trust Funds; Indemnification</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8.3. Legal Defeasance of Securities of any Series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8.4. Covenant Defeasance</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8.5. Repayment to Company</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8.6. Reinstatement</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spacing w:after="0"/>
              <w:rPr>
                <w:sz w:val="20"/>
                <w:szCs w:val="20"/>
                <w:color w:val="auto"/>
              </w:rPr>
            </w:pPr>
            <w:r>
              <w:rPr>
                <w:rFonts w:ascii="Times New Roman" w:cs="Times New Roman" w:eastAsia="Times New Roman" w:hAnsi="Times New Roman"/>
                <w:sz w:val="17"/>
                <w:szCs w:val="17"/>
                <w:color w:val="auto"/>
              </w:rPr>
              <w:t>ARTICLE IX. AMENDMENTS AND WAIVERS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9.1. Without Consent of Holders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9.2. With Consent of Holders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9.3. Limitations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9.4. Compliance with Trust Indenture Act</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9.5. Revocation and Effect of Consents</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9.6. Notation on or Exchange of Securities</w:t>
            </w:r>
          </w:p>
        </w:tc>
        <w:tc>
          <w:tcPr>
            <w:tcW w:w="2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9.7. Trustee Protected</w:t>
            </w:r>
          </w:p>
        </w:tc>
        <w:tc>
          <w:tcPr>
            <w:tcW w:w="2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2"/>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 MISCELLANEOUS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 Trust Indenture Act Controls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10.2. Notices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10.3. Communication by Holders with Other Holders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10.4. Certificate and Opinion as to Conditions Precedent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10.5. Statements Required in Certificate or Opinion</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10.6. Rules by Trustee and Agents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10.7. Legal Holidays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10.8. No Recourse Against Others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10.9. Counterparts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10.10. Governing Law; Waiver of Jury Trial; Consent to Jurisdiction</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10.11. No Adverse Interpretation of Other Agreements</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10.12. Successors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10.13. Severability</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10.14. Table of Contents, Headings, Etc.</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10.15. Securities in a Foreign Currency</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10.16. Judgment Currency</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10.17. Force Majeure</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10.18. U.S.A. Patriot Act</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ARTICLE XI. SINKING FUNDS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11.1. Applicability of Article</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Section 11.2. Satisfaction of Sinking Fund Payments with Securities</w:t>
            </w:r>
          </w:p>
        </w:tc>
        <w:tc>
          <w:tcPr>
            <w:tcW w:w="2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Section 11.3. Redemption of Securities for Sinking Fund</w:t>
            </w:r>
          </w:p>
        </w:tc>
        <w:tc>
          <w:tcPr>
            <w:tcW w:w="2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5" w:name="page116"/>
    <w:bookmarkEnd w:id="115"/>
    <w:p>
      <w:pPr>
        <w:jc w:val="center"/>
        <w:ind w:right="-1120"/>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Reconciliation and tie between Trust Indenture Act of 1939 and</w:t>
      </w:r>
    </w:p>
    <w:p>
      <w:pPr>
        <w:spacing w:after="0" w:line="22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color w:val="auto"/>
        </w:rPr>
        <w:t>Indenture, dated as of ____________, 20__</w:t>
      </w:r>
    </w:p>
    <w:p>
      <w:pPr>
        <w:spacing w:after="0" w:line="210" w:lineRule="exact"/>
        <w:rPr>
          <w:sz w:val="20"/>
          <w:szCs w:val="20"/>
          <w:color w:val="auto"/>
        </w:rPr>
      </w:pPr>
    </w:p>
    <w:p>
      <w:pPr>
        <w:jc w:val="both"/>
        <w:ind w:left="4780"/>
        <w:spacing w:after="0"/>
        <w:tabs>
          <w:tab w:leader="none" w:pos="5700" w:val="left"/>
        </w:tabs>
        <w:rPr>
          <w:sz w:val="20"/>
          <w:szCs w:val="20"/>
          <w:color w:val="auto"/>
        </w:rPr>
      </w:pPr>
      <w:r>
        <w:rPr>
          <w:rFonts w:ascii="Times New Roman" w:cs="Times New Roman" w:eastAsia="Times New Roman" w:hAnsi="Times New Roman"/>
          <w:sz w:val="17"/>
          <w:szCs w:val="17"/>
          <w:color w:val="auto"/>
        </w:rPr>
        <w:t>§310(a)(1)</w:t>
        <w:tab/>
        <w:t>7.10</w:t>
      </w:r>
    </w:p>
    <w:p>
      <w:pPr>
        <w:spacing w:after="0" w:line="23" w:lineRule="exact"/>
        <w:rPr>
          <w:sz w:val="20"/>
          <w:szCs w:val="20"/>
          <w:color w:val="auto"/>
        </w:rPr>
      </w:pPr>
    </w:p>
    <w:p>
      <w:pPr>
        <w:jc w:val="both"/>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(a)(2)</w:t>
        <w:tab/>
        <w:t>7.10</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(a)(3)</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(a)(4)</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(a)(5)</w:t>
        <w:tab/>
        <w:t>7.10</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7.10</w:t>
      </w:r>
    </w:p>
    <w:p>
      <w:pPr>
        <w:spacing w:after="0" w:line="7" w:lineRule="exact"/>
        <w:rPr>
          <w:sz w:val="20"/>
          <w:szCs w:val="20"/>
          <w:color w:val="auto"/>
        </w:rPr>
      </w:pPr>
    </w:p>
    <w:p>
      <w:pPr>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§311(a)</w:t>
        <w:tab/>
        <w:t>7.11</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7.11</w:t>
      </w:r>
    </w:p>
    <w:p>
      <w:pPr>
        <w:spacing w:after="0" w:line="7" w:lineRule="exact"/>
        <w:rPr>
          <w:sz w:val="20"/>
          <w:szCs w:val="20"/>
          <w:color w:val="auto"/>
        </w:rPr>
      </w:pPr>
    </w:p>
    <w:p>
      <w:pPr>
        <w:ind w:left="5320"/>
        <w:spacing w:after="0"/>
        <w:tabs>
          <w:tab w:leader="none" w:pos="5700" w:val="left"/>
        </w:tabs>
        <w:rPr>
          <w:sz w:val="20"/>
          <w:szCs w:val="20"/>
          <w:color w:val="auto"/>
        </w:rPr>
      </w:pPr>
      <w:r>
        <w:rPr>
          <w:rFonts w:ascii="Times New Roman" w:cs="Times New Roman" w:eastAsia="Times New Roman" w:hAnsi="Times New Roman"/>
          <w:sz w:val="17"/>
          <w:szCs w:val="17"/>
          <w:color w:val="auto"/>
        </w:rPr>
        <w:t>(c)</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§312(a)</w:t>
        <w:tab/>
        <w:t>2.6</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10.3</w:t>
      </w:r>
    </w:p>
    <w:p>
      <w:pPr>
        <w:spacing w:after="0" w:line="7" w:lineRule="exact"/>
        <w:rPr>
          <w:sz w:val="20"/>
          <w:szCs w:val="20"/>
          <w:color w:val="auto"/>
        </w:rPr>
      </w:pPr>
    </w:p>
    <w:p>
      <w:pPr>
        <w:jc w:val="both"/>
        <w:ind w:left="5320"/>
        <w:spacing w:after="0"/>
        <w:tabs>
          <w:tab w:leader="none" w:pos="5700" w:val="left"/>
        </w:tabs>
        <w:rPr>
          <w:sz w:val="20"/>
          <w:szCs w:val="20"/>
          <w:color w:val="auto"/>
        </w:rPr>
      </w:pPr>
      <w:r>
        <w:rPr>
          <w:rFonts w:ascii="Times New Roman" w:cs="Times New Roman" w:eastAsia="Times New Roman" w:hAnsi="Times New Roman"/>
          <w:sz w:val="17"/>
          <w:szCs w:val="17"/>
          <w:color w:val="auto"/>
        </w:rPr>
        <w:t>(c)</w:t>
        <w:tab/>
        <w:t>10.3</w:t>
      </w:r>
    </w:p>
    <w:p>
      <w:pPr>
        <w:spacing w:after="0" w:line="7" w:lineRule="exact"/>
        <w:rPr>
          <w:sz w:val="20"/>
          <w:szCs w:val="20"/>
          <w:color w:val="auto"/>
        </w:rPr>
      </w:pPr>
    </w:p>
    <w:p>
      <w:pPr>
        <w:jc w:val="both"/>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§313(a)</w:t>
        <w:tab/>
        <w:t>7.6</w:t>
      </w:r>
    </w:p>
    <w:p>
      <w:pPr>
        <w:spacing w:after="0" w:line="7" w:lineRule="exact"/>
        <w:rPr>
          <w:sz w:val="20"/>
          <w:szCs w:val="20"/>
          <w:color w:val="auto"/>
        </w:rPr>
      </w:pPr>
    </w:p>
    <w:p>
      <w:pPr>
        <w:jc w:val="both"/>
        <w:ind w:left="5100"/>
        <w:spacing w:after="0"/>
        <w:tabs>
          <w:tab w:leader="none" w:pos="5700" w:val="left"/>
        </w:tabs>
        <w:rPr>
          <w:sz w:val="20"/>
          <w:szCs w:val="20"/>
          <w:color w:val="auto"/>
        </w:rPr>
      </w:pPr>
      <w:r>
        <w:rPr>
          <w:rFonts w:ascii="Times New Roman" w:cs="Times New Roman" w:eastAsia="Times New Roman" w:hAnsi="Times New Roman"/>
          <w:sz w:val="17"/>
          <w:szCs w:val="17"/>
          <w:color w:val="auto"/>
        </w:rPr>
        <w:t>(b)(1)</w:t>
        <w:tab/>
        <w:t>7.6</w:t>
      </w:r>
    </w:p>
    <w:p>
      <w:pPr>
        <w:spacing w:after="0" w:line="7" w:lineRule="exact"/>
        <w:rPr>
          <w:sz w:val="20"/>
          <w:szCs w:val="20"/>
          <w:color w:val="auto"/>
        </w:rPr>
      </w:pPr>
    </w:p>
    <w:p>
      <w:pPr>
        <w:ind w:left="5100"/>
        <w:spacing w:after="0"/>
        <w:tabs>
          <w:tab w:leader="none" w:pos="5700" w:val="left"/>
        </w:tabs>
        <w:rPr>
          <w:sz w:val="20"/>
          <w:szCs w:val="20"/>
          <w:color w:val="auto"/>
        </w:rPr>
      </w:pPr>
      <w:r>
        <w:rPr>
          <w:rFonts w:ascii="Times New Roman" w:cs="Times New Roman" w:eastAsia="Times New Roman" w:hAnsi="Times New Roman"/>
          <w:sz w:val="17"/>
          <w:szCs w:val="17"/>
          <w:color w:val="auto"/>
        </w:rPr>
        <w:t>(b)(2)</w:t>
        <w:tab/>
        <w:t>7.6</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(c)(1)</w:t>
        <w:tab/>
        <w:t>7.6</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(d)</w:t>
        <w:tab/>
        <w:t>7.6</w:t>
      </w:r>
    </w:p>
    <w:p>
      <w:pPr>
        <w:spacing w:after="0" w:line="7" w:lineRule="exact"/>
        <w:rPr>
          <w:sz w:val="20"/>
          <w:szCs w:val="20"/>
          <w:color w:val="auto"/>
        </w:rPr>
      </w:pPr>
    </w:p>
    <w:p>
      <w:pPr>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§314(a)</w:t>
        <w:tab/>
        <w:t>4.2, 10.5</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(c)(1)</w:t>
        <w:tab/>
        <w:t>10.4</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(c)(2)</w:t>
        <w:tab/>
        <w:t>10.4</w:t>
      </w:r>
    </w:p>
    <w:p>
      <w:pPr>
        <w:spacing w:after="0" w:line="7" w:lineRule="exact"/>
        <w:rPr>
          <w:sz w:val="20"/>
          <w:szCs w:val="20"/>
          <w:color w:val="auto"/>
        </w:rPr>
      </w:pPr>
    </w:p>
    <w:p>
      <w:pPr>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(c)(3)</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(d)</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ind w:left="5320"/>
        <w:spacing w:after="0"/>
        <w:tabs>
          <w:tab w:leader="none" w:pos="5700" w:val="left"/>
        </w:tabs>
        <w:rPr>
          <w:sz w:val="20"/>
          <w:szCs w:val="20"/>
          <w:color w:val="auto"/>
        </w:rPr>
      </w:pPr>
      <w:r>
        <w:rPr>
          <w:rFonts w:ascii="Times New Roman" w:cs="Times New Roman" w:eastAsia="Times New Roman" w:hAnsi="Times New Roman"/>
          <w:sz w:val="17"/>
          <w:szCs w:val="17"/>
          <w:color w:val="auto"/>
        </w:rPr>
        <w:t>(e)</w:t>
        <w:tab/>
        <w:t>10.5</w:t>
      </w:r>
    </w:p>
    <w:p>
      <w:pPr>
        <w:spacing w:after="0" w:line="7" w:lineRule="exact"/>
        <w:rPr>
          <w:sz w:val="20"/>
          <w:szCs w:val="20"/>
          <w:color w:val="auto"/>
        </w:rPr>
      </w:pPr>
    </w:p>
    <w:p>
      <w:pPr>
        <w:ind w:left="5320"/>
        <w:spacing w:after="0"/>
        <w:tabs>
          <w:tab w:leader="none" w:pos="5700" w:val="left"/>
        </w:tabs>
        <w:rPr>
          <w:sz w:val="20"/>
          <w:szCs w:val="20"/>
          <w:color w:val="auto"/>
        </w:rPr>
      </w:pPr>
      <w:r>
        <w:rPr>
          <w:rFonts w:ascii="Times New Roman" w:cs="Times New Roman" w:eastAsia="Times New Roman" w:hAnsi="Times New Roman"/>
          <w:sz w:val="17"/>
          <w:szCs w:val="17"/>
          <w:color w:val="auto"/>
        </w:rPr>
        <w:t>(f)</w:t>
        <w:tab/>
        <w:t>Not</w:t>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Applicable</w:t>
      </w:r>
    </w:p>
    <w:p>
      <w:pPr>
        <w:spacing w:after="0" w:line="7" w:lineRule="exact"/>
        <w:rPr>
          <w:sz w:val="20"/>
          <w:szCs w:val="20"/>
          <w:color w:val="auto"/>
        </w:rPr>
      </w:pPr>
    </w:p>
    <w:p>
      <w:pPr>
        <w:jc w:val="both"/>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§315(a)</w:t>
        <w:tab/>
        <w:t>7.1</w:t>
      </w:r>
    </w:p>
    <w:p>
      <w:pPr>
        <w:spacing w:after="0" w:line="7" w:lineRule="exact"/>
        <w:rPr>
          <w:sz w:val="20"/>
          <w:szCs w:val="20"/>
          <w:color w:val="auto"/>
        </w:rPr>
      </w:pPr>
    </w:p>
    <w:p>
      <w:pPr>
        <w:jc w:val="both"/>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7.5</w:t>
      </w:r>
    </w:p>
    <w:p>
      <w:pPr>
        <w:spacing w:after="0" w:line="7" w:lineRule="exact"/>
        <w:rPr>
          <w:sz w:val="20"/>
          <w:szCs w:val="20"/>
          <w:color w:val="auto"/>
        </w:rPr>
      </w:pPr>
    </w:p>
    <w:p>
      <w:pPr>
        <w:jc w:val="both"/>
        <w:ind w:left="5320"/>
        <w:spacing w:after="0"/>
        <w:tabs>
          <w:tab w:leader="none" w:pos="5700" w:val="left"/>
        </w:tabs>
        <w:rPr>
          <w:sz w:val="20"/>
          <w:szCs w:val="20"/>
          <w:color w:val="auto"/>
        </w:rPr>
      </w:pPr>
      <w:r>
        <w:rPr>
          <w:rFonts w:ascii="Times New Roman" w:cs="Times New Roman" w:eastAsia="Times New Roman" w:hAnsi="Times New Roman"/>
          <w:sz w:val="17"/>
          <w:szCs w:val="17"/>
          <w:color w:val="auto"/>
        </w:rPr>
        <w:t>(c)</w:t>
        <w:tab/>
        <w:t>7.1</w:t>
      </w:r>
    </w:p>
    <w:p>
      <w:pPr>
        <w:spacing w:after="0" w:line="7" w:lineRule="exact"/>
        <w:rPr>
          <w:sz w:val="20"/>
          <w:szCs w:val="20"/>
          <w:color w:val="auto"/>
        </w:rPr>
      </w:pPr>
    </w:p>
    <w:p>
      <w:pPr>
        <w:jc w:val="both"/>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(d)</w:t>
        <w:tab/>
        <w:t>7.1</w:t>
      </w:r>
    </w:p>
    <w:p>
      <w:pPr>
        <w:spacing w:after="0" w:line="7" w:lineRule="exact"/>
        <w:rPr>
          <w:sz w:val="20"/>
          <w:szCs w:val="20"/>
          <w:color w:val="auto"/>
        </w:rPr>
      </w:pPr>
    </w:p>
    <w:p>
      <w:pPr>
        <w:jc w:val="both"/>
        <w:ind w:left="5320"/>
        <w:spacing w:after="0"/>
        <w:tabs>
          <w:tab w:leader="none" w:pos="5700" w:val="left"/>
        </w:tabs>
        <w:rPr>
          <w:sz w:val="20"/>
          <w:szCs w:val="20"/>
          <w:color w:val="auto"/>
        </w:rPr>
      </w:pPr>
      <w:r>
        <w:rPr>
          <w:rFonts w:ascii="Times New Roman" w:cs="Times New Roman" w:eastAsia="Times New Roman" w:hAnsi="Times New Roman"/>
          <w:sz w:val="17"/>
          <w:szCs w:val="17"/>
          <w:color w:val="auto"/>
        </w:rPr>
        <w:t>(e)</w:t>
        <w:tab/>
        <w:t>6.14</w:t>
      </w:r>
    </w:p>
    <w:p>
      <w:pPr>
        <w:spacing w:after="0" w:line="7" w:lineRule="exact"/>
        <w:rPr>
          <w:sz w:val="20"/>
          <w:szCs w:val="20"/>
          <w:color w:val="auto"/>
        </w:rPr>
      </w:pPr>
    </w:p>
    <w:p>
      <w:pPr>
        <w:jc w:val="both"/>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§316(a)</w:t>
        <w:tab/>
        <w:t>2.10</w:t>
      </w:r>
    </w:p>
    <w:p>
      <w:pPr>
        <w:spacing w:after="0" w:line="7" w:lineRule="exact"/>
        <w:rPr>
          <w:sz w:val="20"/>
          <w:szCs w:val="20"/>
          <w:color w:val="auto"/>
        </w:rPr>
      </w:pPr>
    </w:p>
    <w:p>
      <w:pPr>
        <w:jc w:val="both"/>
        <w:ind w:left="4880"/>
        <w:spacing w:after="0"/>
        <w:tabs>
          <w:tab w:leader="none" w:pos="5700" w:val="left"/>
        </w:tabs>
        <w:rPr>
          <w:sz w:val="20"/>
          <w:szCs w:val="20"/>
          <w:color w:val="auto"/>
        </w:rPr>
      </w:pPr>
      <w:r>
        <w:rPr>
          <w:rFonts w:ascii="Times New Roman" w:cs="Times New Roman" w:eastAsia="Times New Roman" w:hAnsi="Times New Roman"/>
          <w:sz w:val="17"/>
          <w:szCs w:val="17"/>
          <w:color w:val="auto"/>
        </w:rPr>
        <w:t>(a)(1)(A)</w:t>
        <w:tab/>
        <w:t>6.12</w:t>
      </w:r>
    </w:p>
    <w:p>
      <w:pPr>
        <w:spacing w:after="0" w:line="7" w:lineRule="exact"/>
        <w:rPr>
          <w:sz w:val="20"/>
          <w:szCs w:val="20"/>
          <w:color w:val="auto"/>
        </w:rPr>
      </w:pPr>
    </w:p>
    <w:p>
      <w:pPr>
        <w:ind w:left="4880"/>
        <w:spacing w:after="0"/>
        <w:tabs>
          <w:tab w:leader="none" w:pos="5700" w:val="left"/>
        </w:tabs>
        <w:rPr>
          <w:sz w:val="20"/>
          <w:szCs w:val="20"/>
          <w:color w:val="auto"/>
        </w:rPr>
      </w:pPr>
      <w:r>
        <w:rPr>
          <w:rFonts w:ascii="Times New Roman" w:cs="Times New Roman" w:eastAsia="Times New Roman" w:hAnsi="Times New Roman"/>
          <w:sz w:val="17"/>
          <w:szCs w:val="17"/>
          <w:color w:val="auto"/>
        </w:rPr>
        <w:t>(a)(1)(B)</w:t>
        <w:tab/>
        <w:t>6.13</w:t>
      </w:r>
    </w:p>
    <w:p>
      <w:pPr>
        <w:spacing w:after="0" w:line="7" w:lineRule="exact"/>
        <w:rPr>
          <w:sz w:val="20"/>
          <w:szCs w:val="20"/>
          <w:color w:val="auto"/>
        </w:rPr>
      </w:pPr>
    </w:p>
    <w:p>
      <w:pPr>
        <w:jc w:val="both"/>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6.8</w:t>
      </w:r>
    </w:p>
    <w:p>
      <w:pPr>
        <w:spacing w:after="0" w:line="7" w:lineRule="exact"/>
        <w:rPr>
          <w:sz w:val="20"/>
          <w:szCs w:val="20"/>
          <w:color w:val="auto"/>
        </w:rPr>
      </w:pPr>
    </w:p>
    <w:p>
      <w:pPr>
        <w:jc w:val="both"/>
        <w:ind w:left="4780"/>
        <w:spacing w:after="0"/>
        <w:tabs>
          <w:tab w:leader="none" w:pos="5700" w:val="left"/>
        </w:tabs>
        <w:rPr>
          <w:sz w:val="20"/>
          <w:szCs w:val="20"/>
          <w:color w:val="auto"/>
        </w:rPr>
      </w:pPr>
      <w:r>
        <w:rPr>
          <w:rFonts w:ascii="Times New Roman" w:cs="Times New Roman" w:eastAsia="Times New Roman" w:hAnsi="Times New Roman"/>
          <w:sz w:val="17"/>
          <w:szCs w:val="17"/>
          <w:color w:val="auto"/>
        </w:rPr>
        <w:t>§317(a)(1)</w:t>
        <w:tab/>
        <w:t>6.3</w:t>
      </w:r>
    </w:p>
    <w:p>
      <w:pPr>
        <w:spacing w:after="0" w:line="7" w:lineRule="exact"/>
        <w:rPr>
          <w:sz w:val="20"/>
          <w:szCs w:val="20"/>
          <w:color w:val="auto"/>
        </w:rPr>
      </w:pPr>
    </w:p>
    <w:p>
      <w:pPr>
        <w:jc w:val="both"/>
        <w:ind w:left="5120"/>
        <w:spacing w:after="0"/>
        <w:tabs>
          <w:tab w:leader="none" w:pos="5700" w:val="left"/>
        </w:tabs>
        <w:rPr>
          <w:sz w:val="20"/>
          <w:szCs w:val="20"/>
          <w:color w:val="auto"/>
        </w:rPr>
      </w:pPr>
      <w:r>
        <w:rPr>
          <w:rFonts w:ascii="Times New Roman" w:cs="Times New Roman" w:eastAsia="Times New Roman" w:hAnsi="Times New Roman"/>
          <w:sz w:val="17"/>
          <w:szCs w:val="17"/>
          <w:color w:val="auto"/>
        </w:rPr>
        <w:t>(a)(2)</w:t>
        <w:tab/>
        <w:t>6.4</w:t>
      </w:r>
    </w:p>
    <w:p>
      <w:pPr>
        <w:spacing w:after="0" w:line="7" w:lineRule="exact"/>
        <w:rPr>
          <w:sz w:val="20"/>
          <w:szCs w:val="20"/>
          <w:color w:val="auto"/>
        </w:rPr>
      </w:pPr>
    </w:p>
    <w:p>
      <w:pPr>
        <w:ind w:left="5300"/>
        <w:spacing w:after="0"/>
        <w:tabs>
          <w:tab w:leader="none" w:pos="5700" w:val="left"/>
        </w:tabs>
        <w:rPr>
          <w:sz w:val="20"/>
          <w:szCs w:val="20"/>
          <w:color w:val="auto"/>
        </w:rPr>
      </w:pPr>
      <w:r>
        <w:rPr>
          <w:rFonts w:ascii="Times New Roman" w:cs="Times New Roman" w:eastAsia="Times New Roman" w:hAnsi="Times New Roman"/>
          <w:sz w:val="17"/>
          <w:szCs w:val="17"/>
          <w:color w:val="auto"/>
        </w:rPr>
        <w:t>(b)</w:t>
        <w:tab/>
        <w:t>2.5</w:t>
      </w:r>
    </w:p>
    <w:p>
      <w:pPr>
        <w:spacing w:after="0" w:line="7" w:lineRule="exact"/>
        <w:rPr>
          <w:sz w:val="20"/>
          <w:szCs w:val="20"/>
          <w:color w:val="auto"/>
        </w:rPr>
      </w:pPr>
    </w:p>
    <w:p>
      <w:pPr>
        <w:ind w:left="4980"/>
        <w:spacing w:after="0"/>
        <w:tabs>
          <w:tab w:leader="none" w:pos="5700" w:val="left"/>
        </w:tabs>
        <w:rPr>
          <w:sz w:val="20"/>
          <w:szCs w:val="20"/>
          <w:color w:val="auto"/>
        </w:rPr>
      </w:pPr>
      <w:r>
        <w:rPr>
          <w:rFonts w:ascii="Times New Roman" w:cs="Times New Roman" w:eastAsia="Times New Roman" w:hAnsi="Times New Roman"/>
          <w:sz w:val="17"/>
          <w:szCs w:val="17"/>
          <w:color w:val="auto"/>
        </w:rPr>
        <w:t>§318(a)</w:t>
        <w:tab/>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133350</wp:posOffset>
            </wp:positionV>
            <wp:extent cx="178498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1784985" cy="1587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7"/>
          <w:szCs w:val="17"/>
          <w:color w:val="auto"/>
        </w:rPr>
        <w:t>Note:</w:t>
        <w:tab/>
        <w:t>This reconciliation and tie shall not, for any purpose, be deemed to be part of the Indenture.</w:t>
      </w:r>
    </w:p>
    <w:p>
      <w:pPr>
        <w:spacing w:after="0" w:line="3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16" w:name="page117"/>
    <w:bookmarkEnd w:id="116"/>
    <w:p>
      <w:pPr>
        <w:ind w:left="920"/>
        <w:spacing w:after="0"/>
        <w:rPr>
          <w:sz w:val="20"/>
          <w:szCs w:val="20"/>
          <w:color w:val="auto"/>
        </w:rPr>
      </w:pPr>
      <w:r>
        <w:rPr>
          <w:rFonts w:ascii="Times New Roman" w:cs="Times New Roman" w:eastAsia="Times New Roman" w:hAnsi="Times New Roman"/>
          <w:sz w:val="17"/>
          <w:szCs w:val="17"/>
          <w:color w:val="auto"/>
        </w:rPr>
        <w:t>Indenture dated as of __________, 20__ between Cartesian Therapeutics, Inc., a company incorporated under the laws of Delaware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 (“</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Each party agrees as follows for the benefit of the other party and for the equal and ratable benefit of the Holders of the Securities issued under this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Indenture.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DEFINITIONS AND INCORPORATION BY REFERENCE</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u w:val="single" w:color="auto"/>
          <w:color w:val="auto"/>
        </w:rPr>
        <w:t>Definitions.</w:t>
      </w:r>
    </w:p>
    <w:p>
      <w:pPr>
        <w:spacing w:after="0" w:line="206" w:lineRule="exact"/>
        <w:rPr>
          <w:sz w:val="20"/>
          <w:szCs w:val="20"/>
          <w:color w:val="auto"/>
        </w:rPr>
      </w:pPr>
    </w:p>
    <w:p>
      <w:pPr>
        <w:ind w:right="20" w:firstLine="93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Affiliate</w:t>
      </w:r>
      <w:r>
        <w:rPr>
          <w:rFonts w:ascii="Times New Roman" w:cs="Times New Roman" w:eastAsia="Times New Roman" w:hAnsi="Times New Roman"/>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Agent</w:t>
      </w:r>
      <w:r>
        <w:rPr>
          <w:rFonts w:ascii="Times New Roman" w:cs="Times New Roman" w:eastAsia="Times New Roman" w:hAnsi="Times New Roman"/>
          <w:sz w:val="17"/>
          <w:szCs w:val="17"/>
          <w:color w:val="auto"/>
        </w:rPr>
        <w:t>” means any Registrar, Paying Agent or Notice Agent.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 of Directors</w:t>
      </w:r>
      <w:r>
        <w:rPr>
          <w:rFonts w:ascii="Times New Roman" w:cs="Times New Roman" w:eastAsia="Times New Roman" w:hAnsi="Times New Roman"/>
          <w:sz w:val="17"/>
          <w:szCs w:val="17"/>
          <w:color w:val="auto"/>
        </w:rPr>
        <w:t>” means the board of directors of the Company or any duly authorized committee thereof.</w:t>
      </w:r>
    </w:p>
    <w:p>
      <w:pPr>
        <w:spacing w:after="0" w:line="210" w:lineRule="exact"/>
        <w:rPr>
          <w:sz w:val="20"/>
          <w:szCs w:val="20"/>
          <w:color w:val="auto"/>
        </w:rPr>
      </w:pPr>
    </w:p>
    <w:p>
      <w:pPr>
        <w:ind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Board Resolution</w:t>
      </w:r>
      <w:r>
        <w:rPr>
          <w:rFonts w:ascii="Times New Roman" w:cs="Times New Roman" w:eastAsia="Times New Roman" w:hAnsi="Times New Roman"/>
          <w:sz w:val="17"/>
          <w:szCs w:val="17"/>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50" w:lineRule="exact"/>
        <w:rPr>
          <w:sz w:val="20"/>
          <w:szCs w:val="20"/>
          <w:color w:val="auto"/>
        </w:rPr>
      </w:pPr>
    </w:p>
    <w:p>
      <w:pPr>
        <w:ind w:right="14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Business Day</w:t>
      </w:r>
      <w:r>
        <w:rPr>
          <w:rFonts w:ascii="Times New Roman" w:cs="Times New Roman" w:eastAsia="Times New Roman" w:hAnsi="Times New Roman"/>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Capital Stock</w:t>
      </w:r>
      <w:r>
        <w:rPr>
          <w:rFonts w:ascii="Times New Roman" w:cs="Times New Roman" w:eastAsia="Times New Roman" w:hAnsi="Times New Roman"/>
          <w:sz w:val="17"/>
          <w:szCs w:val="17"/>
          <w:color w:val="auto"/>
        </w:rPr>
        <w:t>” means any and all shares, interests, participations, rights or other equivalents (however designated) of corporate stock.</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means the party named as such above until a successor replaces it and thereafter means the successor.</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Company Order</w:t>
      </w:r>
      <w:r>
        <w:rPr>
          <w:rFonts w:ascii="Times New Roman" w:cs="Times New Roman" w:eastAsia="Times New Roman" w:hAnsi="Times New Roman"/>
          <w:sz w:val="17"/>
          <w:szCs w:val="17"/>
          <w:color w:val="auto"/>
        </w:rPr>
        <w:t>” means a written order signed in the name of the Company by an Officer.</w:t>
      </w:r>
    </w:p>
    <w:p>
      <w:pPr>
        <w:spacing w:after="0" w:line="210" w:lineRule="exact"/>
        <w:rPr>
          <w:sz w:val="20"/>
          <w:szCs w:val="20"/>
          <w:color w:val="auto"/>
        </w:rPr>
      </w:pPr>
    </w:p>
    <w:p>
      <w:pPr>
        <w:ind w:right="32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Corporate Trust Office</w:t>
      </w:r>
      <w:r>
        <w:rPr>
          <w:rFonts w:ascii="Times New Roman" w:cs="Times New Roman" w:eastAsia="Times New Roman" w:hAnsi="Times New Roman"/>
          <w:sz w:val="17"/>
          <w:szCs w:val="17"/>
          <w:color w:val="auto"/>
        </w:rPr>
        <w:t>” means the office of the Trustee at which at any particular time its corporate trust business related to this Indenture shall be principally administered.</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Default</w:t>
      </w:r>
      <w:r>
        <w:rPr>
          <w:rFonts w:ascii="Times New Roman" w:cs="Times New Roman" w:eastAsia="Times New Roman" w:hAnsi="Times New Roman"/>
          <w:sz w:val="17"/>
          <w:szCs w:val="17"/>
          <w:color w:val="auto"/>
        </w:rPr>
        <w:t>” means any event which is, or after notice or passage of time or both would be, an Event of Default.</w:t>
      </w:r>
    </w:p>
    <w:p>
      <w:pPr>
        <w:spacing w:after="0" w:line="210" w:lineRule="exact"/>
        <w:rPr>
          <w:sz w:val="20"/>
          <w:szCs w:val="20"/>
          <w:color w:val="auto"/>
        </w:rPr>
      </w:pPr>
    </w:p>
    <w:p>
      <w:pPr>
        <w:jc w:val="both"/>
        <w:ind w:right="100" w:firstLine="930"/>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Depositary</w:t>
      </w:r>
      <w:r>
        <w:rPr>
          <w:rFonts w:ascii="Times New Roman" w:cs="Times New Roman" w:eastAsia="Times New Roman" w:hAnsi="Times New Roman"/>
          <w:sz w:val="17"/>
          <w:szCs w:val="17"/>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7" w:name="page118"/>
    <w:bookmarkEnd w:id="117"/>
    <w:p>
      <w:pPr>
        <w:ind w:right="76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Discount Security</w:t>
      </w:r>
      <w:r>
        <w:rPr>
          <w:rFonts w:ascii="Times New Roman" w:cs="Times New Roman" w:eastAsia="Times New Roman" w:hAnsi="Times New Roman"/>
          <w:sz w:val="17"/>
          <w:szCs w:val="17"/>
          <w:color w:val="auto"/>
        </w:rPr>
        <w:t>” means any Security that provides for an amount less than the stated principal amount thereof to be due and payable upon declaration of acceleration of the maturity thereof pursuant to Section 6.2.</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means the currency of The United States of America.</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Exchange Act</w:t>
      </w:r>
      <w:r>
        <w:rPr>
          <w:rFonts w:ascii="Times New Roman" w:cs="Times New Roman" w:eastAsia="Times New Roman" w:hAnsi="Times New Roman"/>
          <w:sz w:val="17"/>
          <w:szCs w:val="17"/>
          <w:color w:val="auto"/>
        </w:rPr>
        <w:t>” means the Securities Exchange Act of 1934, as amended.</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Foreign Currency</w:t>
      </w:r>
      <w:r>
        <w:rPr>
          <w:rFonts w:ascii="Times New Roman" w:cs="Times New Roman" w:eastAsia="Times New Roman" w:hAnsi="Times New Roman"/>
          <w:sz w:val="17"/>
          <w:szCs w:val="17"/>
          <w:color w:val="auto"/>
        </w:rPr>
        <w:t>” means any currency or currency unit issued by a government other than the government of The United States of America.</w:t>
      </w:r>
    </w:p>
    <w:p>
      <w:pPr>
        <w:spacing w:after="0" w:line="210" w:lineRule="exact"/>
        <w:rPr>
          <w:sz w:val="20"/>
          <w:szCs w:val="20"/>
          <w:color w:val="auto"/>
        </w:rPr>
      </w:pPr>
    </w:p>
    <w:p>
      <w:pPr>
        <w:jc w:val="both"/>
        <w:ind w:firstLine="93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Foreign Government Obligations</w:t>
      </w:r>
      <w:r>
        <w:rPr>
          <w:rFonts w:ascii="Times New Roman" w:cs="Times New Roman" w:eastAsia="Times New Roman" w:hAnsi="Times New Roman"/>
          <w:sz w:val="17"/>
          <w:szCs w:val="17"/>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63" w:lineRule="exact"/>
        <w:rPr>
          <w:sz w:val="20"/>
          <w:szCs w:val="20"/>
          <w:color w:val="auto"/>
        </w:rPr>
      </w:pPr>
    </w:p>
    <w:p>
      <w:pPr>
        <w:ind w:right="100" w:firstLine="93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“GAAP” </w:t>
      </w:r>
      <w:r>
        <w:rPr>
          <w:rFonts w:ascii="Times New Roman" w:cs="Times New Roman" w:eastAsia="Times New Roman" w:hAnsi="Times New Roman"/>
          <w:sz w:val="17"/>
          <w:szCs w:val="17"/>
          <w:color w:val="auto"/>
        </w:rPr>
        <w:t>means accounting principles generally accepted in the United States of America set forth in the opinions and pronouncements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69" w:lineRule="exact"/>
        <w:rPr>
          <w:sz w:val="20"/>
          <w:szCs w:val="20"/>
          <w:color w:val="auto"/>
        </w:rPr>
      </w:pPr>
    </w:p>
    <w:p>
      <w:pPr>
        <w:ind w:right="10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Global Security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Global Securities</w:t>
      </w:r>
      <w:r>
        <w:rPr>
          <w:rFonts w:ascii="Times New Roman" w:cs="Times New Roman" w:eastAsia="Times New Roman" w:hAnsi="Times New Roman"/>
          <w:sz w:val="17"/>
          <w:szCs w:val="17"/>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Holder</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Securityholder</w:t>
      </w:r>
      <w:r>
        <w:rPr>
          <w:rFonts w:ascii="Times New Roman" w:cs="Times New Roman" w:eastAsia="Times New Roman" w:hAnsi="Times New Roman"/>
          <w:sz w:val="17"/>
          <w:szCs w:val="17"/>
          <w:color w:val="auto"/>
        </w:rPr>
        <w:t>” means a person in whose name a Security is registered.</w:t>
      </w:r>
    </w:p>
    <w:p>
      <w:pPr>
        <w:spacing w:after="0" w:line="210" w:lineRule="exact"/>
        <w:rPr>
          <w:sz w:val="20"/>
          <w:szCs w:val="20"/>
          <w:color w:val="auto"/>
        </w:rPr>
      </w:pPr>
    </w:p>
    <w:p>
      <w:pPr>
        <w:ind w:right="12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means this Indenture as amended or supplemented from time to time and shall include the form and terms of particular Series of Securities established as contemplated hereunder.</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 with respect to any Discount Security which by its terms bears interest only after Maturity, means interest payable after Maturity.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ind w:right="42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Maturity</w:t>
      </w:r>
      <w:r>
        <w:rPr>
          <w:rFonts w:ascii="Times New Roman" w:cs="Times New Roman" w:eastAsia="Times New Roman" w:hAnsi="Times New Roman"/>
          <w:sz w:val="17"/>
          <w:szCs w:val="17"/>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50" w:lineRule="exact"/>
        <w:rPr>
          <w:sz w:val="20"/>
          <w:szCs w:val="20"/>
          <w:color w:val="auto"/>
        </w:rPr>
      </w:pPr>
    </w:p>
    <w:p>
      <w:pPr>
        <w:ind w:right="48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Officer</w:t>
      </w:r>
      <w:r>
        <w:rPr>
          <w:rFonts w:ascii="Times New Roman" w:cs="Times New Roman" w:eastAsia="Times New Roman" w:hAnsi="Times New Roman"/>
          <w:sz w:val="17"/>
          <w:szCs w:val="17"/>
          <w:color w:val="auto"/>
        </w:rPr>
        <w:t>” means the Chief Executive Officer, President, the Chief Financial Officer, the Treasurer or any Assistant Treasurer, the Secretary or any Assistant Secretary, and any Vice President of the Company.</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Officer’s Certificate</w:t>
      </w:r>
      <w:r>
        <w:rPr>
          <w:rFonts w:ascii="Times New Roman" w:cs="Times New Roman" w:eastAsia="Times New Roman" w:hAnsi="Times New Roman"/>
          <w:sz w:val="17"/>
          <w:szCs w:val="17"/>
          <w:color w:val="auto"/>
        </w:rPr>
        <w:t>” means a certificate signed by any Officer.</w:t>
      </w:r>
    </w:p>
    <w:p>
      <w:pPr>
        <w:spacing w:after="0" w:line="210" w:lineRule="exact"/>
        <w:rPr>
          <w:sz w:val="20"/>
          <w:szCs w:val="20"/>
          <w:color w:val="auto"/>
        </w:rPr>
      </w:pPr>
    </w:p>
    <w:p>
      <w:pPr>
        <w:ind w:right="16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Opinion of Counsel</w:t>
      </w:r>
      <w:r>
        <w:rPr>
          <w:rFonts w:ascii="Times New Roman" w:cs="Times New Roman" w:eastAsia="Times New Roman" w:hAnsi="Times New Roman"/>
          <w:sz w:val="17"/>
          <w:szCs w:val="17"/>
          <w:color w:val="auto"/>
        </w:rPr>
        <w:t>” means a written opinion of legal counsel who is acceptable to the Trustee. The counsel may be an employee of or counsel to the Company. The opinion may contain customary limitations, conditions and exceptions.</w:t>
      </w:r>
    </w:p>
    <w:p>
      <w:pPr>
        <w:spacing w:after="0" w:line="150" w:lineRule="exact"/>
        <w:rPr>
          <w:sz w:val="20"/>
          <w:szCs w:val="20"/>
          <w:color w:val="auto"/>
        </w:rPr>
      </w:pPr>
    </w:p>
    <w:p>
      <w:pPr>
        <w:ind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person</w:t>
      </w:r>
      <w:r>
        <w:rPr>
          <w:rFonts w:ascii="Times New Roman" w:cs="Times New Roman" w:eastAsia="Times New Roman" w:hAnsi="Times New Roman"/>
          <w:sz w:val="17"/>
          <w:szCs w:val="17"/>
          <w:color w:val="auto"/>
        </w:rPr>
        <w:t>” means any individual, corporation, partnership, joint venture, association, limited liability company, joint-stock company, trust, unincorporated organization or government or any agency or political subdivision thereof.</w:t>
      </w:r>
    </w:p>
    <w:p>
      <w:pPr>
        <w:spacing w:after="0" w:line="1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w:t>
      </w:r>
      <w:r>
        <w:rPr>
          <w:rFonts w:ascii="Times New Roman" w:cs="Times New Roman" w:eastAsia="Times New Roman" w:hAnsi="Times New Roman"/>
          <w:sz w:val="17"/>
          <w:szCs w:val="17"/>
          <w:color w:val="auto"/>
        </w:rPr>
        <w:t>” of a Security means the principal of the Security plus, when appropriate, the premium, if any, on the Security.</w:t>
      </w:r>
    </w:p>
    <w:p>
      <w:pPr>
        <w:spacing w:after="0" w:line="210" w:lineRule="exact"/>
        <w:rPr>
          <w:sz w:val="20"/>
          <w:szCs w:val="20"/>
          <w:color w:val="auto"/>
        </w:rPr>
      </w:pPr>
    </w:p>
    <w:p>
      <w:pPr>
        <w:ind w:right="160" w:firstLine="93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Responsible Officer</w:t>
      </w:r>
      <w:r>
        <w:rPr>
          <w:rFonts w:ascii="Times New Roman" w:cs="Times New Roman" w:eastAsia="Times New Roman" w:hAnsi="Times New Roman"/>
          <w:sz w:val="17"/>
          <w:szCs w:val="17"/>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6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w:t>
      </w:r>
      <w:r>
        <w:rPr>
          <w:rFonts w:ascii="Times New Roman" w:cs="Times New Roman" w:eastAsia="Times New Roman" w:hAnsi="Times New Roman"/>
          <w:sz w:val="17"/>
          <w:szCs w:val="17"/>
          <w:color w:val="auto"/>
        </w:rPr>
        <w:t>” means the Securities and Exchange Commission.</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w:t>
      </w:r>
      <w:r>
        <w:rPr>
          <w:rFonts w:ascii="Times New Roman" w:cs="Times New Roman" w:eastAsia="Times New Roman" w:hAnsi="Times New Roman"/>
          <w:sz w:val="17"/>
          <w:szCs w:val="17"/>
          <w:color w:val="auto"/>
        </w:rPr>
        <w:t>” means the debentures, notes or other debt instruments of the Company of any Series authenticated and delivered under this Indenture.</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Series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Series of Securities</w:t>
      </w:r>
      <w:r>
        <w:rPr>
          <w:rFonts w:ascii="Times New Roman" w:cs="Times New Roman" w:eastAsia="Times New Roman" w:hAnsi="Times New Roman"/>
          <w:sz w:val="17"/>
          <w:szCs w:val="17"/>
          <w:color w:val="auto"/>
        </w:rPr>
        <w:t>” means each series of debentures, notes or other debt instruments of the Company created pursuant to Sections 2.1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 hereof.</w:t>
      </w:r>
    </w:p>
    <w:p>
      <w:pPr>
        <w:spacing w:after="0" w:line="190" w:lineRule="exact"/>
        <w:rPr>
          <w:sz w:val="20"/>
          <w:szCs w:val="20"/>
          <w:color w:val="auto"/>
        </w:rPr>
      </w:pPr>
    </w:p>
    <w:p>
      <w:pPr>
        <w:ind w:right="320" w:firstLine="93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Stated Maturity</w:t>
      </w:r>
      <w:r>
        <w:rPr>
          <w:rFonts w:ascii="Times New Roman" w:cs="Times New Roman" w:eastAsia="Times New Roman" w:hAnsi="Times New Roman"/>
          <w:sz w:val="17"/>
          <w:szCs w:val="17"/>
          <w:color w:val="auto"/>
        </w:rPr>
        <w:t>” when used with respect to any Security, means the date specified in such Security as the fixed date on which the principal of such Security or interest is due and payable.</w:t>
      </w:r>
    </w:p>
    <w:p>
      <w:pPr>
        <w:spacing w:after="0" w:line="150" w:lineRule="exact"/>
        <w:rPr>
          <w:sz w:val="20"/>
          <w:szCs w:val="20"/>
          <w:color w:val="auto"/>
        </w:rPr>
      </w:pPr>
    </w:p>
    <w:p>
      <w:pPr>
        <w:jc w:val="both"/>
        <w:ind w:right="200" w:firstLine="93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Subsidiary</w:t>
      </w:r>
      <w:r>
        <w:rPr>
          <w:rFonts w:ascii="Times New Roman" w:cs="Times New Roman" w:eastAsia="Times New Roman" w:hAnsi="Times New Roman"/>
          <w:sz w:val="17"/>
          <w:szCs w:val="17"/>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63" w:lineRule="exact"/>
        <w:rPr>
          <w:sz w:val="20"/>
          <w:szCs w:val="20"/>
          <w:color w:val="auto"/>
        </w:rPr>
      </w:pPr>
    </w:p>
    <w:p>
      <w:pPr>
        <w:ind w:right="140" w:firstLine="93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TIA</w:t>
      </w:r>
      <w:r>
        <w:rPr>
          <w:rFonts w:ascii="Times New Roman" w:cs="Times New Roman" w:eastAsia="Times New Roman" w:hAnsi="Times New Roman"/>
          <w:sz w:val="17"/>
          <w:szCs w:val="17"/>
          <w:color w:val="auto"/>
        </w:rPr>
        <w:t xml:space="preserve">” means the Trust Indenture Act of 1939 (15 U.S. Code §§ 77aaa-77bbbb) as in effect on the date of this Indenture;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the Trust Indenture Act of 1939 is amended after such date, “TIA” means, to the extent required by any such amendment, the Trust Indenture Act as so amended.</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9" w:name="page120"/>
    <w:bookmarkEnd w:id="119"/>
    <w:p>
      <w:pPr>
        <w:ind w:firstLine="930"/>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Trustee</w:t>
      </w:r>
      <w:r>
        <w:rPr>
          <w:rFonts w:ascii="Times New Roman" w:cs="Times New Roman" w:eastAsia="Times New Roman" w:hAnsi="Times New Roman"/>
          <w:sz w:val="17"/>
          <w:szCs w:val="17"/>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3" w:lineRule="exact"/>
        <w:rPr>
          <w:sz w:val="20"/>
          <w:szCs w:val="20"/>
          <w:color w:val="auto"/>
        </w:rPr>
      </w:pPr>
    </w:p>
    <w:p>
      <w:pPr>
        <w:ind w:right="100" w:firstLine="930"/>
        <w:spacing w:after="0" w:line="25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U.S. Government Obligations</w:t>
      </w:r>
      <w:r>
        <w:rPr>
          <w:rFonts w:ascii="Times New Roman" w:cs="Times New Roman" w:eastAsia="Times New Roman" w:hAnsi="Times New Roman"/>
          <w:sz w:val="17"/>
          <w:szCs w:val="17"/>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14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Section 1.2. Other Definitions.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1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TERM</w:t>
            </w:r>
          </w:p>
        </w:tc>
        <w:tc>
          <w:tcPr>
            <w:tcW w:w="1180" w:type="dxa"/>
            <w:vAlign w:val="bottom"/>
            <w:tcBorders>
              <w:top w:val="single" w:sz="8" w:color="auto"/>
            </w:tcBorders>
            <w:vMerge w:val="restart"/>
          </w:tcPr>
          <w:p>
            <w:pPr>
              <w:spacing w:after="0"/>
              <w:rPr>
                <w:sz w:val="24"/>
                <w:szCs w:val="24"/>
                <w:color w:val="auto"/>
              </w:rPr>
            </w:pPr>
          </w:p>
        </w:tc>
        <w:tc>
          <w:tcPr>
            <w:tcW w:w="7700" w:type="dxa"/>
            <w:vAlign w:val="bottom"/>
            <w:vMerge w:val="restart"/>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DEFINED IN</w:t>
            </w:r>
          </w:p>
        </w:tc>
        <w:tc>
          <w:tcPr>
            <w:tcW w:w="0" w:type="dxa"/>
            <w:vAlign w:val="bottom"/>
          </w:tcPr>
          <w:p>
            <w:pPr>
              <w:spacing w:after="0"/>
              <w:rPr>
                <w:sz w:val="1"/>
                <w:szCs w:val="1"/>
                <w:color w:val="auto"/>
              </w:rPr>
            </w:pPr>
          </w:p>
        </w:tc>
      </w:tr>
      <w:tr>
        <w:trPr>
          <w:trHeight w:val="224"/>
        </w:trPr>
        <w:tc>
          <w:tcPr>
            <w:tcW w:w="1260" w:type="dxa"/>
            <w:vAlign w:val="bottom"/>
            <w:tcBorders>
              <w:bottom w:val="single" w:sz="8" w:color="CCEEFF"/>
            </w:tcBorders>
            <w:vMerge w:val="continue"/>
          </w:tcPr>
          <w:p>
            <w:pPr>
              <w:spacing w:after="0"/>
              <w:rPr>
                <w:sz w:val="19"/>
                <w:szCs w:val="19"/>
                <w:color w:val="auto"/>
              </w:rPr>
            </w:pPr>
          </w:p>
        </w:tc>
        <w:tc>
          <w:tcPr>
            <w:tcW w:w="1180" w:type="dxa"/>
            <w:vAlign w:val="bottom"/>
            <w:tcBorders>
              <w:bottom w:val="single" w:sz="8" w:color="CCEEFF"/>
            </w:tcBorders>
            <w:vMerge w:val="continue"/>
          </w:tcPr>
          <w:p>
            <w:pPr>
              <w:spacing w:after="0"/>
              <w:rPr>
                <w:sz w:val="19"/>
                <w:szCs w:val="19"/>
                <w:color w:val="auto"/>
              </w:rPr>
            </w:pPr>
          </w:p>
        </w:tc>
        <w:tc>
          <w:tcPr>
            <w:tcW w:w="770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SECTION</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“Bankruptcy Law”</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3"/>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“Custodian”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“Event of Default”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203"/>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“Judgment Currency”</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Holiday”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03"/>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“mandatory sinking fund payment”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“New York Banking Day”</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0" w:type="dxa"/>
            <w:vAlign w:val="bottom"/>
          </w:tcPr>
          <w:p>
            <w:pPr>
              <w:spacing w:after="0"/>
              <w:rPr>
                <w:sz w:val="1"/>
                <w:szCs w:val="1"/>
                <w:color w:val="auto"/>
              </w:rPr>
            </w:pPr>
          </w:p>
        </w:tc>
      </w:tr>
      <w:tr>
        <w:trPr>
          <w:trHeight w:val="203"/>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“Notice Agent”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“optional sinking fund payment”</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03"/>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“Paying Agent”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“Registrar”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0" w:type="dxa"/>
            <w:vAlign w:val="bottom"/>
          </w:tcPr>
          <w:p>
            <w:pPr>
              <w:spacing w:after="0"/>
              <w:rPr>
                <w:sz w:val="1"/>
                <w:szCs w:val="1"/>
                <w:color w:val="auto"/>
              </w:rPr>
            </w:pPr>
          </w:p>
        </w:tc>
      </w:tr>
      <w:tr>
        <w:trPr>
          <w:trHeight w:val="203"/>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“Required Currency”</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10.16</w:t>
            </w:r>
          </w:p>
        </w:tc>
        <w:tc>
          <w:tcPr>
            <w:tcW w:w="0" w:type="dxa"/>
            <w:vAlign w:val="bottom"/>
          </w:tcPr>
          <w:p>
            <w:pPr>
              <w:spacing w:after="0"/>
              <w:rPr>
                <w:sz w:val="1"/>
                <w:szCs w:val="1"/>
                <w:color w:val="auto"/>
              </w:rPr>
            </w:pPr>
          </w:p>
        </w:tc>
      </w:tr>
      <w:tr>
        <w:trPr>
          <w:trHeight w:val="203"/>
        </w:trPr>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“Specified Courts”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10.10</w:t>
            </w:r>
          </w:p>
        </w:tc>
        <w:tc>
          <w:tcPr>
            <w:tcW w:w="0" w:type="dxa"/>
            <w:vAlign w:val="bottom"/>
          </w:tcPr>
          <w:p>
            <w:pPr>
              <w:spacing w:after="0"/>
              <w:rPr>
                <w:sz w:val="1"/>
                <w:szCs w:val="1"/>
                <w:color w:val="auto"/>
              </w:rPr>
            </w:pPr>
          </w:p>
        </w:tc>
      </w:tr>
      <w:tr>
        <w:trPr>
          <w:trHeight w:val="218"/>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“successor person”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Incorporation by Reference of Trust Indenture Act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Whenever this Indenture refers to a provision of the TIA, the provision is incorporated by reference in and made a part of this Indenture. The following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TIA terms used in this Indenture have the following meanings:</w:t>
      </w:r>
    </w:p>
    <w:p>
      <w:pPr>
        <w:spacing w:after="0" w:line="19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means the SEC.</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securities</w:t>
      </w:r>
      <w:r>
        <w:rPr>
          <w:rFonts w:ascii="Times New Roman" w:cs="Times New Roman" w:eastAsia="Times New Roman" w:hAnsi="Times New Roman"/>
          <w:sz w:val="17"/>
          <w:szCs w:val="17"/>
          <w:color w:val="auto"/>
        </w:rPr>
        <w:t>” means the Securities.</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security holder</w:t>
      </w:r>
      <w:r>
        <w:rPr>
          <w:rFonts w:ascii="Times New Roman" w:cs="Times New Roman" w:eastAsia="Times New Roman" w:hAnsi="Times New Roman"/>
          <w:sz w:val="17"/>
          <w:szCs w:val="17"/>
          <w:color w:val="auto"/>
        </w:rPr>
        <w:t>” means a Securityholder.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0" w:name="page121"/>
    <w:bookmarkEnd w:id="120"/>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to be qualified</w:t>
      </w:r>
      <w:r>
        <w:rPr>
          <w:rFonts w:ascii="Times New Roman" w:cs="Times New Roman" w:eastAsia="Times New Roman" w:hAnsi="Times New Roman"/>
          <w:sz w:val="17"/>
          <w:szCs w:val="17"/>
          <w:color w:val="auto"/>
        </w:rPr>
        <w:t>” means this Indenture.</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indenture trustee</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institutional trustee</w:t>
      </w:r>
      <w:r>
        <w:rPr>
          <w:rFonts w:ascii="Times New Roman" w:cs="Times New Roman" w:eastAsia="Times New Roman" w:hAnsi="Times New Roman"/>
          <w:sz w:val="17"/>
          <w:szCs w:val="17"/>
          <w:color w:val="auto"/>
        </w:rPr>
        <w:t>” means the Trustee.</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obligor</w:t>
      </w:r>
      <w:r>
        <w:rPr>
          <w:rFonts w:ascii="Times New Roman" w:cs="Times New Roman" w:eastAsia="Times New Roman" w:hAnsi="Times New Roman"/>
          <w:sz w:val="17"/>
          <w:szCs w:val="17"/>
          <w:color w:val="auto"/>
        </w:rPr>
        <w:t>” on the indenture securities means the Company and any successor obligor upon the Securities.</w:t>
      </w:r>
    </w:p>
    <w:p>
      <w:pPr>
        <w:spacing w:after="0" w:line="214" w:lineRule="exact"/>
        <w:rPr>
          <w:sz w:val="20"/>
          <w:szCs w:val="20"/>
          <w:color w:val="auto"/>
        </w:rPr>
      </w:pPr>
    </w:p>
    <w:p>
      <w:pPr>
        <w:ind w:right="40" w:firstLine="930"/>
        <w:spacing w:after="0" w:line="276" w:lineRule="auto"/>
        <w:rPr>
          <w:sz w:val="20"/>
          <w:szCs w:val="20"/>
          <w:color w:val="auto"/>
        </w:rPr>
      </w:pPr>
      <w:r>
        <w:rPr>
          <w:rFonts w:ascii="Times New Roman" w:cs="Times New Roman" w:eastAsia="Times New Roman" w:hAnsi="Times New Roman"/>
          <w:sz w:val="17"/>
          <w:szCs w:val="17"/>
          <w:color w:val="auto"/>
        </w:rPr>
        <w:t>All other terms used in this Indenture that are defined by the TIA, defined by TIA reference to another statute or defined by SEC rule under the TIA and not otherwise defined herein are used herein as so defined.</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Unless the context otherwise requires:</w:t>
      </w:r>
    </w:p>
    <w:p>
      <w:pPr>
        <w:spacing w:after="0" w:line="210" w:lineRule="exact"/>
        <w:rPr>
          <w:sz w:val="20"/>
          <w:szCs w:val="20"/>
          <w:color w:val="auto"/>
        </w:rPr>
      </w:pPr>
    </w:p>
    <w:p>
      <w:pPr>
        <w:ind w:left="640" w:hanging="225"/>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term has the meaning assigned to it;</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accounting term not otherwise defined has the meaning assigned to it in accordance with GAAP;</w:t>
      </w:r>
    </w:p>
    <w:p>
      <w:pPr>
        <w:spacing w:after="0" w:line="205"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w:t>
      </w:r>
      <w:r>
        <w:rPr>
          <w:rFonts w:ascii="Times New Roman" w:cs="Times New Roman" w:eastAsia="Times New Roman" w:hAnsi="Times New Roman"/>
          <w:sz w:val="17"/>
          <w:szCs w:val="17"/>
          <w:color w:val="auto"/>
        </w:rPr>
        <w:t>” is not exclusive;</w:t>
      </w:r>
    </w:p>
    <w:p>
      <w:pPr>
        <w:spacing w:after="0" w:line="213"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in the singular include the plural, and in the plural include the singular; and</w:t>
      </w:r>
    </w:p>
    <w:p>
      <w:pPr>
        <w:spacing w:after="0" w:line="209"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apply to successive events and transactions.</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SECURITIES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Issuable in Series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3" w:lineRule="auto"/>
        <w:rPr>
          <w:sz w:val="20"/>
          <w:szCs w:val="20"/>
          <w:color w:val="auto"/>
        </w:rPr>
      </w:pPr>
      <w:r>
        <w:rPr>
          <w:rFonts w:ascii="Times New Roman" w:cs="Times New Roman" w:eastAsia="Times New Roman" w:hAnsi="Times New Roman"/>
          <w:sz w:val="17"/>
          <w:szCs w:val="17"/>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Establishment of Terms of Series of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60" w:firstLine="930"/>
        <w:spacing w:after="0" w:line="262" w:lineRule="auto"/>
        <w:rPr>
          <w:sz w:val="20"/>
          <w:szCs w:val="20"/>
          <w:color w:val="auto"/>
        </w:rPr>
      </w:pPr>
      <w:r>
        <w:rPr>
          <w:rFonts w:ascii="Times New Roman" w:cs="Times New Roman" w:eastAsia="Times New Roman" w:hAnsi="Times New Roman"/>
          <w:sz w:val="17"/>
          <w:szCs w:val="17"/>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70" w:lineRule="exact"/>
        <w:rPr>
          <w:sz w:val="20"/>
          <w:szCs w:val="20"/>
          <w:color w:val="auto"/>
        </w:rPr>
      </w:pPr>
    </w:p>
    <w:p>
      <w:pPr>
        <w:ind w:right="20" w:firstLine="930"/>
        <w:spacing w:after="0" w:line="276" w:lineRule="auto"/>
        <w:rPr>
          <w:sz w:val="20"/>
          <w:szCs w:val="20"/>
          <w:color w:val="auto"/>
        </w:rPr>
      </w:pPr>
      <w:r>
        <w:rPr>
          <w:rFonts w:ascii="Times New Roman" w:cs="Times New Roman" w:eastAsia="Times New Roman" w:hAnsi="Times New Roman"/>
          <w:sz w:val="17"/>
          <w:szCs w:val="17"/>
          <w:color w:val="auto"/>
        </w:rPr>
        <w:t>2.2.1. the title (which shall distinguish the Securities of that particular Series from the Securities of any other Series) and ranking (including the terms of any subordination provisions) of the Series;</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1" w:name="page122"/>
    <w:bookmarkEnd w:id="121"/>
    <w:p>
      <w:pPr>
        <w:ind w:left="940"/>
        <w:spacing w:after="0"/>
        <w:rPr>
          <w:sz w:val="20"/>
          <w:szCs w:val="20"/>
          <w:color w:val="auto"/>
        </w:rPr>
      </w:pPr>
      <w:r>
        <w:rPr>
          <w:rFonts w:ascii="Times New Roman" w:cs="Times New Roman" w:eastAsia="Times New Roman" w:hAnsi="Times New Roman"/>
          <w:sz w:val="17"/>
          <w:szCs w:val="17"/>
          <w:color w:val="auto"/>
        </w:rPr>
        <w:t>2.2.2. the price or prices (expressed as a percentage of the principal amount thereof) at which the Securities of the Series will be issued;</w:t>
      </w:r>
    </w:p>
    <w:p>
      <w:pPr>
        <w:spacing w:after="0" w:line="210" w:lineRule="exact"/>
        <w:rPr>
          <w:sz w:val="20"/>
          <w:szCs w:val="20"/>
          <w:color w:val="auto"/>
        </w:rPr>
      </w:pPr>
    </w:p>
    <w:p>
      <w:pPr>
        <w:ind w:right="220" w:firstLine="930"/>
        <w:spacing w:after="0" w:line="262" w:lineRule="auto"/>
        <w:rPr>
          <w:sz w:val="20"/>
          <w:szCs w:val="20"/>
          <w:color w:val="auto"/>
        </w:rPr>
      </w:pPr>
      <w:r>
        <w:rPr>
          <w:rFonts w:ascii="Times New Roman" w:cs="Times New Roman" w:eastAsia="Times New Roman" w:hAnsi="Times New Roman"/>
          <w:sz w:val="17"/>
          <w:szCs w:val="17"/>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2.2.4. the date or dates on which the principal of the Securities of the Series is payable;</w:t>
      </w:r>
    </w:p>
    <w:p>
      <w:pPr>
        <w:spacing w:after="0" w:line="210" w:lineRule="exact"/>
        <w:rPr>
          <w:sz w:val="20"/>
          <w:szCs w:val="20"/>
          <w:color w:val="auto"/>
        </w:rPr>
      </w:pPr>
    </w:p>
    <w:p>
      <w:pPr>
        <w:ind w:right="20" w:firstLine="930"/>
        <w:spacing w:after="0" w:line="258" w:lineRule="auto"/>
        <w:rPr>
          <w:sz w:val="20"/>
          <w:szCs w:val="20"/>
          <w:color w:val="auto"/>
        </w:rPr>
      </w:pPr>
      <w:r>
        <w:rPr>
          <w:rFonts w:ascii="Times New Roman" w:cs="Times New Roman" w:eastAsia="Times New Roman" w:hAnsi="Times New Roman"/>
          <w:sz w:val="17"/>
          <w:szCs w:val="17"/>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73" w:lineRule="exact"/>
        <w:rPr>
          <w:sz w:val="20"/>
          <w:szCs w:val="20"/>
          <w:color w:val="auto"/>
        </w:rPr>
      </w:pPr>
    </w:p>
    <w:p>
      <w:pPr>
        <w:ind w:right="160" w:firstLine="930"/>
        <w:spacing w:after="0" w:line="262" w:lineRule="auto"/>
        <w:rPr>
          <w:sz w:val="20"/>
          <w:szCs w:val="20"/>
          <w:color w:val="auto"/>
        </w:rPr>
      </w:pPr>
      <w:r>
        <w:rPr>
          <w:rFonts w:ascii="Times New Roman" w:cs="Times New Roman" w:eastAsia="Times New Roman" w:hAnsi="Times New Roman"/>
          <w:sz w:val="17"/>
          <w:szCs w:val="17"/>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70" w:lineRule="exact"/>
        <w:rPr>
          <w:sz w:val="20"/>
          <w:szCs w:val="20"/>
          <w:color w:val="auto"/>
        </w:rPr>
      </w:pPr>
    </w:p>
    <w:p>
      <w:pPr>
        <w:ind w:right="60" w:firstLine="930"/>
        <w:spacing w:after="0" w:line="276" w:lineRule="auto"/>
        <w:rPr>
          <w:sz w:val="20"/>
          <w:szCs w:val="20"/>
          <w:color w:val="auto"/>
        </w:rPr>
      </w:pPr>
      <w:r>
        <w:rPr>
          <w:rFonts w:ascii="Times New Roman" w:cs="Times New Roman" w:eastAsia="Times New Roman" w:hAnsi="Times New Roman"/>
          <w:sz w:val="17"/>
          <w:szCs w:val="17"/>
          <w:color w:val="auto"/>
        </w:rPr>
        <w:t>2.2.7. if applicable, the period or periods within which, the price or prices at which and the terms and conditions upon which the Securities of the Series may be redeemed, in whole or in part, at the option of the Company;</w:t>
      </w:r>
    </w:p>
    <w:p>
      <w:pPr>
        <w:spacing w:after="0" w:line="158" w:lineRule="exact"/>
        <w:rPr>
          <w:sz w:val="20"/>
          <w:szCs w:val="20"/>
          <w:color w:val="auto"/>
        </w:rPr>
      </w:pPr>
    </w:p>
    <w:p>
      <w:pPr>
        <w:jc w:val="both"/>
        <w:ind w:right="80" w:firstLine="930"/>
        <w:spacing w:after="0" w:line="262" w:lineRule="auto"/>
        <w:rPr>
          <w:sz w:val="20"/>
          <w:szCs w:val="20"/>
          <w:color w:val="auto"/>
        </w:rPr>
      </w:pPr>
      <w:r>
        <w:rPr>
          <w:rFonts w:ascii="Times New Roman" w:cs="Times New Roman" w:eastAsia="Times New Roman" w:hAnsi="Times New Roman"/>
          <w:sz w:val="17"/>
          <w:szCs w:val="17"/>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0" w:lineRule="exact"/>
        <w:rPr>
          <w:sz w:val="20"/>
          <w:szCs w:val="20"/>
          <w:color w:val="auto"/>
        </w:rPr>
      </w:pPr>
    </w:p>
    <w:p>
      <w:pPr>
        <w:ind w:right="280" w:firstLine="930"/>
        <w:spacing w:after="0" w:line="276" w:lineRule="auto"/>
        <w:rPr>
          <w:sz w:val="20"/>
          <w:szCs w:val="20"/>
          <w:color w:val="auto"/>
        </w:rPr>
      </w:pPr>
      <w:r>
        <w:rPr>
          <w:rFonts w:ascii="Times New Roman" w:cs="Times New Roman" w:eastAsia="Times New Roman" w:hAnsi="Times New Roman"/>
          <w:sz w:val="17"/>
          <w:szCs w:val="17"/>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2.2.10. if other than denominations of $1,000 and any integral multiple thereof, the denominations in which the Securities of the Series shall be issuable;</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2" w:name="page123"/>
    <w:bookmarkEnd w:id="122"/>
    <w:p>
      <w:pPr>
        <w:ind w:left="940"/>
        <w:spacing w:after="0"/>
        <w:rPr>
          <w:sz w:val="20"/>
          <w:szCs w:val="20"/>
          <w:color w:val="auto"/>
        </w:rPr>
      </w:pPr>
      <w:r>
        <w:rPr>
          <w:rFonts w:ascii="Times New Roman" w:cs="Times New Roman" w:eastAsia="Times New Roman" w:hAnsi="Times New Roman"/>
          <w:sz w:val="17"/>
          <w:szCs w:val="17"/>
          <w:color w:val="auto"/>
        </w:rPr>
        <w:t>2.2.11. the forms of the Securities of the Series and whether the Securities will be issuable as Global Securities;</w:t>
      </w:r>
    </w:p>
    <w:p>
      <w:pPr>
        <w:spacing w:after="0" w:line="210" w:lineRule="exact"/>
        <w:rPr>
          <w:sz w:val="20"/>
          <w:szCs w:val="20"/>
          <w:color w:val="auto"/>
        </w:rPr>
      </w:pPr>
    </w:p>
    <w:p>
      <w:pPr>
        <w:ind w:right="740" w:firstLine="930"/>
        <w:spacing w:after="0" w:line="276" w:lineRule="auto"/>
        <w:rPr>
          <w:sz w:val="20"/>
          <w:szCs w:val="20"/>
          <w:color w:val="auto"/>
        </w:rPr>
      </w:pPr>
      <w:r>
        <w:rPr>
          <w:rFonts w:ascii="Times New Roman" w:cs="Times New Roman" w:eastAsia="Times New Roman" w:hAnsi="Times New Roman"/>
          <w:sz w:val="17"/>
          <w:szCs w:val="17"/>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58" w:lineRule="exact"/>
        <w:rPr>
          <w:sz w:val="20"/>
          <w:szCs w:val="20"/>
          <w:color w:val="auto"/>
        </w:rPr>
      </w:pPr>
    </w:p>
    <w:p>
      <w:pPr>
        <w:ind w:right="880" w:firstLine="930"/>
        <w:spacing w:after="0" w:line="276" w:lineRule="auto"/>
        <w:rPr>
          <w:sz w:val="20"/>
          <w:szCs w:val="20"/>
          <w:color w:val="auto"/>
        </w:rPr>
      </w:pPr>
      <w:r>
        <w:rPr>
          <w:rFonts w:ascii="Times New Roman" w:cs="Times New Roman" w:eastAsia="Times New Roman" w:hAnsi="Times New Roman"/>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58" w:lineRule="exact"/>
        <w:rPr>
          <w:sz w:val="20"/>
          <w:szCs w:val="20"/>
          <w:color w:val="auto"/>
        </w:rPr>
      </w:pPr>
    </w:p>
    <w:p>
      <w:pPr>
        <w:ind w:right="320" w:firstLine="930"/>
        <w:spacing w:after="0" w:line="276" w:lineRule="auto"/>
        <w:rPr>
          <w:sz w:val="20"/>
          <w:szCs w:val="20"/>
          <w:color w:val="auto"/>
        </w:rPr>
      </w:pPr>
      <w:r>
        <w:rPr>
          <w:rFonts w:ascii="Times New Roman" w:cs="Times New Roman" w:eastAsia="Times New Roman" w:hAnsi="Times New Roman"/>
          <w:sz w:val="17"/>
          <w:szCs w:val="17"/>
          <w:color w:val="auto"/>
        </w:rPr>
        <w:t>2.2.14. the designation of the currency, currencies or currency units in which payment of the principal of and interest, if any, on the Securities of the Series will be made;</w:t>
      </w:r>
    </w:p>
    <w:p>
      <w:pPr>
        <w:spacing w:after="0" w:line="158" w:lineRule="exact"/>
        <w:rPr>
          <w:sz w:val="20"/>
          <w:szCs w:val="20"/>
          <w:color w:val="auto"/>
        </w:rPr>
      </w:pPr>
    </w:p>
    <w:p>
      <w:pPr>
        <w:ind w:right="20" w:firstLine="930"/>
        <w:spacing w:after="0" w:line="276" w:lineRule="auto"/>
        <w:rPr>
          <w:sz w:val="20"/>
          <w:szCs w:val="20"/>
          <w:color w:val="auto"/>
        </w:rPr>
      </w:pPr>
      <w:r>
        <w:rPr>
          <w:rFonts w:ascii="Times New Roman" w:cs="Times New Roman" w:eastAsia="Times New Roman" w:hAnsi="Times New Roman"/>
          <w:sz w:val="17"/>
          <w:szCs w:val="17"/>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58" w:lineRule="exact"/>
        <w:rPr>
          <w:sz w:val="20"/>
          <w:szCs w:val="20"/>
          <w:color w:val="auto"/>
        </w:rPr>
      </w:pPr>
    </w:p>
    <w:p>
      <w:pPr>
        <w:ind w:firstLine="930"/>
        <w:spacing w:after="0" w:line="262" w:lineRule="auto"/>
        <w:rPr>
          <w:sz w:val="20"/>
          <w:szCs w:val="20"/>
          <w:color w:val="auto"/>
        </w:rPr>
      </w:pPr>
      <w:r>
        <w:rPr>
          <w:rFonts w:ascii="Times New Roman" w:cs="Times New Roman" w:eastAsia="Times New Roman" w:hAnsi="Times New Roman"/>
          <w:sz w:val="17"/>
          <w:szCs w:val="17"/>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2.2.17. the provisions, if any, relating to any security provided for the Securities of the Series;</w:t>
      </w:r>
    </w:p>
    <w:p>
      <w:pPr>
        <w:spacing w:after="0" w:line="210" w:lineRule="exact"/>
        <w:rPr>
          <w:sz w:val="20"/>
          <w:szCs w:val="20"/>
          <w:color w:val="auto"/>
        </w:rPr>
      </w:pPr>
    </w:p>
    <w:p>
      <w:pPr>
        <w:ind w:right="280" w:firstLine="930"/>
        <w:spacing w:after="0" w:line="276" w:lineRule="auto"/>
        <w:rPr>
          <w:sz w:val="20"/>
          <w:szCs w:val="20"/>
          <w:color w:val="auto"/>
        </w:rPr>
      </w:pPr>
      <w:r>
        <w:rPr>
          <w:rFonts w:ascii="Times New Roman" w:cs="Times New Roman" w:eastAsia="Times New Roman" w:hAnsi="Times New Roman"/>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2.2.19. any addition to, deletion of or change in the covenants set forth in Articles IV or V which applies to Securities of the Series;</w:t>
      </w:r>
    </w:p>
    <w:p>
      <w:pPr>
        <w:spacing w:after="0" w:line="210" w:lineRule="exact"/>
        <w:rPr>
          <w:sz w:val="20"/>
          <w:szCs w:val="20"/>
          <w:color w:val="auto"/>
        </w:rPr>
      </w:pPr>
    </w:p>
    <w:p>
      <w:pPr>
        <w:ind w:right="340" w:firstLine="930"/>
        <w:spacing w:after="0" w:line="276" w:lineRule="auto"/>
        <w:rPr>
          <w:sz w:val="20"/>
          <w:szCs w:val="20"/>
          <w:color w:val="auto"/>
        </w:rPr>
      </w:pPr>
      <w:r>
        <w:rPr>
          <w:rFonts w:ascii="Times New Roman" w:cs="Times New Roman" w:eastAsia="Times New Roman" w:hAnsi="Times New Roman"/>
          <w:sz w:val="17"/>
          <w:szCs w:val="17"/>
          <w:color w:val="auto"/>
        </w:rPr>
        <w:t>2.2.20. any Depositaries, interest rate calculation agents, exchange rate calculation agents or other agents with respect to Securities of such Series if other than those appointed herein;</w:t>
      </w:r>
    </w:p>
    <w:p>
      <w:pPr>
        <w:spacing w:after="0" w:line="158" w:lineRule="exact"/>
        <w:rPr>
          <w:sz w:val="20"/>
          <w:szCs w:val="20"/>
          <w:color w:val="auto"/>
        </w:rPr>
      </w:pPr>
    </w:p>
    <w:p>
      <w:pPr>
        <w:ind w:right="160" w:firstLine="930"/>
        <w:spacing w:after="0" w:line="258" w:lineRule="auto"/>
        <w:rPr>
          <w:sz w:val="20"/>
          <w:szCs w:val="20"/>
          <w:color w:val="auto"/>
        </w:rPr>
      </w:pPr>
      <w:r>
        <w:rPr>
          <w:rFonts w:ascii="Times New Roman" w:cs="Times New Roman" w:eastAsia="Times New Roman" w:hAnsi="Times New Roman"/>
          <w:sz w:val="17"/>
          <w:szCs w:val="17"/>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73" w:lineRule="exact"/>
        <w:rPr>
          <w:sz w:val="20"/>
          <w:szCs w:val="20"/>
          <w:color w:val="auto"/>
        </w:rPr>
      </w:pPr>
    </w:p>
    <w:p>
      <w:pPr>
        <w:ind w:right="460" w:firstLine="930"/>
        <w:spacing w:after="0" w:line="309" w:lineRule="auto"/>
        <w:rPr>
          <w:sz w:val="20"/>
          <w:szCs w:val="20"/>
          <w:color w:val="auto"/>
        </w:rPr>
      </w:pPr>
      <w:r>
        <w:rPr>
          <w:rFonts w:ascii="Times New Roman" w:cs="Times New Roman" w:eastAsia="Times New Roman" w:hAnsi="Times New Roman"/>
          <w:sz w:val="16"/>
          <w:szCs w:val="16"/>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3" w:name="page124"/>
    <w:bookmarkEnd w:id="123"/>
    <w:p>
      <w:pPr>
        <w:ind w:right="80" w:firstLine="930"/>
        <w:spacing w:after="0" w:line="276" w:lineRule="auto"/>
        <w:rPr>
          <w:sz w:val="20"/>
          <w:szCs w:val="20"/>
          <w:color w:val="auto"/>
        </w:rPr>
      </w:pPr>
      <w:r>
        <w:rPr>
          <w:rFonts w:ascii="Times New Roman" w:cs="Times New Roman" w:eastAsia="Times New Roman" w:hAnsi="Times New Roman"/>
          <w:sz w:val="17"/>
          <w:szCs w:val="17"/>
          <w:color w:val="auto"/>
        </w:rPr>
        <w:t>2.2.23. whether any of the Company’s direct or indirect Subsidiaries will guarantee the Securities of that Series, including the terms of subordination, if any, of such guarantees.</w:t>
      </w:r>
    </w:p>
    <w:p>
      <w:pPr>
        <w:spacing w:after="0" w:line="158" w:lineRule="exact"/>
        <w:rPr>
          <w:sz w:val="20"/>
          <w:szCs w:val="20"/>
          <w:color w:val="auto"/>
        </w:rPr>
      </w:pPr>
    </w:p>
    <w:p>
      <w:pPr>
        <w:ind w:right="120" w:firstLine="930"/>
        <w:spacing w:after="0" w:line="276" w:lineRule="auto"/>
        <w:rPr>
          <w:sz w:val="20"/>
          <w:szCs w:val="20"/>
          <w:color w:val="auto"/>
        </w:rPr>
      </w:pPr>
      <w:r>
        <w:rPr>
          <w:rFonts w:ascii="Times New Roman" w:cs="Times New Roman" w:eastAsia="Times New Roman" w:hAnsi="Times New Roman"/>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Execution and Authentication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An Officer shall sign the Securities for the Company by manual or facsimile signature.</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If an Officer whose signature is on a Security no longer holds that office at the time the Security is authenticated, the Security shall nevertheless be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valid.</w:t>
      </w:r>
    </w:p>
    <w:p>
      <w:pPr>
        <w:spacing w:after="0" w:line="194" w:lineRule="exact"/>
        <w:rPr>
          <w:sz w:val="20"/>
          <w:szCs w:val="20"/>
          <w:color w:val="auto"/>
        </w:rPr>
      </w:pPr>
    </w:p>
    <w:p>
      <w:pPr>
        <w:ind w:right="340" w:firstLine="930"/>
        <w:spacing w:after="0" w:line="276" w:lineRule="auto"/>
        <w:rPr>
          <w:sz w:val="20"/>
          <w:szCs w:val="20"/>
          <w:color w:val="auto"/>
        </w:rPr>
      </w:pPr>
      <w:r>
        <w:rPr>
          <w:rFonts w:ascii="Times New Roman" w:cs="Times New Roman" w:eastAsia="Times New Roman" w:hAnsi="Times New Roman"/>
          <w:sz w:val="17"/>
          <w:szCs w:val="17"/>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58" w:lineRule="exact"/>
        <w:rPr>
          <w:sz w:val="20"/>
          <w:szCs w:val="20"/>
          <w:color w:val="auto"/>
        </w:rPr>
      </w:pPr>
    </w:p>
    <w:p>
      <w:pPr>
        <w:ind w:right="60" w:firstLine="930"/>
        <w:spacing w:after="0" w:line="309" w:lineRule="auto"/>
        <w:rPr>
          <w:sz w:val="20"/>
          <w:szCs w:val="20"/>
          <w:color w:val="auto"/>
        </w:rPr>
      </w:pPr>
      <w:r>
        <w:rPr>
          <w:rFonts w:ascii="Times New Roman" w:cs="Times New Roman" w:eastAsia="Times New Roman" w:hAnsi="Times New Roman"/>
          <w:sz w:val="16"/>
          <w:szCs w:val="16"/>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4" w:lineRule="exact"/>
        <w:rPr>
          <w:sz w:val="20"/>
          <w:szCs w:val="20"/>
          <w:color w:val="auto"/>
        </w:rPr>
      </w:pPr>
    </w:p>
    <w:p>
      <w:pPr>
        <w:jc w:val="both"/>
        <w:ind w:right="180" w:firstLine="930"/>
        <w:spacing w:after="0" w:line="262" w:lineRule="auto"/>
        <w:rPr>
          <w:sz w:val="20"/>
          <w:szCs w:val="20"/>
          <w:color w:val="auto"/>
        </w:rPr>
      </w:pPr>
      <w:r>
        <w:rPr>
          <w:rFonts w:ascii="Times New Roman" w:cs="Times New Roman" w:eastAsia="Times New Roman" w:hAnsi="Times New Roman"/>
          <w:sz w:val="17"/>
          <w:szCs w:val="17"/>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70" w:lineRule="exact"/>
        <w:rPr>
          <w:sz w:val="20"/>
          <w:szCs w:val="20"/>
          <w:color w:val="auto"/>
        </w:rPr>
      </w:pPr>
    </w:p>
    <w:p>
      <w:pPr>
        <w:ind w:right="40" w:firstLine="930"/>
        <w:spacing w:after="0" w:line="258" w:lineRule="auto"/>
        <w:rPr>
          <w:sz w:val="20"/>
          <w:szCs w:val="20"/>
          <w:color w:val="auto"/>
        </w:rPr>
      </w:pPr>
      <w:r>
        <w:rPr>
          <w:rFonts w:ascii="Times New Roman" w:cs="Times New Roman" w:eastAsia="Times New Roman" w:hAnsi="Times New Roman"/>
          <w:sz w:val="17"/>
          <w:szCs w:val="17"/>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73"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4" w:name="page125"/>
    <w:bookmarkEnd w:id="124"/>
    <w:p>
      <w:pPr>
        <w:ind w:right="80" w:firstLine="930"/>
        <w:spacing w:after="0" w:line="262" w:lineRule="auto"/>
        <w:rPr>
          <w:sz w:val="20"/>
          <w:szCs w:val="20"/>
          <w:color w:val="auto"/>
        </w:rPr>
      </w:pPr>
      <w:r>
        <w:rPr>
          <w:rFonts w:ascii="Times New Roman" w:cs="Times New Roman" w:eastAsia="Times New Roman" w:hAnsi="Times New Roman"/>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Registrar and Paying Agent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0" w:firstLine="930"/>
        <w:spacing w:after="0" w:line="269" w:lineRule="auto"/>
        <w:rPr>
          <w:sz w:val="20"/>
          <w:szCs w:val="20"/>
          <w:color w:val="auto"/>
        </w:rPr>
      </w:pPr>
      <w:r>
        <w:rPr>
          <w:rFonts w:ascii="Times New Roman" w:cs="Times New Roman" w:eastAsia="Times New Roman" w:hAnsi="Times New Roman"/>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6"/>
          <w:szCs w:val="16"/>
          <w:i w:val="1"/>
          <w:iCs w:val="1"/>
          <w:color w:val="auto"/>
        </w:rPr>
        <w:t>Paying Agent</w:t>
      </w:r>
      <w:r>
        <w:rPr>
          <w:rFonts w:ascii="Times New Roman" w:cs="Times New Roman" w:eastAsia="Times New Roman" w:hAnsi="Times New Roman"/>
          <w:sz w:val="16"/>
          <w:szCs w:val="16"/>
          <w:color w:val="auto"/>
        </w:rPr>
        <w:t>”), where Securities of such Series may be surrendered for registration of transfer or exchange (“</w:t>
      </w:r>
      <w:r>
        <w:rPr>
          <w:rFonts w:ascii="Times New Roman" w:cs="Times New Roman" w:eastAsia="Times New Roman" w:hAnsi="Times New Roman"/>
          <w:sz w:val="16"/>
          <w:szCs w:val="16"/>
          <w:i w:val="1"/>
          <w:iCs w:val="1"/>
          <w:color w:val="auto"/>
        </w:rPr>
        <w:t>Registrar</w:t>
      </w:r>
      <w:r>
        <w:rPr>
          <w:rFonts w:ascii="Times New Roman" w:cs="Times New Roman" w:eastAsia="Times New Roman" w:hAnsi="Times New Roman"/>
          <w:sz w:val="16"/>
          <w:szCs w:val="16"/>
          <w:color w:val="auto"/>
        </w:rPr>
        <w:t>”) and where notices and demands to or upon the Company in respect of the Securities of such Series and this Indenture may be delivered (“</w:t>
      </w:r>
      <w:r>
        <w:rPr>
          <w:rFonts w:ascii="Times New Roman" w:cs="Times New Roman" w:eastAsia="Times New Roman" w:hAnsi="Times New Roman"/>
          <w:sz w:val="16"/>
          <w:szCs w:val="16"/>
          <w:i w:val="1"/>
          <w:iCs w:val="1"/>
          <w:color w:val="auto"/>
        </w:rPr>
        <w:t>Notice Agent</w:t>
      </w:r>
      <w:r>
        <w:rPr>
          <w:rFonts w:ascii="Times New Roman" w:cs="Times New Roman" w:eastAsia="Times New Roman" w:hAnsi="Times New Roman"/>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70" w:lineRule="exact"/>
        <w:rPr>
          <w:sz w:val="20"/>
          <w:szCs w:val="20"/>
          <w:color w:val="auto"/>
        </w:rPr>
      </w:pPr>
    </w:p>
    <w:p>
      <w:pPr>
        <w:ind w:firstLine="930"/>
        <w:spacing w:after="0" w:line="254" w:lineRule="auto"/>
        <w:rPr>
          <w:sz w:val="20"/>
          <w:szCs w:val="20"/>
          <w:color w:val="auto"/>
        </w:rPr>
      </w:pPr>
      <w:r>
        <w:rPr>
          <w:rFonts w:ascii="Times New Roman" w:cs="Times New Roman" w:eastAsia="Times New Roman" w:hAnsi="Times New Roman"/>
          <w:sz w:val="17"/>
          <w:szCs w:val="17"/>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 includes any co-registrar; the term “</w:t>
      </w:r>
      <w:r>
        <w:rPr>
          <w:rFonts w:ascii="Times New Roman" w:cs="Times New Roman" w:eastAsia="Times New Roman" w:hAnsi="Times New Roman"/>
          <w:sz w:val="17"/>
          <w:szCs w:val="17"/>
          <w:i w:val="1"/>
          <w:iCs w:val="1"/>
          <w:color w:val="auto"/>
        </w:rPr>
        <w:t>Paying Agent</w:t>
      </w:r>
      <w:r>
        <w:rPr>
          <w:rFonts w:ascii="Times New Roman" w:cs="Times New Roman" w:eastAsia="Times New Roman" w:hAnsi="Times New Roman"/>
          <w:sz w:val="17"/>
          <w:szCs w:val="17"/>
          <w:color w:val="auto"/>
        </w:rPr>
        <w:t>” includes any additional paying agent; and the term “</w:t>
      </w:r>
      <w:r>
        <w:rPr>
          <w:rFonts w:ascii="Times New Roman" w:cs="Times New Roman" w:eastAsia="Times New Roman" w:hAnsi="Times New Roman"/>
          <w:sz w:val="17"/>
          <w:szCs w:val="17"/>
          <w:i w:val="1"/>
          <w:iCs w:val="1"/>
          <w:color w:val="auto"/>
        </w:rPr>
        <w:t>Notice Agent</w:t>
      </w:r>
      <w:r>
        <w:rPr>
          <w:rFonts w:ascii="Times New Roman" w:cs="Times New Roman" w:eastAsia="Times New Roman" w:hAnsi="Times New Roman"/>
          <w:sz w:val="17"/>
          <w:szCs w:val="17"/>
          <w:color w:val="auto"/>
        </w:rPr>
        <w:t>” includes any additional notice agent. The Company or any of its Affiliates may serve as Registrar or Paying Agent.</w:t>
      </w:r>
    </w:p>
    <w:p>
      <w:pPr>
        <w:spacing w:after="0" w:line="177" w:lineRule="exact"/>
        <w:rPr>
          <w:sz w:val="20"/>
          <w:szCs w:val="20"/>
          <w:color w:val="auto"/>
        </w:rPr>
      </w:pPr>
    </w:p>
    <w:p>
      <w:pPr>
        <w:ind w:right="140" w:firstLine="930"/>
        <w:spacing w:after="0" w:line="276" w:lineRule="auto"/>
        <w:rPr>
          <w:sz w:val="20"/>
          <w:szCs w:val="20"/>
          <w:color w:val="auto"/>
        </w:rPr>
      </w:pPr>
      <w:r>
        <w:rPr>
          <w:rFonts w:ascii="Times New Roman" w:cs="Times New Roman" w:eastAsia="Times New Roman" w:hAnsi="Times New Roman"/>
          <w:sz w:val="17"/>
          <w:szCs w:val="17"/>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Paying Agent to Hold Money in Trust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20" w:firstLine="930"/>
        <w:spacing w:after="0" w:line="252" w:lineRule="auto"/>
        <w:rPr>
          <w:sz w:val="20"/>
          <w:szCs w:val="20"/>
          <w:color w:val="auto"/>
        </w:rPr>
      </w:pPr>
      <w:r>
        <w:rPr>
          <w:rFonts w:ascii="Times New Roman" w:cs="Times New Roman" w:eastAsia="Times New Roman" w:hAnsi="Times New Roman"/>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5" w:name="page126"/>
    <w:bookmarkEnd w:id="125"/>
    <w:p>
      <w:pPr>
        <w:ind w:left="420"/>
        <w:spacing w:after="0"/>
        <w:rPr>
          <w:sz w:val="20"/>
          <w:szCs w:val="20"/>
          <w:color w:val="auto"/>
        </w:rPr>
      </w:pPr>
      <w:r>
        <w:rPr>
          <w:rFonts w:ascii="Times New Roman" w:cs="Times New Roman" w:eastAsia="Times New Roman" w:hAnsi="Times New Roman"/>
          <w:sz w:val="17"/>
          <w:szCs w:val="17"/>
          <w:color w:val="auto"/>
        </w:rPr>
        <w:t xml:space="preserve">Section 2.6. </w:t>
      </w:r>
      <w:r>
        <w:rPr>
          <w:rFonts w:ascii="Times New Roman" w:cs="Times New Roman" w:eastAsia="Times New Roman" w:hAnsi="Times New Roman"/>
          <w:sz w:val="17"/>
          <w:szCs w:val="17"/>
          <w:u w:val="single" w:color="auto"/>
          <w:color w:val="auto"/>
        </w:rPr>
        <w:t>Securityholder Lists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2.7.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4" w:lineRule="auto"/>
        <w:rPr>
          <w:sz w:val="20"/>
          <w:szCs w:val="20"/>
          <w:color w:val="auto"/>
        </w:rPr>
      </w:pPr>
      <w:r>
        <w:rPr>
          <w:rFonts w:ascii="Times New Roman" w:cs="Times New Roman" w:eastAsia="Times New Roman" w:hAnsi="Times New Roman"/>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7" w:lineRule="exact"/>
        <w:rPr>
          <w:sz w:val="20"/>
          <w:szCs w:val="20"/>
          <w:color w:val="auto"/>
        </w:rPr>
      </w:pPr>
    </w:p>
    <w:p>
      <w:pPr>
        <w:ind w:right="40" w:firstLine="930"/>
        <w:spacing w:after="0" w:line="258" w:lineRule="auto"/>
        <w:rPr>
          <w:sz w:val="20"/>
          <w:szCs w:val="20"/>
          <w:color w:val="auto"/>
        </w:rPr>
      </w:pPr>
      <w:r>
        <w:rPr>
          <w:rFonts w:ascii="Times New Roman" w:cs="Times New Roman" w:eastAsia="Times New Roman" w:hAnsi="Times New Roman"/>
          <w:sz w:val="17"/>
          <w:szCs w:val="17"/>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Mutilated, Destroyed, Lost and Stolen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20" w:firstLine="930"/>
        <w:spacing w:after="0" w:line="276" w:lineRule="auto"/>
        <w:rPr>
          <w:sz w:val="20"/>
          <w:szCs w:val="20"/>
          <w:color w:val="auto"/>
        </w:rPr>
      </w:pPr>
      <w:r>
        <w:rPr>
          <w:rFonts w:ascii="Times New Roman" w:cs="Times New Roman" w:eastAsia="Times New Roman" w:hAnsi="Times New Roman"/>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58" w:lineRule="exact"/>
        <w:rPr>
          <w:sz w:val="20"/>
          <w:szCs w:val="20"/>
          <w:color w:val="auto"/>
        </w:rPr>
      </w:pPr>
    </w:p>
    <w:p>
      <w:pPr>
        <w:ind w:right="20" w:firstLine="930"/>
        <w:spacing w:after="0" w:line="255" w:lineRule="auto"/>
        <w:rPr>
          <w:sz w:val="20"/>
          <w:szCs w:val="20"/>
          <w:color w:val="auto"/>
        </w:rPr>
      </w:pPr>
      <w:r>
        <w:rPr>
          <w:rFonts w:ascii="Times New Roman" w:cs="Times New Roman" w:eastAsia="Times New Roman" w:hAnsi="Times New Roman"/>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6" w:name="page127"/>
    <w:bookmarkEnd w:id="126"/>
    <w:p>
      <w:pPr>
        <w:ind w:right="300" w:firstLine="930"/>
        <w:spacing w:after="0" w:line="276" w:lineRule="auto"/>
        <w:rPr>
          <w:sz w:val="20"/>
          <w:szCs w:val="20"/>
          <w:color w:val="auto"/>
        </w:rPr>
      </w:pPr>
      <w:r>
        <w:rPr>
          <w:rFonts w:ascii="Times New Roman" w:cs="Times New Roman" w:eastAsia="Times New Roman" w:hAnsi="Times New Roman"/>
          <w:sz w:val="17"/>
          <w:szCs w:val="17"/>
          <w:color w:val="auto"/>
        </w:rPr>
        <w:t>In case any such mutilated, destroyed, lost or stolen Security has become or is about to become due and payable, the Company in its discretion may, instead of issuing a new Security, pay such Security.</w:t>
      </w:r>
    </w:p>
    <w:p>
      <w:pPr>
        <w:spacing w:after="0" w:line="158" w:lineRule="exact"/>
        <w:rPr>
          <w:sz w:val="20"/>
          <w:szCs w:val="20"/>
          <w:color w:val="auto"/>
        </w:rPr>
      </w:pPr>
    </w:p>
    <w:p>
      <w:pPr>
        <w:ind w:right="680" w:firstLine="930"/>
        <w:spacing w:after="0" w:line="309" w:lineRule="auto"/>
        <w:rPr>
          <w:sz w:val="20"/>
          <w:szCs w:val="20"/>
          <w:color w:val="auto"/>
        </w:rPr>
      </w:pPr>
      <w:r>
        <w:rPr>
          <w:rFonts w:ascii="Times New Roman" w:cs="Times New Roman" w:eastAsia="Times New Roman" w:hAnsi="Times New Roman"/>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4" w:lineRule="exact"/>
        <w:rPr>
          <w:sz w:val="20"/>
          <w:szCs w:val="20"/>
          <w:color w:val="auto"/>
        </w:rPr>
      </w:pPr>
    </w:p>
    <w:p>
      <w:pPr>
        <w:ind w:right="60" w:firstLine="930"/>
        <w:spacing w:after="0" w:line="262" w:lineRule="auto"/>
        <w:rPr>
          <w:sz w:val="20"/>
          <w:szCs w:val="20"/>
          <w:color w:val="auto"/>
        </w:rPr>
      </w:pPr>
      <w:r>
        <w:rPr>
          <w:rFonts w:ascii="Times New Roman" w:cs="Times New Roman" w:eastAsia="Times New Roman" w:hAnsi="Times New Roman"/>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0" w:lineRule="exact"/>
        <w:rPr>
          <w:sz w:val="20"/>
          <w:szCs w:val="20"/>
          <w:color w:val="auto"/>
        </w:rPr>
      </w:pPr>
    </w:p>
    <w:p>
      <w:pPr>
        <w:ind w:right="300" w:firstLine="930"/>
        <w:spacing w:after="0" w:line="276" w:lineRule="auto"/>
        <w:rPr>
          <w:sz w:val="20"/>
          <w:szCs w:val="20"/>
          <w:color w:val="auto"/>
        </w:rPr>
      </w:pPr>
      <w:r>
        <w:rPr>
          <w:rFonts w:ascii="Times New Roman" w:cs="Times New Roman" w:eastAsia="Times New Roman" w:hAnsi="Times New Roman"/>
          <w:sz w:val="17"/>
          <w:szCs w:val="17"/>
          <w:color w:val="auto"/>
        </w:rPr>
        <w:t>The provisions of this Section are exclusive and shall preclude (to the extent lawful) all other rights and remedies with respect to the replacement or payment of mutilated, destroyed, lost or stolen Securities.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Outstanding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80" w:firstLine="930"/>
        <w:spacing w:after="0" w:line="262" w:lineRule="auto"/>
        <w:rPr>
          <w:sz w:val="20"/>
          <w:szCs w:val="20"/>
          <w:color w:val="auto"/>
        </w:rPr>
      </w:pPr>
      <w:r>
        <w:rPr>
          <w:rFonts w:ascii="Times New Roman" w:cs="Times New Roman" w:eastAsia="Times New Roman" w:hAnsi="Times New Roman"/>
          <w:sz w:val="17"/>
          <w:szCs w:val="17"/>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70" w:lineRule="exact"/>
        <w:rPr>
          <w:sz w:val="20"/>
          <w:szCs w:val="20"/>
          <w:color w:val="auto"/>
        </w:rPr>
      </w:pPr>
    </w:p>
    <w:p>
      <w:pPr>
        <w:ind w:right="40" w:firstLine="930"/>
        <w:spacing w:after="0" w:line="276" w:lineRule="auto"/>
        <w:rPr>
          <w:sz w:val="20"/>
          <w:szCs w:val="20"/>
          <w:color w:val="auto"/>
        </w:rPr>
      </w:pPr>
      <w:r>
        <w:rPr>
          <w:rFonts w:ascii="Times New Roman" w:cs="Times New Roman" w:eastAsia="Times New Roman" w:hAnsi="Times New Roman"/>
          <w:sz w:val="17"/>
          <w:szCs w:val="17"/>
          <w:color w:val="auto"/>
        </w:rPr>
        <w:t>If a Security is replaced pursuant to Section 2.8, it ceases to be outstanding until the Trustee receives proof satisfactory to it that the replaced Security is held by a bona fide purchaser.</w:t>
      </w:r>
    </w:p>
    <w:p>
      <w:pPr>
        <w:spacing w:after="0" w:line="158" w:lineRule="exact"/>
        <w:rPr>
          <w:sz w:val="20"/>
          <w:szCs w:val="20"/>
          <w:color w:val="auto"/>
        </w:rPr>
      </w:pPr>
    </w:p>
    <w:p>
      <w:pPr>
        <w:jc w:val="both"/>
        <w:ind w:right="280" w:firstLine="930"/>
        <w:spacing w:after="0" w:line="262" w:lineRule="auto"/>
        <w:rPr>
          <w:sz w:val="20"/>
          <w:szCs w:val="20"/>
          <w:color w:val="auto"/>
        </w:rPr>
      </w:pPr>
      <w:r>
        <w:rPr>
          <w:rFonts w:ascii="Times New Roman" w:cs="Times New Roman" w:eastAsia="Times New Roman" w:hAnsi="Times New Roman"/>
          <w:sz w:val="17"/>
          <w:szCs w:val="17"/>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70" w:lineRule="exact"/>
        <w:rPr>
          <w:sz w:val="20"/>
          <w:szCs w:val="20"/>
          <w:color w:val="auto"/>
        </w:rPr>
      </w:pPr>
    </w:p>
    <w:p>
      <w:pPr>
        <w:ind w:right="220" w:firstLine="930"/>
        <w:spacing w:after="0" w:line="276" w:lineRule="auto"/>
        <w:rPr>
          <w:sz w:val="20"/>
          <w:szCs w:val="20"/>
          <w:color w:val="auto"/>
        </w:rPr>
      </w:pPr>
      <w:r>
        <w:rPr>
          <w:rFonts w:ascii="Times New Roman" w:cs="Times New Roman" w:eastAsia="Times New Roman" w:hAnsi="Times New Roman"/>
          <w:sz w:val="17"/>
          <w:szCs w:val="17"/>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58" w:lineRule="exact"/>
        <w:rPr>
          <w:sz w:val="20"/>
          <w:szCs w:val="20"/>
          <w:color w:val="auto"/>
        </w:rPr>
      </w:pPr>
    </w:p>
    <w:p>
      <w:pPr>
        <w:ind w:firstLine="930"/>
        <w:spacing w:after="0" w:line="286" w:lineRule="auto"/>
        <w:rPr>
          <w:sz w:val="20"/>
          <w:szCs w:val="20"/>
          <w:color w:val="auto"/>
        </w:rPr>
      </w:pPr>
      <w:r>
        <w:rPr>
          <w:rFonts w:ascii="Times New Roman" w:cs="Times New Roman" w:eastAsia="Times New Roman" w:hAnsi="Times New Roman"/>
          <w:sz w:val="16"/>
          <w:szCs w:val="16"/>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7" w:name="page128"/>
    <w:bookmarkEnd w:id="127"/>
    <w:p>
      <w:pPr>
        <w:ind w:left="420"/>
        <w:spacing w:after="0"/>
        <w:rPr>
          <w:sz w:val="20"/>
          <w:szCs w:val="20"/>
          <w:color w:val="auto"/>
        </w:rPr>
      </w:pPr>
      <w:r>
        <w:rPr>
          <w:rFonts w:ascii="Times New Roman" w:cs="Times New Roman" w:eastAsia="Times New Roman" w:hAnsi="Times New Roman"/>
          <w:sz w:val="17"/>
          <w:szCs w:val="17"/>
          <w:color w:val="auto"/>
        </w:rPr>
        <w:t xml:space="preserve">Section 2.10. </w:t>
      </w:r>
      <w:r>
        <w:rPr>
          <w:rFonts w:ascii="Times New Roman" w:cs="Times New Roman" w:eastAsia="Times New Roman" w:hAnsi="Times New Roman"/>
          <w:sz w:val="17"/>
          <w:szCs w:val="17"/>
          <w:u w:val="single" w:color="auto"/>
          <w:color w:val="auto"/>
        </w:rPr>
        <w:t>Treasury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40" w:firstLine="930"/>
        <w:spacing w:after="0" w:line="258" w:lineRule="auto"/>
        <w:rPr>
          <w:sz w:val="20"/>
          <w:szCs w:val="20"/>
          <w:color w:val="auto"/>
        </w:rPr>
      </w:pPr>
      <w:r>
        <w:rPr>
          <w:rFonts w:ascii="Times New Roman" w:cs="Times New Roman" w:eastAsia="Times New Roman" w:hAnsi="Times New Roman"/>
          <w:sz w:val="17"/>
          <w:szCs w:val="17"/>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2.11. </w:t>
      </w:r>
      <w:r>
        <w:rPr>
          <w:rFonts w:ascii="Times New Roman" w:cs="Times New Roman" w:eastAsia="Times New Roman" w:hAnsi="Times New Roman"/>
          <w:sz w:val="17"/>
          <w:szCs w:val="17"/>
          <w:u w:val="single" w:color="auto"/>
          <w:color w:val="auto"/>
        </w:rPr>
        <w:t>Temporary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0" w:firstLine="930"/>
        <w:spacing w:after="0" w:line="255" w:lineRule="auto"/>
        <w:rPr>
          <w:sz w:val="20"/>
          <w:szCs w:val="20"/>
          <w:color w:val="auto"/>
        </w:rPr>
      </w:pPr>
      <w:r>
        <w:rPr>
          <w:rFonts w:ascii="Times New Roman" w:cs="Times New Roman" w:eastAsia="Times New Roman" w:hAnsi="Times New Roman"/>
          <w:sz w:val="17"/>
          <w:szCs w:val="17"/>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2.12. </w:t>
      </w:r>
      <w:r>
        <w:rPr>
          <w:rFonts w:ascii="Times New Roman" w:cs="Times New Roman" w:eastAsia="Times New Roman" w:hAnsi="Times New Roman"/>
          <w:sz w:val="17"/>
          <w:szCs w:val="17"/>
          <w:u w:val="single" w:color="auto"/>
          <w:color w:val="auto"/>
        </w:rPr>
        <w:t>Cancellation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5" w:lineRule="auto"/>
        <w:rPr>
          <w:sz w:val="20"/>
          <w:szCs w:val="20"/>
          <w:color w:val="auto"/>
        </w:rPr>
      </w:pPr>
      <w:r>
        <w:rPr>
          <w:rFonts w:ascii="Times New Roman" w:cs="Times New Roman" w:eastAsia="Times New Roman" w:hAnsi="Times New Roman"/>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2.13. </w:t>
      </w:r>
      <w:r>
        <w:rPr>
          <w:rFonts w:ascii="Times New Roman" w:cs="Times New Roman" w:eastAsia="Times New Roman" w:hAnsi="Times New Roman"/>
          <w:sz w:val="17"/>
          <w:szCs w:val="17"/>
          <w:u w:val="single" w:color="auto"/>
          <w:color w:val="auto"/>
        </w:rPr>
        <w:t>Defaulted Interest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20" w:firstLine="930"/>
        <w:spacing w:after="0" w:line="279" w:lineRule="auto"/>
        <w:rPr>
          <w:sz w:val="20"/>
          <w:szCs w:val="20"/>
          <w:color w:val="auto"/>
        </w:rPr>
      </w:pPr>
      <w:r>
        <w:rPr>
          <w:rFonts w:ascii="Times New Roman" w:cs="Times New Roman" w:eastAsia="Times New Roman" w:hAnsi="Times New Roman"/>
          <w:sz w:val="16"/>
          <w:szCs w:val="16"/>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28" w:name="page129"/>
    <w:bookmarkEnd w:id="128"/>
    <w:p>
      <w:pPr>
        <w:ind w:left="420"/>
        <w:spacing w:after="0"/>
        <w:rPr>
          <w:sz w:val="20"/>
          <w:szCs w:val="20"/>
          <w:color w:val="auto"/>
        </w:rPr>
      </w:pPr>
      <w:r>
        <w:rPr>
          <w:rFonts w:ascii="Times New Roman" w:cs="Times New Roman" w:eastAsia="Times New Roman" w:hAnsi="Times New Roman"/>
          <w:sz w:val="17"/>
          <w:szCs w:val="17"/>
          <w:color w:val="auto"/>
        </w:rPr>
        <w:t xml:space="preserve">Section 2.14. </w:t>
      </w:r>
      <w:r>
        <w:rPr>
          <w:rFonts w:ascii="Times New Roman" w:cs="Times New Roman" w:eastAsia="Times New Roman" w:hAnsi="Times New Roman"/>
          <w:sz w:val="17"/>
          <w:szCs w:val="17"/>
          <w:u w:val="single" w:color="auto"/>
          <w:color w:val="auto"/>
        </w:rPr>
        <w:t>Global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40" w:firstLine="930"/>
        <w:spacing w:after="0" w:line="276" w:lineRule="auto"/>
        <w:rPr>
          <w:sz w:val="20"/>
          <w:szCs w:val="20"/>
          <w:color w:val="auto"/>
        </w:rPr>
      </w:pPr>
      <w:r>
        <w:rPr>
          <w:rFonts w:ascii="Times New Roman" w:cs="Times New Roman" w:eastAsia="Times New Roman" w:hAnsi="Times New Roman"/>
          <w:sz w:val="17"/>
          <w:szCs w:val="17"/>
          <w:color w:val="auto"/>
        </w:rPr>
        <w:t xml:space="preserve">2.14.1. </w:t>
      </w:r>
      <w:r>
        <w:rPr>
          <w:rFonts w:ascii="Times New Roman" w:cs="Times New Roman" w:eastAsia="Times New Roman" w:hAnsi="Times New Roman"/>
          <w:sz w:val="17"/>
          <w:szCs w:val="17"/>
          <w:u w:val="single" w:color="auto"/>
          <w:color w:val="auto"/>
        </w:rPr>
        <w:t>Terms of Securities</w:t>
      </w:r>
      <w:r>
        <w:rPr>
          <w:rFonts w:ascii="Times New Roman" w:cs="Times New Roman" w:eastAsia="Times New Roman" w:hAnsi="Times New Roman"/>
          <w:sz w:val="17"/>
          <w:szCs w:val="17"/>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58" w:lineRule="exact"/>
        <w:rPr>
          <w:sz w:val="20"/>
          <w:szCs w:val="20"/>
          <w:color w:val="auto"/>
        </w:rPr>
      </w:pPr>
    </w:p>
    <w:p>
      <w:pPr>
        <w:ind w:right="40" w:firstLine="930"/>
        <w:spacing w:after="0" w:line="252" w:lineRule="auto"/>
        <w:rPr>
          <w:sz w:val="20"/>
          <w:szCs w:val="20"/>
          <w:color w:val="auto"/>
        </w:rPr>
      </w:pPr>
      <w:r>
        <w:rPr>
          <w:rFonts w:ascii="Times New Roman" w:cs="Times New Roman" w:eastAsia="Times New Roman" w:hAnsi="Times New Roman"/>
          <w:sz w:val="17"/>
          <w:szCs w:val="17"/>
          <w:color w:val="auto"/>
        </w:rPr>
        <w:t xml:space="preserve">2.14.2. </w:t>
      </w:r>
      <w:r>
        <w:rPr>
          <w:rFonts w:ascii="Times New Roman" w:cs="Times New Roman" w:eastAsia="Times New Roman" w:hAnsi="Times New Roman"/>
          <w:sz w:val="17"/>
          <w:szCs w:val="17"/>
          <w:u w:val="single" w:color="auto"/>
          <w:color w:val="auto"/>
        </w:rPr>
        <w:t>Transfer and Exchange</w:t>
      </w:r>
      <w:r>
        <w:rPr>
          <w:rFonts w:ascii="Times New Roman" w:cs="Times New Roman" w:eastAsia="Times New Roman" w:hAnsi="Times New Roman"/>
          <w:sz w:val="17"/>
          <w:szCs w:val="17"/>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82" w:lineRule="exact"/>
        <w:rPr>
          <w:sz w:val="20"/>
          <w:szCs w:val="20"/>
          <w:color w:val="auto"/>
        </w:rPr>
      </w:pPr>
    </w:p>
    <w:p>
      <w:pPr>
        <w:jc w:val="both"/>
        <w:ind w:right="220" w:firstLine="930"/>
        <w:spacing w:after="0" w:line="262" w:lineRule="auto"/>
        <w:rPr>
          <w:sz w:val="20"/>
          <w:szCs w:val="20"/>
          <w:color w:val="auto"/>
        </w:rPr>
      </w:pPr>
      <w:r>
        <w:rPr>
          <w:rFonts w:ascii="Times New Roman" w:cs="Times New Roman" w:eastAsia="Times New Roman" w:hAnsi="Times New Roman"/>
          <w:sz w:val="17"/>
          <w:szCs w:val="17"/>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 xml:space="preserve">2.14.3. </w:t>
      </w: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Any Global Security issued hereunder shall bear a legend in substantially the following form:</w:t>
      </w:r>
    </w:p>
    <w:p>
      <w:pPr>
        <w:spacing w:after="0" w:line="210" w:lineRule="exact"/>
        <w:rPr>
          <w:sz w:val="20"/>
          <w:szCs w:val="20"/>
          <w:color w:val="auto"/>
        </w:rPr>
      </w:pPr>
    </w:p>
    <w:p>
      <w:pPr>
        <w:ind w:right="80" w:firstLine="930"/>
        <w:spacing w:after="0" w:line="254" w:lineRule="auto"/>
        <w:rPr>
          <w:sz w:val="20"/>
          <w:szCs w:val="20"/>
          <w:color w:val="auto"/>
        </w:rPr>
      </w:pPr>
      <w:r>
        <w:rPr>
          <w:rFonts w:ascii="Times New Roman" w:cs="Times New Roman" w:eastAsia="Times New Roman" w:hAnsi="Times New Roman"/>
          <w:sz w:val="17"/>
          <w:szCs w:val="17"/>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77" w:lineRule="exact"/>
        <w:rPr>
          <w:sz w:val="20"/>
          <w:szCs w:val="20"/>
          <w:color w:val="auto"/>
        </w:rPr>
      </w:pPr>
    </w:p>
    <w:p>
      <w:pPr>
        <w:ind w:right="80" w:firstLine="930"/>
        <w:spacing w:after="0" w:line="276" w:lineRule="auto"/>
        <w:rPr>
          <w:sz w:val="20"/>
          <w:szCs w:val="20"/>
          <w:color w:val="auto"/>
        </w:rPr>
      </w:pPr>
      <w:r>
        <w:rPr>
          <w:rFonts w:ascii="Times New Roman" w:cs="Times New Roman" w:eastAsia="Times New Roman" w:hAnsi="Times New Roman"/>
          <w:sz w:val="17"/>
          <w:szCs w:val="17"/>
          <w:color w:val="auto"/>
        </w:rPr>
        <w:t>In addition, so long as the Depository Trust Company (“DTC”) is the Depositary, each Global Note registered in the name of DTC or its nominee shall bear a legend in substantially the following form:</w:t>
      </w:r>
    </w:p>
    <w:p>
      <w:pPr>
        <w:spacing w:after="0" w:line="158" w:lineRule="exact"/>
        <w:rPr>
          <w:sz w:val="20"/>
          <w:szCs w:val="20"/>
          <w:color w:val="auto"/>
        </w:rPr>
      </w:pPr>
    </w:p>
    <w:p>
      <w:pPr>
        <w:ind w:firstLine="930"/>
        <w:spacing w:after="0" w:line="254" w:lineRule="auto"/>
        <w:rPr>
          <w:sz w:val="20"/>
          <w:szCs w:val="20"/>
          <w:color w:val="auto"/>
        </w:rPr>
      </w:pPr>
      <w:r>
        <w:rPr>
          <w:rFonts w:ascii="Times New Roman" w:cs="Times New Roman" w:eastAsia="Times New Roman" w:hAnsi="Times New Roman"/>
          <w:sz w:val="17"/>
          <w:szCs w:val="17"/>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29" w:name="page130"/>
    <w:bookmarkEnd w:id="129"/>
    <w:p>
      <w:pPr>
        <w:ind w:right="380" w:firstLine="930"/>
        <w:spacing w:after="0" w:line="276" w:lineRule="auto"/>
        <w:rPr>
          <w:sz w:val="20"/>
          <w:szCs w:val="20"/>
          <w:color w:val="auto"/>
        </w:rPr>
      </w:pPr>
      <w:r>
        <w:rPr>
          <w:rFonts w:ascii="Times New Roman" w:cs="Times New Roman" w:eastAsia="Times New Roman" w:hAnsi="Times New Roman"/>
          <w:sz w:val="17"/>
          <w:szCs w:val="17"/>
          <w:color w:val="auto"/>
        </w:rPr>
        <w:t xml:space="preserve">2.14.4. </w:t>
      </w:r>
      <w:r>
        <w:rPr>
          <w:rFonts w:ascii="Times New Roman" w:cs="Times New Roman" w:eastAsia="Times New Roman" w:hAnsi="Times New Roman"/>
          <w:sz w:val="17"/>
          <w:szCs w:val="17"/>
          <w:u w:val="single" w:color="auto"/>
          <w:color w:val="auto"/>
        </w:rPr>
        <w:t>Acts of Holders</w:t>
      </w:r>
      <w:r>
        <w:rPr>
          <w:rFonts w:ascii="Times New Roman" w:cs="Times New Roman" w:eastAsia="Times New Roman" w:hAnsi="Times New Roman"/>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58" w:lineRule="exact"/>
        <w:rPr>
          <w:sz w:val="20"/>
          <w:szCs w:val="20"/>
          <w:color w:val="auto"/>
        </w:rPr>
      </w:pPr>
    </w:p>
    <w:p>
      <w:pPr>
        <w:ind w:right="280" w:firstLine="930"/>
        <w:spacing w:after="0" w:line="276" w:lineRule="auto"/>
        <w:rPr>
          <w:sz w:val="20"/>
          <w:szCs w:val="20"/>
          <w:color w:val="auto"/>
        </w:rPr>
      </w:pPr>
      <w:r>
        <w:rPr>
          <w:rFonts w:ascii="Times New Roman" w:cs="Times New Roman" w:eastAsia="Times New Roman" w:hAnsi="Times New Roman"/>
          <w:sz w:val="17"/>
          <w:szCs w:val="17"/>
          <w:color w:val="auto"/>
        </w:rPr>
        <w:t xml:space="preserve">2.14.5. </w:t>
      </w:r>
      <w:r>
        <w:rPr>
          <w:rFonts w:ascii="Times New Roman" w:cs="Times New Roman" w:eastAsia="Times New Roman" w:hAnsi="Times New Roman"/>
          <w:sz w:val="17"/>
          <w:szCs w:val="17"/>
          <w:u w:val="single" w:color="auto"/>
          <w:color w:val="auto"/>
        </w:rPr>
        <w:t>Payments</w:t>
      </w:r>
      <w:r>
        <w:rPr>
          <w:rFonts w:ascii="Times New Roman" w:cs="Times New Roman" w:eastAsia="Times New Roman" w:hAnsi="Times New Roman"/>
          <w:sz w:val="17"/>
          <w:szCs w:val="17"/>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58" w:lineRule="exact"/>
        <w:rPr>
          <w:sz w:val="20"/>
          <w:szCs w:val="20"/>
          <w:color w:val="auto"/>
        </w:rPr>
      </w:pPr>
    </w:p>
    <w:p>
      <w:pPr>
        <w:ind w:right="20" w:firstLine="930"/>
        <w:spacing w:after="0" w:line="258" w:lineRule="auto"/>
        <w:rPr>
          <w:sz w:val="20"/>
          <w:szCs w:val="20"/>
          <w:color w:val="auto"/>
        </w:rPr>
      </w:pPr>
      <w:r>
        <w:rPr>
          <w:rFonts w:ascii="Times New Roman" w:cs="Times New Roman" w:eastAsia="Times New Roman" w:hAnsi="Times New Roman"/>
          <w:sz w:val="17"/>
          <w:szCs w:val="17"/>
          <w:color w:val="auto"/>
        </w:rPr>
        <w:t xml:space="preserve">2.14.6. </w:t>
      </w:r>
      <w:r>
        <w:rPr>
          <w:rFonts w:ascii="Times New Roman" w:cs="Times New Roman" w:eastAsia="Times New Roman" w:hAnsi="Times New Roman"/>
          <w:sz w:val="17"/>
          <w:szCs w:val="17"/>
          <w:u w:val="single" w:color="auto"/>
          <w:color w:val="auto"/>
        </w:rPr>
        <w:t>Consents, Declaration and Directions</w:t>
      </w:r>
      <w:r>
        <w:rPr>
          <w:rFonts w:ascii="Times New Roman" w:cs="Times New Roman" w:eastAsia="Times New Roman" w:hAnsi="Times New Roman"/>
          <w:sz w:val="17"/>
          <w:szCs w:val="17"/>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2.15. </w:t>
      </w:r>
      <w:r>
        <w:rPr>
          <w:rFonts w:ascii="Times New Roman" w:cs="Times New Roman" w:eastAsia="Times New Roman" w:hAnsi="Times New Roman"/>
          <w:sz w:val="17"/>
          <w:szCs w:val="17"/>
          <w:u w:val="single" w:color="auto"/>
          <w:color w:val="auto"/>
        </w:rPr>
        <w:t>CUSIP Numbers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REDEMPTION</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Notice to Trustee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80" w:firstLine="930"/>
        <w:spacing w:after="0" w:line="255" w:lineRule="auto"/>
        <w:rPr>
          <w:sz w:val="20"/>
          <w:szCs w:val="20"/>
          <w:color w:val="auto"/>
        </w:rPr>
      </w:pPr>
      <w:r>
        <w:rPr>
          <w:rFonts w:ascii="Times New Roman" w:cs="Times New Roman" w:eastAsia="Times New Roman" w:hAnsi="Times New Roman"/>
          <w:sz w:val="17"/>
          <w:szCs w:val="17"/>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0" w:name="page131"/>
    <w:bookmarkEnd w:id="130"/>
    <w:p>
      <w:pPr>
        <w:ind w:left="420"/>
        <w:spacing w:after="0"/>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Selection of Securities to be Redeemed</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1" w:lineRule="auto"/>
        <w:rPr>
          <w:sz w:val="20"/>
          <w:szCs w:val="20"/>
          <w:color w:val="auto"/>
        </w:rPr>
      </w:pPr>
      <w:r>
        <w:rPr>
          <w:rFonts w:ascii="Times New Roman" w:cs="Times New Roman" w:eastAsia="Times New Roman" w:hAnsi="Times New Roman"/>
          <w:sz w:val="17"/>
          <w:szCs w:val="17"/>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Notice of Redemption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right="40" w:firstLine="930"/>
        <w:spacing w:after="0" w:line="262" w:lineRule="auto"/>
        <w:rPr>
          <w:sz w:val="20"/>
          <w:szCs w:val="20"/>
          <w:color w:val="auto"/>
        </w:rPr>
      </w:pPr>
      <w:r>
        <w:rPr>
          <w:rFonts w:ascii="Times New Roman" w:cs="Times New Roman" w:eastAsia="Times New Roman" w:hAnsi="Times New Roman"/>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notice shall identify the Securities of the Series to be redeemed and shall state:</w:t>
      </w:r>
    </w:p>
    <w:p>
      <w:pPr>
        <w:spacing w:after="0" w:line="210" w:lineRule="exact"/>
        <w:rPr>
          <w:sz w:val="20"/>
          <w:szCs w:val="20"/>
          <w:color w:val="auto"/>
        </w:rPr>
      </w:pPr>
    </w:p>
    <w:p>
      <w:pPr>
        <w:ind w:left="640" w:hanging="225"/>
        <w:spacing w:after="0"/>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w:t>
      </w:r>
    </w:p>
    <w:p>
      <w:pPr>
        <w:spacing w:after="0" w:line="209"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Paying Agent;</w:t>
      </w:r>
    </w:p>
    <w:p>
      <w:pPr>
        <w:spacing w:after="0" w:line="209" w:lineRule="exact"/>
        <w:rPr>
          <w:rFonts w:ascii="Times New Roman" w:cs="Times New Roman" w:eastAsia="Times New Roman" w:hAnsi="Times New Roman"/>
          <w:sz w:val="17"/>
          <w:szCs w:val="17"/>
          <w:color w:val="auto"/>
        </w:rPr>
      </w:pPr>
    </w:p>
    <w:p>
      <w:pPr>
        <w:ind w:right="40" w:firstLine="415"/>
        <w:spacing w:after="0" w:line="262" w:lineRule="auto"/>
        <w:tabs>
          <w:tab w:leader="none" w:pos="652"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70"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Securities of the Series called for redemption must be surrendered to the Paying Agent to collect the redemption price;</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1" w:name="page132"/>
    <w:bookmarkEnd w:id="131"/>
    <w:p>
      <w:pPr>
        <w:ind w:right="40" w:firstLine="415"/>
        <w:spacing w:after="0" w:line="276" w:lineRule="auto"/>
        <w:tabs>
          <w:tab w:leader="none" w:pos="624"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interest on Securities of the Series called for redemption ceases to accrue on and after the redemption date unless the Company defaults in the deposit of the redemption price;</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CUSIP number, if any; and</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information as may be required by the terms of the particular Series or the Securities of a Series being redeemed.</w:t>
      </w:r>
    </w:p>
    <w:p>
      <w:pPr>
        <w:spacing w:after="0" w:line="210" w:lineRule="exact"/>
        <w:rPr>
          <w:sz w:val="20"/>
          <w:szCs w:val="20"/>
          <w:color w:val="auto"/>
        </w:rPr>
      </w:pPr>
    </w:p>
    <w:p>
      <w:pPr>
        <w:jc w:val="both"/>
        <w:ind w:right="520" w:firstLine="930"/>
        <w:spacing w:after="0" w:line="262" w:lineRule="auto"/>
        <w:rPr>
          <w:sz w:val="20"/>
          <w:szCs w:val="20"/>
          <w:color w:val="auto"/>
        </w:rPr>
      </w:pPr>
      <w:r>
        <w:rPr>
          <w:rFonts w:ascii="Times New Roman" w:cs="Times New Roman" w:eastAsia="Times New Roman" w:hAnsi="Times New Roman"/>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Effect of Notice of Redemption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80" w:firstLine="930"/>
        <w:spacing w:after="0" w:line="258" w:lineRule="auto"/>
        <w:rPr>
          <w:sz w:val="20"/>
          <w:szCs w:val="20"/>
          <w:color w:val="auto"/>
        </w:rPr>
      </w:pPr>
      <w:r>
        <w:rPr>
          <w:rFonts w:ascii="Times New Roman" w:cs="Times New Roman" w:eastAsia="Times New Roman" w:hAnsi="Times New Roman"/>
          <w:sz w:val="17"/>
          <w:szCs w:val="17"/>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Deposit of Redemption Price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80" w:firstLine="930"/>
        <w:spacing w:after="0" w:line="276" w:lineRule="auto"/>
        <w:rPr>
          <w:sz w:val="20"/>
          <w:szCs w:val="20"/>
          <w:color w:val="auto"/>
        </w:rPr>
      </w:pPr>
      <w:r>
        <w:rPr>
          <w:rFonts w:ascii="Times New Roman" w:cs="Times New Roman" w:eastAsia="Times New Roman" w:hAnsi="Times New Roman"/>
          <w:sz w:val="17"/>
          <w:szCs w:val="17"/>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Securities Redeemed in Part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20" w:firstLine="930"/>
        <w:spacing w:after="0" w:line="276" w:lineRule="auto"/>
        <w:rPr>
          <w:sz w:val="20"/>
          <w:szCs w:val="20"/>
          <w:color w:val="auto"/>
        </w:rPr>
      </w:pPr>
      <w:r>
        <w:rPr>
          <w:rFonts w:ascii="Times New Roman" w:cs="Times New Roman" w:eastAsia="Times New Roman" w:hAnsi="Times New Roman"/>
          <w:sz w:val="17"/>
          <w:szCs w:val="17"/>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ARTICLE IV.</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color w:val="auto"/>
        </w:rPr>
        <w:t>COVENANTS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u w:val="single" w:color="auto"/>
          <w:color w:val="auto"/>
        </w:rPr>
        <w:t>Payment of Principal and Interest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2" w:name="page133"/>
    <w:bookmarkEnd w:id="132"/>
    <w:p>
      <w:pPr>
        <w:ind w:left="420"/>
        <w:spacing w:after="0"/>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u w:val="single" w:color="auto"/>
          <w:color w:val="auto"/>
        </w:rPr>
        <w:t>SEC Reports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0" w:firstLine="930"/>
        <w:spacing w:after="0" w:line="255" w:lineRule="auto"/>
        <w:rPr>
          <w:sz w:val="20"/>
          <w:szCs w:val="20"/>
          <w:color w:val="auto"/>
        </w:rPr>
      </w:pPr>
      <w:r>
        <w:rPr>
          <w:rFonts w:ascii="Times New Roman" w:cs="Times New Roman" w:eastAsia="Times New Roman" w:hAnsi="Times New Roman"/>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7" w:lineRule="exact"/>
        <w:rPr>
          <w:sz w:val="20"/>
          <w:szCs w:val="20"/>
          <w:color w:val="auto"/>
        </w:rPr>
      </w:pPr>
    </w:p>
    <w:p>
      <w:pPr>
        <w:ind w:right="40" w:firstLine="930"/>
        <w:spacing w:after="0" w:line="262" w:lineRule="auto"/>
        <w:rPr>
          <w:sz w:val="20"/>
          <w:szCs w:val="20"/>
          <w:color w:val="auto"/>
        </w:rPr>
      </w:pPr>
      <w:r>
        <w:rPr>
          <w:rFonts w:ascii="Times New Roman" w:cs="Times New Roman" w:eastAsia="Times New Roman" w:hAnsi="Times New Roman"/>
          <w:sz w:val="17"/>
          <w:szCs w:val="17"/>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u w:val="single" w:color="auto"/>
          <w:color w:val="auto"/>
        </w:rPr>
        <w:t>Compliance Certificate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4" w:lineRule="auto"/>
        <w:rPr>
          <w:sz w:val="20"/>
          <w:szCs w:val="20"/>
          <w:color w:val="auto"/>
        </w:rPr>
      </w:pPr>
      <w:r>
        <w:rPr>
          <w:rFonts w:ascii="Times New Roman" w:cs="Times New Roman" w:eastAsia="Times New Roman" w:hAnsi="Times New Roman"/>
          <w:sz w:val="17"/>
          <w:szCs w:val="17"/>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u w:val="single" w:color="auto"/>
          <w:color w:val="auto"/>
        </w:rPr>
        <w:t>Stay, Extension and Usury Laws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80" w:firstLine="930"/>
        <w:spacing w:after="0" w:line="255" w:lineRule="auto"/>
        <w:rPr>
          <w:sz w:val="20"/>
          <w:szCs w:val="20"/>
          <w:color w:val="auto"/>
        </w:rPr>
      </w:pPr>
      <w:r>
        <w:rPr>
          <w:rFonts w:ascii="Times New Roman" w:cs="Times New Roman" w:eastAsia="Times New Roman" w:hAnsi="Times New Roman"/>
          <w:sz w:val="17"/>
          <w:szCs w:val="17"/>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3" w:name="page134"/>
    <w:bookmarkEnd w:id="133"/>
    <w:p>
      <w:pPr>
        <w:jc w:val="center"/>
        <w:ind w:right="-39"/>
        <w:spacing w:after="0"/>
        <w:rPr>
          <w:sz w:val="20"/>
          <w:szCs w:val="20"/>
          <w:color w:val="auto"/>
        </w:rPr>
      </w:pPr>
      <w:r>
        <w:rPr>
          <w:rFonts w:ascii="Times New Roman" w:cs="Times New Roman" w:eastAsia="Times New Roman" w:hAnsi="Times New Roman"/>
          <w:sz w:val="17"/>
          <w:szCs w:val="17"/>
          <w:color w:val="auto"/>
        </w:rPr>
        <w:t>ARTICLE V.</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SUCCESSORS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When Company May Merge, Etc</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340" w:firstLine="930"/>
        <w:spacing w:after="0" w:line="276" w:lineRule="auto"/>
        <w:rPr>
          <w:sz w:val="20"/>
          <w:szCs w:val="20"/>
          <w:color w:val="auto"/>
        </w:rPr>
      </w:pPr>
      <w:r>
        <w:rPr>
          <w:rFonts w:ascii="Times New Roman" w:cs="Times New Roman" w:eastAsia="Times New Roman" w:hAnsi="Times New Roman"/>
          <w:sz w:val="17"/>
          <w:szCs w:val="17"/>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7"/>
          <w:szCs w:val="17"/>
          <w:i w:val="1"/>
          <w:iCs w:val="1"/>
          <w:color w:val="auto"/>
        </w:rPr>
        <w:t>successor person</w:t>
      </w:r>
      <w:r>
        <w:rPr>
          <w:rFonts w:ascii="Times New Roman" w:cs="Times New Roman" w:eastAsia="Times New Roman" w:hAnsi="Times New Roman"/>
          <w:sz w:val="17"/>
          <w:szCs w:val="17"/>
          <w:color w:val="auto"/>
        </w:rPr>
        <w:t>”) unless:</w:t>
      </w:r>
    </w:p>
    <w:p>
      <w:pPr>
        <w:spacing w:after="0" w:line="158" w:lineRule="exact"/>
        <w:rPr>
          <w:sz w:val="20"/>
          <w:szCs w:val="20"/>
          <w:color w:val="auto"/>
        </w:rPr>
      </w:pPr>
    </w:p>
    <w:p>
      <w:pPr>
        <w:ind w:right="20" w:firstLine="415"/>
        <w:spacing w:after="0" w:line="276" w:lineRule="auto"/>
        <w:tabs>
          <w:tab w:leader="none" w:pos="643"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w:t>
      </w:r>
    </w:p>
    <w:p>
      <w:pPr>
        <w:spacing w:after="0" w:line="210" w:lineRule="exact"/>
        <w:rPr>
          <w:sz w:val="20"/>
          <w:szCs w:val="20"/>
          <w:color w:val="auto"/>
        </w:rPr>
      </w:pPr>
    </w:p>
    <w:p>
      <w:pPr>
        <w:ind w:right="140" w:firstLine="930"/>
        <w:spacing w:after="0" w:line="276" w:lineRule="auto"/>
        <w:rPr>
          <w:sz w:val="20"/>
          <w:szCs w:val="20"/>
          <w:color w:val="auto"/>
        </w:rPr>
      </w:pPr>
      <w:r>
        <w:rPr>
          <w:rFonts w:ascii="Times New Roman" w:cs="Times New Roman" w:eastAsia="Times New Roman" w:hAnsi="Times New Roman"/>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Notwithstanding the above, any Subsidiary of the Company may consolidate with, merge into or transfer all or part of its properties to the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Neither an Officer’s Certificate nor an Opinion of Counsel shall be required to be delivered in connection therewith.</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Successor Corporation Substituted</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40" w:firstLine="930"/>
        <w:spacing w:after="0" w:line="255" w:lineRule="auto"/>
        <w:rPr>
          <w:sz w:val="20"/>
          <w:szCs w:val="20"/>
          <w:color w:val="auto"/>
        </w:rPr>
      </w:pPr>
      <w:r>
        <w:rPr>
          <w:rFonts w:ascii="Times New Roman" w:cs="Times New Roman" w:eastAsia="Times New Roman" w:hAnsi="Times New Roman"/>
          <w:sz w:val="17"/>
          <w:szCs w:val="17"/>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predecessor Company in the case of a sale, conveyance or other disposition (other than a lease) shall be released from all obligations and covenants under this Indenture and the Securities.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VI.</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DEFAULTS AND REMEDIES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 </w:t>
      </w:r>
      <w:r>
        <w:rPr>
          <w:rFonts w:ascii="Times New Roman" w:cs="Times New Roman" w:eastAsia="Times New Roman" w:hAnsi="Times New Roman"/>
          <w:sz w:val="17"/>
          <w:szCs w:val="17"/>
          <w:u w:val="single" w:color="auto"/>
          <w:color w:val="auto"/>
        </w:rPr>
        <w:t>Events of Default</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Event of Default</w:t>
      </w:r>
      <w:r>
        <w:rPr>
          <w:rFonts w:ascii="Times New Roman" w:cs="Times New Roman" w:eastAsia="Times New Roman" w:hAnsi="Times New Roman"/>
          <w:sz w:val="17"/>
          <w:szCs w:val="17"/>
          <w:color w:val="auto"/>
        </w:rPr>
        <w:t>,” wherever used herein with respect to Securities of any Series, means any one of the following events, unless in the establishing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Resolution, supplemental indenture or Officer’s Certificate, it is provided that such Series shall not have the benefit of said Event of Default:</w:t>
      </w:r>
    </w:p>
    <w:p>
      <w:pPr>
        <w:spacing w:after="0" w:line="194" w:lineRule="exact"/>
        <w:rPr>
          <w:sz w:val="20"/>
          <w:szCs w:val="20"/>
          <w:color w:val="auto"/>
        </w:rPr>
      </w:pPr>
    </w:p>
    <w:p>
      <w:pPr>
        <w:ind w:firstLine="415"/>
        <w:spacing w:after="0" w:line="262" w:lineRule="auto"/>
        <w:tabs>
          <w:tab w:leader="none" w:pos="643"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30th day of such period); or</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34" w:name="page135"/>
    <w:bookmarkEnd w:id="134"/>
    <w:p>
      <w:pPr>
        <w:ind w:left="660" w:hanging="245"/>
        <w:spacing w:after="0"/>
        <w:tabs>
          <w:tab w:leader="none" w:pos="6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payment of principal of any Security of that Series at its Maturity; or</w:t>
      </w:r>
    </w:p>
    <w:p>
      <w:pPr>
        <w:spacing w:after="0" w:line="209" w:lineRule="exact"/>
        <w:rPr>
          <w:rFonts w:ascii="Times New Roman" w:cs="Times New Roman" w:eastAsia="Times New Roman" w:hAnsi="Times New Roman"/>
          <w:sz w:val="17"/>
          <w:szCs w:val="17"/>
          <w:color w:val="auto"/>
        </w:rPr>
      </w:pPr>
    </w:p>
    <w:p>
      <w:pPr>
        <w:ind w:firstLine="415"/>
        <w:spacing w:after="0" w:line="255" w:lineRule="auto"/>
        <w:tabs>
          <w:tab w:leader="none" w:pos="643"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7"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pursuant to or within the meaning of any Bankruptcy Law:</w:t>
      </w:r>
    </w:p>
    <w:p>
      <w:pPr>
        <w:spacing w:after="0" w:line="210" w:lineRule="exact"/>
        <w:rPr>
          <w:sz w:val="20"/>
          <w:szCs w:val="20"/>
          <w:color w:val="auto"/>
        </w:rPr>
      </w:pPr>
    </w:p>
    <w:p>
      <w:pPr>
        <w:ind w:left="620" w:hanging="205"/>
        <w:spacing w:after="0"/>
        <w:tabs>
          <w:tab w:leader="none" w:pos="6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commences a voluntary case,</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entry of an order for relief against it in an involuntary case,</w:t>
      </w:r>
    </w:p>
    <w:p>
      <w:pPr>
        <w:spacing w:after="0" w:line="209" w:lineRule="exact"/>
        <w:rPr>
          <w:rFonts w:ascii="Times New Roman" w:cs="Times New Roman" w:eastAsia="Times New Roman" w:hAnsi="Times New Roman"/>
          <w:sz w:val="17"/>
          <w:szCs w:val="17"/>
          <w:color w:val="auto"/>
        </w:rPr>
      </w:pPr>
    </w:p>
    <w:p>
      <w:pPr>
        <w:ind w:left="720" w:hanging="305"/>
        <w:spacing w:after="0"/>
        <w:tabs>
          <w:tab w:leader="none" w:pos="72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consents to the appointment of a Custodian of it or for all or substantially all of its property,</w:t>
      </w:r>
    </w:p>
    <w:p>
      <w:pPr>
        <w:spacing w:after="0" w:line="209" w:lineRule="exact"/>
        <w:rPr>
          <w:rFonts w:ascii="Times New Roman" w:cs="Times New Roman" w:eastAsia="Times New Roman" w:hAnsi="Times New Roman"/>
          <w:sz w:val="17"/>
          <w:szCs w:val="17"/>
          <w:color w:val="auto"/>
        </w:rPr>
      </w:pPr>
    </w:p>
    <w:p>
      <w:pPr>
        <w:ind w:left="700" w:hanging="285"/>
        <w:spacing w:after="0"/>
        <w:tabs>
          <w:tab w:leader="none" w:pos="7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makes a general assignment for the benefit of its creditors, or</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is unable to pay its debts as the same become due; or</w:t>
      </w:r>
    </w:p>
    <w:p>
      <w:pPr>
        <w:spacing w:after="0" w:line="210" w:lineRule="exact"/>
        <w:rPr>
          <w:sz w:val="20"/>
          <w:szCs w:val="20"/>
          <w:color w:val="auto"/>
        </w:rPr>
      </w:pPr>
    </w:p>
    <w:p>
      <w:pPr>
        <w:ind w:left="640" w:hanging="225"/>
        <w:spacing w:after="0"/>
        <w:tabs>
          <w:tab w:leader="none" w:pos="640"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court of competent jurisdiction enters an order or decree under any Bankruptcy Law that:</w:t>
      </w:r>
    </w:p>
    <w:p>
      <w:pPr>
        <w:spacing w:after="0" w:line="209" w:lineRule="exact"/>
        <w:rPr>
          <w:rFonts w:ascii="Times New Roman" w:cs="Times New Roman" w:eastAsia="Times New Roman" w:hAnsi="Times New Roman"/>
          <w:sz w:val="17"/>
          <w:szCs w:val="17"/>
          <w:color w:val="auto"/>
        </w:rPr>
      </w:pPr>
    </w:p>
    <w:p>
      <w:pPr>
        <w:ind w:left="620" w:hanging="205"/>
        <w:spacing w:after="0"/>
        <w:tabs>
          <w:tab w:leader="none" w:pos="62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for relief against the Company in an involuntary case,</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appoints a Custodian of the Company or for all or substantially all of its property, or</w:t>
      </w:r>
    </w:p>
    <w:p>
      <w:pPr>
        <w:spacing w:after="0" w:line="209" w:lineRule="exact"/>
        <w:rPr>
          <w:rFonts w:ascii="Times New Roman" w:cs="Times New Roman" w:eastAsia="Times New Roman" w:hAnsi="Times New Roman"/>
          <w:sz w:val="17"/>
          <w:szCs w:val="17"/>
          <w:color w:val="auto"/>
        </w:rPr>
      </w:pPr>
    </w:p>
    <w:p>
      <w:pPr>
        <w:ind w:left="720" w:hanging="305"/>
        <w:spacing w:after="0"/>
        <w:tabs>
          <w:tab w:leader="none" w:pos="720"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orders the liquidation of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order or decree remains unstayed and in effect for 60 days; or</w:t>
      </w:r>
    </w:p>
    <w:p>
      <w:pPr>
        <w:spacing w:after="0" w:line="210" w:lineRule="exact"/>
        <w:rPr>
          <w:sz w:val="20"/>
          <w:szCs w:val="20"/>
          <w:color w:val="auto"/>
        </w:rPr>
      </w:pPr>
    </w:p>
    <w:p>
      <w:pPr>
        <w:ind w:right="20" w:firstLine="415"/>
        <w:spacing w:after="0" w:line="276" w:lineRule="auto"/>
        <w:tabs>
          <w:tab w:leader="none" w:pos="624"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Event of Default provided with respect to Securities of that Series, which is specified in a Board Resolution, a supplemental indenture hereto or an Officer’s Certificate, in accordance with Section 2.2.18.</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35" w:name="page136"/>
    <w:bookmarkEnd w:id="135"/>
    <w:p>
      <w:pPr>
        <w:ind w:right="260" w:firstLine="930"/>
        <w:spacing w:after="0" w:line="281" w:lineRule="auto"/>
        <w:rPr>
          <w:sz w:val="20"/>
          <w:szCs w:val="20"/>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i w:val="1"/>
          <w:iCs w:val="1"/>
          <w:color w:val="auto"/>
        </w:rPr>
        <w:t>Bankruptcy Law</w:t>
      </w:r>
      <w:r>
        <w:rPr>
          <w:rFonts w:ascii="Times New Roman" w:cs="Times New Roman" w:eastAsia="Times New Roman" w:hAnsi="Times New Roman"/>
          <w:sz w:val="17"/>
          <w:szCs w:val="17"/>
          <w:color w:val="auto"/>
        </w:rPr>
        <w:t>” means title 11, U.S. Code or any similar Federal or State law for the relief of debtors. The term “</w:t>
      </w:r>
      <w:r>
        <w:rPr>
          <w:rFonts w:ascii="Times New Roman" w:cs="Times New Roman" w:eastAsia="Times New Roman" w:hAnsi="Times New Roman"/>
          <w:sz w:val="17"/>
          <w:szCs w:val="17"/>
          <w:i w:val="1"/>
          <w:iCs w:val="1"/>
          <w:color w:val="auto"/>
        </w:rPr>
        <w:t>Custodian</w:t>
      </w:r>
      <w:r>
        <w:rPr>
          <w:rFonts w:ascii="Times New Roman" w:cs="Times New Roman" w:eastAsia="Times New Roman" w:hAnsi="Times New Roman"/>
          <w:sz w:val="17"/>
          <w:szCs w:val="17"/>
          <w:color w:val="auto"/>
        </w:rPr>
        <w:t>” means any receiver, trustee, assignee, liquidator or similar official under any Bankruptcy Law.</w:t>
      </w:r>
    </w:p>
    <w:p>
      <w:pPr>
        <w:spacing w:after="0" w:line="154" w:lineRule="exact"/>
        <w:rPr>
          <w:sz w:val="20"/>
          <w:szCs w:val="20"/>
          <w:color w:val="auto"/>
        </w:rPr>
      </w:pPr>
    </w:p>
    <w:p>
      <w:pPr>
        <w:jc w:val="both"/>
        <w:ind w:right="160" w:firstLine="930"/>
        <w:spacing w:after="0" w:line="262" w:lineRule="auto"/>
        <w:rPr>
          <w:sz w:val="20"/>
          <w:szCs w:val="20"/>
          <w:color w:val="auto"/>
        </w:rPr>
      </w:pPr>
      <w:r>
        <w:rPr>
          <w:rFonts w:ascii="Times New Roman" w:cs="Times New Roman" w:eastAsia="Times New Roman" w:hAnsi="Times New Roman"/>
          <w:sz w:val="17"/>
          <w:szCs w:val="17"/>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6.2. </w:t>
      </w:r>
      <w:r>
        <w:rPr>
          <w:rFonts w:ascii="Times New Roman" w:cs="Times New Roman" w:eastAsia="Times New Roman" w:hAnsi="Times New Roman"/>
          <w:sz w:val="17"/>
          <w:szCs w:val="17"/>
          <w:u w:val="single" w:color="auto"/>
          <w:color w:val="auto"/>
        </w:rPr>
        <w:t>Acceleration of Maturity; Rescission and Annulment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2" w:lineRule="auto"/>
        <w:rPr>
          <w:sz w:val="20"/>
          <w:szCs w:val="20"/>
          <w:color w:val="auto"/>
        </w:rPr>
      </w:pPr>
      <w:r>
        <w:rPr>
          <w:rFonts w:ascii="Times New Roman" w:cs="Times New Roman" w:eastAsia="Times New Roman" w:hAnsi="Times New Roman"/>
          <w:sz w:val="17"/>
          <w:szCs w:val="17"/>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7"/>
          <w:szCs w:val="17"/>
          <w:i w:val="1"/>
          <w:iCs w:val="1"/>
          <w:color w:val="auto"/>
        </w:rPr>
        <w:t>ipso facto</w:t>
      </w:r>
      <w:r>
        <w:rPr>
          <w:rFonts w:ascii="Times New Roman" w:cs="Times New Roman" w:eastAsia="Times New Roman" w:hAnsi="Times New Roman"/>
          <w:sz w:val="17"/>
          <w:szCs w:val="17"/>
          <w:color w:val="auto"/>
        </w:rPr>
        <w:t xml:space="preserve"> become and be immediately due and payable without any declaration or other act on the part of the Trustee or any Holder.</w:t>
      </w:r>
    </w:p>
    <w:p>
      <w:pPr>
        <w:spacing w:after="0" w:line="182" w:lineRule="exact"/>
        <w:rPr>
          <w:sz w:val="20"/>
          <w:szCs w:val="20"/>
          <w:color w:val="auto"/>
        </w:rPr>
      </w:pPr>
    </w:p>
    <w:p>
      <w:pPr>
        <w:ind w:firstLine="930"/>
        <w:spacing w:after="0" w:line="255" w:lineRule="auto"/>
        <w:rPr>
          <w:sz w:val="20"/>
          <w:szCs w:val="20"/>
          <w:color w:val="auto"/>
        </w:rPr>
      </w:pPr>
      <w:r>
        <w:rPr>
          <w:rFonts w:ascii="Times New Roman" w:cs="Times New Roman" w:eastAsia="Times New Roman" w:hAnsi="Times New Roman"/>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No such rescission shall affect any subsequent Default or impair any right consequent thereon.</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6.3. </w:t>
      </w:r>
      <w:r>
        <w:rPr>
          <w:rFonts w:ascii="Times New Roman" w:cs="Times New Roman" w:eastAsia="Times New Roman" w:hAnsi="Times New Roman"/>
          <w:sz w:val="17"/>
          <w:szCs w:val="17"/>
          <w:u w:val="single" w:color="auto"/>
          <w:color w:val="auto"/>
        </w:rPr>
        <w:t>Collection of Indebtedness and Suits for Enforcement by Trustee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Company covenants that if</w:t>
      </w:r>
    </w:p>
    <w:p>
      <w:pPr>
        <w:spacing w:after="0" w:line="210" w:lineRule="exact"/>
        <w:rPr>
          <w:sz w:val="20"/>
          <w:szCs w:val="20"/>
          <w:color w:val="auto"/>
        </w:rPr>
      </w:pPr>
    </w:p>
    <w:p>
      <w:pPr>
        <w:ind w:left="640" w:hanging="225"/>
        <w:spacing w:after="0"/>
        <w:tabs>
          <w:tab w:leader="none" w:pos="6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payment of any interest on any Security when such interest becomes due and payable and such default continues for a period of 30</w:t>
      </w:r>
    </w:p>
    <w:p>
      <w:pPr>
        <w:spacing w:after="0" w:line="2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or</w:t>
      </w:r>
    </w:p>
    <w:p>
      <w:pPr>
        <w:spacing w:after="0" w:line="193"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is made in the payment of principal of any Security at the Maturity thereof, or</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36" w:name="page137"/>
    <w:bookmarkEnd w:id="136"/>
    <w:p>
      <w:pPr>
        <w:ind w:left="420"/>
        <w:spacing w:after="0"/>
        <w:rPr>
          <w:sz w:val="20"/>
          <w:szCs w:val="20"/>
          <w:color w:val="auto"/>
        </w:rPr>
      </w:pPr>
      <w:r>
        <w:rPr>
          <w:rFonts w:ascii="Times New Roman" w:cs="Times New Roman" w:eastAsia="Times New Roman" w:hAnsi="Times New Roman"/>
          <w:sz w:val="17"/>
          <w:szCs w:val="17"/>
          <w:color w:val="auto"/>
        </w:rPr>
        <w:t>(c) default is made in the deposit of any sinking fund payment, if any, when and as due by the terms of a Security,</w:t>
      </w:r>
    </w:p>
    <w:p>
      <w:pPr>
        <w:spacing w:after="0" w:line="20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then, </w:t>
      </w:r>
      <w:r>
        <w:rPr>
          <w:rFonts w:ascii="Times New Roman" w:cs="Times New Roman" w:eastAsia="Times New Roman" w:hAnsi="Times New Roman"/>
          <w:sz w:val="17"/>
          <w:szCs w:val="17"/>
          <w:color w:val="auto"/>
        </w:rPr>
        <w:t>the Company will, upon demand of the Trustee, pay to it, for the benefit of the Holders of such Securities, the whole amount then due and payable on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73"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3"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6.4. </w:t>
      </w:r>
      <w:r>
        <w:rPr>
          <w:rFonts w:ascii="Times New Roman" w:cs="Times New Roman" w:eastAsia="Times New Roman" w:hAnsi="Times New Roman"/>
          <w:sz w:val="17"/>
          <w:szCs w:val="17"/>
          <w:u w:val="single" w:color="auto"/>
          <w:color w:val="auto"/>
        </w:rPr>
        <w:t>Trustee May File Proofs of Claim</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80" w:firstLine="930"/>
        <w:spacing w:after="0" w:line="255" w:lineRule="auto"/>
        <w:rPr>
          <w:sz w:val="20"/>
          <w:szCs w:val="20"/>
          <w:color w:val="auto"/>
        </w:rPr>
      </w:pPr>
      <w:r>
        <w:rPr>
          <w:rFonts w:ascii="Times New Roman" w:cs="Times New Roman" w:eastAsia="Times New Roman" w:hAnsi="Times New Roman"/>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77" w:lineRule="exact"/>
        <w:rPr>
          <w:sz w:val="20"/>
          <w:szCs w:val="20"/>
          <w:color w:val="auto"/>
        </w:rPr>
      </w:pPr>
    </w:p>
    <w:p>
      <w:pPr>
        <w:ind w:firstLine="415"/>
        <w:spacing w:after="0" w:line="262" w:lineRule="auto"/>
        <w:tabs>
          <w:tab w:leader="none" w:pos="64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70"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collect and receive any moneys or other property payable or deliverable on any such claims and to distribute the same,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7" w:name="page138"/>
    <w:bookmarkEnd w:id="137"/>
    <w:p>
      <w:pPr>
        <w:jc w:val="both"/>
        <w:ind w:right="160"/>
        <w:spacing w:after="0" w:line="258" w:lineRule="auto"/>
        <w:rPr>
          <w:sz w:val="20"/>
          <w:szCs w:val="20"/>
          <w:color w:val="auto"/>
        </w:rPr>
      </w:pPr>
      <w:r>
        <w:rPr>
          <w:rFonts w:ascii="Times New Roman" w:cs="Times New Roman" w:eastAsia="Times New Roman" w:hAnsi="Times New Roman"/>
          <w:sz w:val="17"/>
          <w:szCs w:val="17"/>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73" w:lineRule="exact"/>
        <w:rPr>
          <w:sz w:val="20"/>
          <w:szCs w:val="20"/>
          <w:color w:val="auto"/>
        </w:rPr>
      </w:pPr>
    </w:p>
    <w:p>
      <w:pPr>
        <w:ind w:right="60" w:firstLine="930"/>
        <w:spacing w:after="0" w:line="262" w:lineRule="auto"/>
        <w:rPr>
          <w:sz w:val="20"/>
          <w:szCs w:val="20"/>
          <w:color w:val="auto"/>
        </w:rPr>
      </w:pPr>
      <w:r>
        <w:rPr>
          <w:rFonts w:ascii="Times New Roman" w:cs="Times New Roman" w:eastAsia="Times New Roman" w:hAnsi="Times New Roman"/>
          <w:sz w:val="17"/>
          <w:szCs w:val="17"/>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6.5. </w:t>
      </w:r>
      <w:r>
        <w:rPr>
          <w:rFonts w:ascii="Times New Roman" w:cs="Times New Roman" w:eastAsia="Times New Roman" w:hAnsi="Times New Roman"/>
          <w:sz w:val="17"/>
          <w:szCs w:val="17"/>
          <w:u w:val="single" w:color="auto"/>
          <w:color w:val="auto"/>
        </w:rPr>
        <w:t>Trustee May Enforce Claims Without Possession of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Application of Money Collected.</w:t>
      </w:r>
    </w:p>
    <w:p>
      <w:pPr>
        <w:spacing w:after="0" w:line="210" w:lineRule="exact"/>
        <w:rPr>
          <w:sz w:val="20"/>
          <w:szCs w:val="20"/>
          <w:color w:val="auto"/>
        </w:rPr>
      </w:pPr>
    </w:p>
    <w:p>
      <w:pPr>
        <w:ind w:right="120" w:firstLine="930"/>
        <w:spacing w:after="0" w:line="262" w:lineRule="auto"/>
        <w:rPr>
          <w:sz w:val="20"/>
          <w:szCs w:val="20"/>
          <w:color w:val="auto"/>
        </w:rPr>
      </w:pPr>
      <w:r>
        <w:rPr>
          <w:rFonts w:ascii="Times New Roman" w:cs="Times New Roman" w:eastAsia="Times New Roman" w:hAnsi="Times New Roman"/>
          <w:sz w:val="17"/>
          <w:szCs w:val="17"/>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First: To the payment of all amounts due the Trustee under Section 7.7; and</w:t>
      </w:r>
    </w:p>
    <w:p>
      <w:pPr>
        <w:spacing w:after="0" w:line="210" w:lineRule="exact"/>
        <w:rPr>
          <w:sz w:val="20"/>
          <w:szCs w:val="20"/>
          <w:color w:val="auto"/>
        </w:rPr>
      </w:pPr>
    </w:p>
    <w:p>
      <w:pPr>
        <w:ind w:right="20" w:firstLine="930"/>
        <w:spacing w:after="0" w:line="262" w:lineRule="auto"/>
        <w:rPr>
          <w:sz w:val="20"/>
          <w:szCs w:val="20"/>
          <w:color w:val="auto"/>
        </w:rPr>
      </w:pPr>
      <w:r>
        <w:rPr>
          <w:rFonts w:ascii="Times New Roman" w:cs="Times New Roman" w:eastAsia="Times New Roman" w:hAnsi="Times New Roman"/>
          <w:sz w:val="17"/>
          <w:szCs w:val="17"/>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7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Third: To the Company.</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Limitation on Suits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60" w:firstLine="930"/>
        <w:spacing w:after="0" w:line="276" w:lineRule="auto"/>
        <w:rPr>
          <w:sz w:val="20"/>
          <w:szCs w:val="20"/>
          <w:color w:val="auto"/>
        </w:rPr>
      </w:pPr>
      <w:r>
        <w:rPr>
          <w:rFonts w:ascii="Times New Roman" w:cs="Times New Roman" w:eastAsia="Times New Roman" w:hAnsi="Times New Roman"/>
          <w:sz w:val="17"/>
          <w:szCs w:val="17"/>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such Holder has previously given written notice to the Trustee of a continuing Event of Default with respect to the Securities of that Series;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8" w:name="page139"/>
    <w:bookmarkEnd w:id="138"/>
    <w:p>
      <w:pPr>
        <w:ind w:right="220" w:firstLine="415"/>
        <w:spacing w:after="0" w:line="276" w:lineRule="auto"/>
        <w:tabs>
          <w:tab w:leader="none" w:pos="652"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58" w:lineRule="exact"/>
        <w:rPr>
          <w:rFonts w:ascii="Times New Roman" w:cs="Times New Roman" w:eastAsia="Times New Roman" w:hAnsi="Times New Roman"/>
          <w:sz w:val="17"/>
          <w:szCs w:val="17"/>
          <w:color w:val="auto"/>
        </w:rPr>
      </w:pPr>
    </w:p>
    <w:p>
      <w:pPr>
        <w:ind w:firstLine="415"/>
        <w:spacing w:after="0" w:line="276" w:lineRule="auto"/>
        <w:tabs>
          <w:tab w:leader="none" w:pos="64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Holder or Holders have offered to the Trustee indemnity or security satisfactory to the Trustee against the costs, expenses and liabilities which might be incurred by the Trustee in compliance with such request;</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for 60 days after its receipt of such notice, request and offer of indemnity has failed to institute any such proceeding; and</w:t>
      </w:r>
    </w:p>
    <w:p>
      <w:pPr>
        <w:spacing w:after="0" w:line="209" w:lineRule="exact"/>
        <w:rPr>
          <w:rFonts w:ascii="Times New Roman" w:cs="Times New Roman" w:eastAsia="Times New Roman" w:hAnsi="Times New Roman"/>
          <w:sz w:val="17"/>
          <w:szCs w:val="17"/>
          <w:color w:val="auto"/>
        </w:rPr>
      </w:pPr>
    </w:p>
    <w:p>
      <w:pPr>
        <w:ind w:right="60" w:firstLine="415"/>
        <w:spacing w:after="0" w:line="276" w:lineRule="auto"/>
        <w:tabs>
          <w:tab w:leader="none" w:pos="643"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direction inconsistent with such written request has been given to the Trustee during such 60-day period by the Holders of a majority in principal amount of the outstanding Securities of that Series;</w:t>
      </w:r>
    </w:p>
    <w:p>
      <w:pPr>
        <w:spacing w:after="0" w:line="15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Unconditional Right of Holders to Receive Principal and Interest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8" w:lineRule="auto"/>
        <w:rPr>
          <w:sz w:val="20"/>
          <w:szCs w:val="20"/>
          <w:color w:val="auto"/>
        </w:rPr>
      </w:pPr>
      <w:r>
        <w:rPr>
          <w:rFonts w:ascii="Times New Roman" w:cs="Times New Roman" w:eastAsia="Times New Roman" w:hAnsi="Times New Roman"/>
          <w:sz w:val="17"/>
          <w:szCs w:val="17"/>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Restoration of Rights and Remedies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40" w:firstLine="930"/>
        <w:spacing w:after="0" w:line="258" w:lineRule="auto"/>
        <w:rPr>
          <w:sz w:val="20"/>
          <w:szCs w:val="20"/>
          <w:color w:val="auto"/>
        </w:rPr>
      </w:pPr>
      <w:r>
        <w:rPr>
          <w:rFonts w:ascii="Times New Roman" w:cs="Times New Roman" w:eastAsia="Times New Roman" w:hAnsi="Times New Roman"/>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6.10. </w:t>
      </w:r>
      <w:r>
        <w:rPr>
          <w:rFonts w:ascii="Times New Roman" w:cs="Times New Roman" w:eastAsia="Times New Roman" w:hAnsi="Times New Roman"/>
          <w:sz w:val="17"/>
          <w:szCs w:val="17"/>
          <w:u w:val="single" w:color="auto"/>
          <w:color w:val="auto"/>
        </w:rPr>
        <w:t>Rights and Remedies Cumulative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40" w:firstLine="930"/>
        <w:spacing w:after="0" w:line="255" w:lineRule="auto"/>
        <w:rPr>
          <w:sz w:val="20"/>
          <w:szCs w:val="20"/>
          <w:color w:val="auto"/>
        </w:rPr>
      </w:pPr>
      <w:r>
        <w:rPr>
          <w:rFonts w:ascii="Times New Roman" w:cs="Times New Roman" w:eastAsia="Times New Roman" w:hAnsi="Times New Roman"/>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9" w:name="page140"/>
    <w:bookmarkEnd w:id="139"/>
    <w:p>
      <w:pPr>
        <w:ind w:left="420"/>
        <w:spacing w:after="0"/>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Delay or Omission Not Waiver</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firstLine="930"/>
        <w:spacing w:after="0" w:line="262" w:lineRule="auto"/>
        <w:rPr>
          <w:sz w:val="20"/>
          <w:szCs w:val="20"/>
          <w:color w:val="auto"/>
        </w:rPr>
      </w:pPr>
      <w:r>
        <w:rPr>
          <w:rFonts w:ascii="Times New Roman" w:cs="Times New Roman" w:eastAsia="Times New Roman" w:hAnsi="Times New Roman"/>
          <w:sz w:val="17"/>
          <w:szCs w:val="17"/>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Control by Holders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00" w:firstLine="930"/>
        <w:spacing w:after="0" w:line="262" w:lineRule="auto"/>
        <w:rPr>
          <w:sz w:val="20"/>
          <w:szCs w:val="20"/>
          <w:color w:val="auto"/>
        </w:rPr>
      </w:pPr>
      <w:r>
        <w:rPr>
          <w:rFonts w:ascii="Times New Roman" w:cs="Times New Roman" w:eastAsia="Times New Roman" w:hAnsi="Times New Roman"/>
          <w:sz w:val="17"/>
          <w:szCs w:val="17"/>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70" w:lineRule="exact"/>
        <w:rPr>
          <w:sz w:val="20"/>
          <w:szCs w:val="20"/>
          <w:color w:val="auto"/>
        </w:rPr>
      </w:pPr>
    </w:p>
    <w:p>
      <w:pPr>
        <w:ind w:left="640" w:hanging="225"/>
        <w:spacing w:after="0"/>
        <w:tabs>
          <w:tab w:leader="none" w:pos="6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direction shall not be in conflict with any rule of law or with this Indenture,</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take any other action deemed proper by the Trustee which is not inconsistent with such direction,</w:t>
      </w:r>
    </w:p>
    <w:p>
      <w:pPr>
        <w:spacing w:after="0" w:line="209" w:lineRule="exact"/>
        <w:rPr>
          <w:rFonts w:ascii="Times New Roman" w:cs="Times New Roman" w:eastAsia="Times New Roman" w:hAnsi="Times New Roman"/>
          <w:sz w:val="17"/>
          <w:szCs w:val="17"/>
          <w:color w:val="auto"/>
        </w:rPr>
      </w:pPr>
    </w:p>
    <w:p>
      <w:pPr>
        <w:ind w:right="580" w:firstLine="415"/>
        <w:spacing w:after="0" w:line="276" w:lineRule="auto"/>
        <w:tabs>
          <w:tab w:leader="none" w:pos="643"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58" w:lineRule="exact"/>
        <w:rPr>
          <w:rFonts w:ascii="Times New Roman" w:cs="Times New Roman" w:eastAsia="Times New Roman" w:hAnsi="Times New Roman"/>
          <w:sz w:val="17"/>
          <w:szCs w:val="17"/>
          <w:color w:val="auto"/>
        </w:rPr>
      </w:pPr>
    </w:p>
    <w:p>
      <w:pPr>
        <w:ind w:right="400" w:firstLine="415"/>
        <w:spacing w:after="0" w:line="276" w:lineRule="auto"/>
        <w:tabs>
          <w:tab w:leader="none" w:pos="652"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6.13. </w:t>
      </w:r>
      <w:r>
        <w:rPr>
          <w:rFonts w:ascii="Times New Roman" w:cs="Times New Roman" w:eastAsia="Times New Roman" w:hAnsi="Times New Roman"/>
          <w:sz w:val="17"/>
          <w:szCs w:val="17"/>
          <w:u w:val="single" w:color="auto"/>
          <w:color w:val="auto"/>
        </w:rPr>
        <w:t>Waiver of Past Defaults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4" w:lineRule="auto"/>
        <w:rPr>
          <w:sz w:val="20"/>
          <w:szCs w:val="20"/>
          <w:color w:val="auto"/>
        </w:rPr>
      </w:pPr>
      <w:r>
        <w:rPr>
          <w:rFonts w:ascii="Times New Roman" w:cs="Times New Roman" w:eastAsia="Times New Roman" w:hAnsi="Times New Roman"/>
          <w:sz w:val="17"/>
          <w:szCs w:val="17"/>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0" w:name="page141"/>
    <w:bookmarkEnd w:id="140"/>
    <w:p>
      <w:pPr>
        <w:ind w:left="420"/>
        <w:spacing w:after="0"/>
        <w:rPr>
          <w:sz w:val="20"/>
          <w:szCs w:val="20"/>
          <w:color w:val="auto"/>
        </w:rPr>
      </w:pPr>
      <w:r>
        <w:rPr>
          <w:rFonts w:ascii="Times New Roman" w:cs="Times New Roman" w:eastAsia="Times New Roman" w:hAnsi="Times New Roman"/>
          <w:sz w:val="17"/>
          <w:szCs w:val="17"/>
          <w:color w:val="auto"/>
        </w:rPr>
        <w:t xml:space="preserve">Section 6.14. </w:t>
      </w:r>
      <w:r>
        <w:rPr>
          <w:rFonts w:ascii="Times New Roman" w:cs="Times New Roman" w:eastAsia="Times New Roman" w:hAnsi="Times New Roman"/>
          <w:sz w:val="17"/>
          <w:szCs w:val="17"/>
          <w:u w:val="single" w:color="auto"/>
          <w:color w:val="auto"/>
        </w:rPr>
        <w:t>Undertaking for Costs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60" w:firstLine="930"/>
        <w:spacing w:after="0" w:line="252"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ARTICLE VII.</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TRUSTEE</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Duties of Trustee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0" w:firstLine="415"/>
        <w:spacing w:after="0" w:line="276" w:lineRule="auto"/>
        <w:tabs>
          <w:tab w:leader="none" w:pos="643"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during the continuance of an Event of Default:</w:t>
      </w:r>
    </w:p>
    <w:p>
      <w:pPr>
        <w:spacing w:after="0" w:line="210" w:lineRule="exact"/>
        <w:rPr>
          <w:sz w:val="20"/>
          <w:szCs w:val="20"/>
          <w:color w:val="auto"/>
        </w:rPr>
      </w:pPr>
    </w:p>
    <w:p>
      <w:pPr>
        <w:ind w:left="620" w:hanging="205"/>
        <w:spacing w:after="0"/>
        <w:tabs>
          <w:tab w:leader="none" w:pos="6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need perform only those duties that are specifically set forth in this Indenture and no others.</w:t>
      </w:r>
    </w:p>
    <w:p>
      <w:pPr>
        <w:spacing w:after="0" w:line="209" w:lineRule="exact"/>
        <w:rPr>
          <w:rFonts w:ascii="Times New Roman" w:cs="Times New Roman" w:eastAsia="Times New Roman" w:hAnsi="Times New Roman"/>
          <w:sz w:val="17"/>
          <w:szCs w:val="17"/>
          <w:color w:val="auto"/>
        </w:rPr>
      </w:pPr>
    </w:p>
    <w:p>
      <w:pPr>
        <w:ind w:firstLine="415"/>
        <w:spacing w:after="0" w:line="258" w:lineRule="auto"/>
        <w:tabs>
          <w:tab w:leader="none" w:pos="662"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73" w:lineRule="exact"/>
        <w:rPr>
          <w:sz w:val="20"/>
          <w:szCs w:val="20"/>
          <w:color w:val="auto"/>
        </w:rPr>
      </w:pPr>
    </w:p>
    <w:p>
      <w:pPr>
        <w:ind w:left="640" w:hanging="225"/>
        <w:spacing w:after="0"/>
        <w:tabs>
          <w:tab w:leader="none" w:pos="6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not be relieved from liability for its own negligent action, its own negligent failure to act or its own willful misconduct, except that:</w:t>
      </w:r>
    </w:p>
    <w:p>
      <w:pPr>
        <w:spacing w:after="0" w:line="209" w:lineRule="exact"/>
        <w:rPr>
          <w:rFonts w:ascii="Times New Roman" w:cs="Times New Roman" w:eastAsia="Times New Roman" w:hAnsi="Times New Roman"/>
          <w:sz w:val="17"/>
          <w:szCs w:val="17"/>
          <w:color w:val="auto"/>
        </w:rPr>
      </w:pPr>
    </w:p>
    <w:p>
      <w:pPr>
        <w:ind w:left="620" w:hanging="205"/>
        <w:spacing w:after="0"/>
        <w:tabs>
          <w:tab w:leader="none" w:pos="6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paragraph does not limit the effect of paragraph (b) of this Section.</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41" w:name="page142"/>
    <w:bookmarkEnd w:id="141"/>
    <w:p>
      <w:pPr>
        <w:ind w:left="-20" w:right="180" w:firstLine="415"/>
        <w:spacing w:after="0" w:line="276" w:lineRule="auto"/>
        <w:tabs>
          <w:tab w:leader="none" w:pos="64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error of judgment made in good faith by a Responsible Officer, unless it is proved that the Trustee was negligent in ascertaining the pertinent facts.</w:t>
      </w:r>
    </w:p>
    <w:p>
      <w:pPr>
        <w:spacing w:after="0" w:line="158" w:lineRule="exact"/>
        <w:rPr>
          <w:rFonts w:ascii="Times New Roman" w:cs="Times New Roman" w:eastAsia="Times New Roman" w:hAnsi="Times New Roman"/>
          <w:sz w:val="17"/>
          <w:szCs w:val="17"/>
          <w:color w:val="auto"/>
        </w:rPr>
      </w:pPr>
    </w:p>
    <w:p>
      <w:pPr>
        <w:ind w:left="-20" w:right="40" w:firstLine="415"/>
        <w:spacing w:after="0" w:line="258" w:lineRule="auto"/>
        <w:tabs>
          <w:tab w:leader="none" w:pos="689"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73" w:lineRule="exact"/>
        <w:rPr>
          <w:sz w:val="20"/>
          <w:szCs w:val="20"/>
          <w:color w:val="auto"/>
        </w:rPr>
      </w:pPr>
    </w:p>
    <w:p>
      <w:pPr>
        <w:ind w:left="640" w:hanging="245"/>
        <w:spacing w:after="0"/>
        <w:tabs>
          <w:tab w:leader="none" w:pos="6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provision of this Indenture that in any way relates to the Trustee is subject to paragraph (a), (b) and (c) of this Section.</w:t>
      </w:r>
    </w:p>
    <w:p>
      <w:pPr>
        <w:spacing w:after="0" w:line="209" w:lineRule="exact"/>
        <w:rPr>
          <w:rFonts w:ascii="Times New Roman" w:cs="Times New Roman" w:eastAsia="Times New Roman" w:hAnsi="Times New Roman"/>
          <w:sz w:val="17"/>
          <w:szCs w:val="17"/>
          <w:color w:val="auto"/>
        </w:rPr>
      </w:pPr>
    </w:p>
    <w:p>
      <w:pPr>
        <w:ind w:left="-20" w:right="340" w:firstLine="415"/>
        <w:spacing w:after="0" w:line="276" w:lineRule="auto"/>
        <w:tabs>
          <w:tab w:leader="none" w:pos="623"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58" w:lineRule="exact"/>
        <w:rPr>
          <w:rFonts w:ascii="Times New Roman" w:cs="Times New Roman" w:eastAsia="Times New Roman" w:hAnsi="Times New Roman"/>
          <w:sz w:val="17"/>
          <w:szCs w:val="17"/>
          <w:color w:val="auto"/>
        </w:rPr>
      </w:pPr>
    </w:p>
    <w:p>
      <w:pPr>
        <w:ind w:left="-20" w:right="20" w:firstLine="415"/>
        <w:spacing w:after="0" w:line="276" w:lineRule="auto"/>
        <w:tabs>
          <w:tab w:leader="none" w:pos="604"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58" w:lineRule="exact"/>
        <w:rPr>
          <w:rFonts w:ascii="Times New Roman" w:cs="Times New Roman" w:eastAsia="Times New Roman" w:hAnsi="Times New Roman"/>
          <w:sz w:val="17"/>
          <w:szCs w:val="17"/>
          <w:color w:val="auto"/>
        </w:rPr>
      </w:pPr>
    </w:p>
    <w:p>
      <w:pPr>
        <w:ind w:left="-20" w:right="20" w:firstLine="415"/>
        <w:spacing w:after="0" w:line="276" w:lineRule="auto"/>
        <w:tabs>
          <w:tab w:leader="none" w:pos="632"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58" w:lineRule="exact"/>
        <w:rPr>
          <w:rFonts w:ascii="Times New Roman" w:cs="Times New Roman" w:eastAsia="Times New Roman" w:hAnsi="Times New Roman"/>
          <w:sz w:val="17"/>
          <w:szCs w:val="17"/>
          <w:color w:val="auto"/>
        </w:rPr>
      </w:pPr>
    </w:p>
    <w:p>
      <w:pPr>
        <w:ind w:left="-20" w:firstLine="415"/>
        <w:spacing w:after="0" w:line="276" w:lineRule="auto"/>
        <w:tabs>
          <w:tab w:leader="none" w:pos="632"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Rights of Trustee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20" w:firstLine="415"/>
        <w:spacing w:after="0" w:line="276" w:lineRule="auto"/>
        <w:tabs>
          <w:tab w:leader="none" w:pos="623"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58" w:lineRule="exact"/>
        <w:rPr>
          <w:rFonts w:ascii="Times New Roman" w:cs="Times New Roman" w:eastAsia="Times New Roman" w:hAnsi="Times New Roman"/>
          <w:sz w:val="17"/>
          <w:szCs w:val="17"/>
          <w:color w:val="auto"/>
        </w:rPr>
      </w:pPr>
    </w:p>
    <w:p>
      <w:pPr>
        <w:ind w:left="-20" w:right="160" w:firstLine="415"/>
        <w:spacing w:after="0" w:line="276" w:lineRule="auto"/>
        <w:tabs>
          <w:tab w:leader="none" w:pos="63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58" w:lineRule="exact"/>
        <w:rPr>
          <w:rFonts w:ascii="Times New Roman" w:cs="Times New Roman" w:eastAsia="Times New Roman" w:hAnsi="Times New Roman"/>
          <w:sz w:val="17"/>
          <w:szCs w:val="17"/>
          <w:color w:val="auto"/>
        </w:rPr>
      </w:pPr>
    </w:p>
    <w:p>
      <w:pPr>
        <w:ind w:left="-20" w:firstLine="415"/>
        <w:spacing w:after="0" w:line="276" w:lineRule="auto"/>
        <w:tabs>
          <w:tab w:leader="none" w:pos="623"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38735</wp:posOffset>
            </wp:positionV>
            <wp:extent cx="714057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40" w:top="123" w:right="359" w:bottom="1440" w:gutter="0" w:footer="0" w:header="0"/>
        </w:sectPr>
      </w:pPr>
    </w:p>
    <w:bookmarkStart w:id="142" w:name="page143"/>
    <w:bookmarkEnd w:id="142"/>
    <w:p>
      <w:pPr>
        <w:ind w:firstLine="415"/>
        <w:spacing w:after="0" w:line="276" w:lineRule="auto"/>
        <w:tabs>
          <w:tab w:leader="none" w:pos="65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58" w:lineRule="exact"/>
        <w:rPr>
          <w:rFonts w:ascii="Times New Roman" w:cs="Times New Roman" w:eastAsia="Times New Roman" w:hAnsi="Times New Roman"/>
          <w:sz w:val="17"/>
          <w:szCs w:val="17"/>
          <w:color w:val="auto"/>
        </w:rPr>
      </w:pPr>
    </w:p>
    <w:p>
      <w:pPr>
        <w:ind w:right="140" w:firstLine="415"/>
        <w:spacing w:after="0" w:line="276" w:lineRule="auto"/>
        <w:tabs>
          <w:tab w:leader="none" w:pos="643"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58" w:lineRule="exact"/>
        <w:rPr>
          <w:rFonts w:ascii="Times New Roman" w:cs="Times New Roman" w:eastAsia="Times New Roman" w:hAnsi="Times New Roman"/>
          <w:sz w:val="17"/>
          <w:szCs w:val="17"/>
          <w:color w:val="auto"/>
        </w:rPr>
      </w:pPr>
    </w:p>
    <w:p>
      <w:pPr>
        <w:ind w:firstLine="415"/>
        <w:spacing w:after="0" w:line="262" w:lineRule="auto"/>
        <w:tabs>
          <w:tab w:leader="none" w:pos="624"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70" w:lineRule="exact"/>
        <w:rPr>
          <w:rFonts w:ascii="Times New Roman" w:cs="Times New Roman" w:eastAsia="Times New Roman" w:hAnsi="Times New Roman"/>
          <w:sz w:val="17"/>
          <w:szCs w:val="17"/>
          <w:color w:val="auto"/>
        </w:rPr>
      </w:pPr>
    </w:p>
    <w:p>
      <w:pPr>
        <w:ind w:firstLine="415"/>
        <w:spacing w:after="0" w:line="262" w:lineRule="auto"/>
        <w:tabs>
          <w:tab w:leader="none" w:pos="65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70" w:lineRule="exact"/>
        <w:rPr>
          <w:rFonts w:ascii="Times New Roman" w:cs="Times New Roman" w:eastAsia="Times New Roman" w:hAnsi="Times New Roman"/>
          <w:sz w:val="17"/>
          <w:szCs w:val="17"/>
          <w:color w:val="auto"/>
        </w:rPr>
      </w:pPr>
    </w:p>
    <w:p>
      <w:pPr>
        <w:jc w:val="both"/>
        <w:ind w:right="40" w:firstLine="415"/>
        <w:spacing w:after="0" w:line="262" w:lineRule="auto"/>
        <w:tabs>
          <w:tab w:leader="none" w:pos="652"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70" w:lineRule="exact"/>
        <w:rPr>
          <w:rFonts w:ascii="Times New Roman" w:cs="Times New Roman" w:eastAsia="Times New Roman" w:hAnsi="Times New Roman"/>
          <w:sz w:val="17"/>
          <w:szCs w:val="17"/>
          <w:color w:val="auto"/>
        </w:rPr>
      </w:pPr>
    </w:p>
    <w:p>
      <w:pPr>
        <w:ind w:right="540" w:firstLine="415"/>
        <w:spacing w:after="0" w:line="276" w:lineRule="auto"/>
        <w:tabs>
          <w:tab w:leader="none" w:pos="615"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58" w:lineRule="exact"/>
        <w:rPr>
          <w:rFonts w:ascii="Times New Roman" w:cs="Times New Roman" w:eastAsia="Times New Roman" w:hAnsi="Times New Roman"/>
          <w:sz w:val="17"/>
          <w:szCs w:val="17"/>
          <w:color w:val="auto"/>
        </w:rPr>
      </w:pPr>
    </w:p>
    <w:p>
      <w:pPr>
        <w:ind w:left="620" w:hanging="205"/>
        <w:spacing w:after="0"/>
        <w:tabs>
          <w:tab w:leader="none" w:pos="62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permissive right of the Trustee to take the actions permitted by this Indenture shall not be construed as an obligation or duty to do so.</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Individual Rights of Trustee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340" w:firstLine="930"/>
        <w:spacing w:after="0" w:line="262" w:lineRule="auto"/>
        <w:rPr>
          <w:sz w:val="20"/>
          <w:szCs w:val="20"/>
          <w:color w:val="auto"/>
        </w:rPr>
      </w:pPr>
      <w:r>
        <w:rPr>
          <w:rFonts w:ascii="Times New Roman" w:cs="Times New Roman" w:eastAsia="Times New Roman" w:hAnsi="Times New Roman"/>
          <w:sz w:val="17"/>
          <w:szCs w:val="17"/>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Trustee’s Disclaimer</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0" w:firstLine="930"/>
        <w:spacing w:after="0" w:line="276" w:lineRule="auto"/>
        <w:rPr>
          <w:sz w:val="20"/>
          <w:szCs w:val="20"/>
          <w:color w:val="auto"/>
        </w:rPr>
      </w:pPr>
      <w:r>
        <w:rPr>
          <w:rFonts w:ascii="Times New Roman" w:cs="Times New Roman" w:eastAsia="Times New Roman" w:hAnsi="Times New Roman"/>
          <w:sz w:val="17"/>
          <w:szCs w:val="17"/>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43" w:name="page144"/>
    <w:bookmarkEnd w:id="143"/>
    <w:p>
      <w:pPr>
        <w:ind w:left="420"/>
        <w:spacing w:after="0"/>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u w:val="single" w:color="auto"/>
          <w:color w:val="auto"/>
        </w:rPr>
        <w:t>Notice of Defaults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60" w:firstLine="930"/>
        <w:spacing w:after="0" w:line="255" w:lineRule="auto"/>
        <w:rPr>
          <w:sz w:val="20"/>
          <w:szCs w:val="20"/>
          <w:color w:val="auto"/>
        </w:rPr>
      </w:pPr>
      <w:r>
        <w:rPr>
          <w:rFonts w:ascii="Times New Roman" w:cs="Times New Roman" w:eastAsia="Times New Roman" w:hAnsi="Times New Roman"/>
          <w:sz w:val="17"/>
          <w:szCs w:val="17"/>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u w:val="single" w:color="auto"/>
          <w:color w:val="auto"/>
        </w:rPr>
        <w:t>Reports by Trustee to Holders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40" w:firstLine="930"/>
        <w:spacing w:after="0" w:line="276" w:lineRule="auto"/>
        <w:rPr>
          <w:sz w:val="20"/>
          <w:szCs w:val="20"/>
          <w:color w:val="auto"/>
        </w:rPr>
      </w:pPr>
      <w:r>
        <w:rPr>
          <w:rFonts w:ascii="Times New Roman" w:cs="Times New Roman" w:eastAsia="Times New Roman" w:hAnsi="Times New Roman"/>
          <w:sz w:val="17"/>
          <w:szCs w:val="17"/>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58" w:lineRule="exact"/>
        <w:rPr>
          <w:sz w:val="20"/>
          <w:szCs w:val="20"/>
          <w:color w:val="auto"/>
        </w:rPr>
      </w:pPr>
    </w:p>
    <w:p>
      <w:pPr>
        <w:ind w:right="300" w:firstLine="930"/>
        <w:spacing w:after="0" w:line="262" w:lineRule="auto"/>
        <w:rPr>
          <w:sz w:val="20"/>
          <w:szCs w:val="20"/>
          <w:color w:val="auto"/>
        </w:rPr>
      </w:pPr>
      <w:r>
        <w:rPr>
          <w:rFonts w:ascii="Times New Roman" w:cs="Times New Roman" w:eastAsia="Times New Roman" w:hAnsi="Times New Roman"/>
          <w:sz w:val="17"/>
          <w:szCs w:val="17"/>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Compensation and Indemnity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00" w:firstLine="930"/>
        <w:spacing w:after="0" w:line="258" w:lineRule="auto"/>
        <w:rPr>
          <w:sz w:val="20"/>
          <w:szCs w:val="20"/>
          <w:color w:val="auto"/>
        </w:rPr>
      </w:pPr>
      <w:r>
        <w:rPr>
          <w:rFonts w:ascii="Times New Roman" w:cs="Times New Roman" w:eastAsia="Times New Roman" w:hAnsi="Times New Roman"/>
          <w:sz w:val="17"/>
          <w:szCs w:val="17"/>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73" w:lineRule="exact"/>
        <w:rPr>
          <w:sz w:val="20"/>
          <w:szCs w:val="20"/>
          <w:color w:val="auto"/>
        </w:rPr>
      </w:pPr>
    </w:p>
    <w:p>
      <w:pPr>
        <w:ind w:firstLine="930"/>
        <w:spacing w:after="0" w:line="253" w:lineRule="auto"/>
        <w:rPr>
          <w:sz w:val="20"/>
          <w:szCs w:val="20"/>
          <w:color w:val="auto"/>
        </w:rPr>
      </w:pPr>
      <w:r>
        <w:rPr>
          <w:rFonts w:ascii="Times New Roman" w:cs="Times New Roman" w:eastAsia="Times New Roman" w:hAnsi="Times New Roman"/>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ind w:right="200" w:firstLine="930"/>
        <w:spacing w:after="0" w:line="276" w:lineRule="auto"/>
        <w:rPr>
          <w:sz w:val="20"/>
          <w:szCs w:val="20"/>
          <w:color w:val="auto"/>
        </w:rPr>
      </w:pPr>
      <w:r>
        <w:rPr>
          <w:rFonts w:ascii="Times New Roman" w:cs="Times New Roman" w:eastAsia="Times New Roman" w:hAnsi="Times New Roman"/>
          <w:sz w:val="17"/>
          <w:szCs w:val="17"/>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58" w:lineRule="exact"/>
        <w:rPr>
          <w:sz w:val="20"/>
          <w:szCs w:val="20"/>
          <w:color w:val="auto"/>
        </w:rPr>
      </w:pPr>
    </w:p>
    <w:p>
      <w:pPr>
        <w:ind w:right="60" w:firstLine="930"/>
        <w:spacing w:after="0" w:line="276" w:lineRule="auto"/>
        <w:rPr>
          <w:sz w:val="20"/>
          <w:szCs w:val="20"/>
          <w:color w:val="auto"/>
        </w:rPr>
      </w:pPr>
      <w:r>
        <w:rPr>
          <w:rFonts w:ascii="Times New Roman" w:cs="Times New Roman" w:eastAsia="Times New Roman" w:hAnsi="Times New Roman"/>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58" w:lineRule="exact"/>
        <w:rPr>
          <w:sz w:val="20"/>
          <w:szCs w:val="20"/>
          <w:color w:val="auto"/>
        </w:rPr>
      </w:pPr>
    </w:p>
    <w:p>
      <w:pPr>
        <w:ind w:right="780" w:firstLine="930"/>
        <w:spacing w:after="0" w:line="276" w:lineRule="auto"/>
        <w:rPr>
          <w:sz w:val="20"/>
          <w:szCs w:val="20"/>
          <w:color w:val="auto"/>
        </w:rPr>
      </w:pPr>
      <w:r>
        <w:rPr>
          <w:rFonts w:ascii="Times New Roman" w:cs="Times New Roman" w:eastAsia="Times New Roman" w:hAnsi="Times New Roman"/>
          <w:sz w:val="17"/>
          <w:szCs w:val="17"/>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4" w:name="page145"/>
    <w:bookmarkEnd w:id="144"/>
    <w:p>
      <w:pPr>
        <w:ind w:left="940"/>
        <w:spacing w:after="0"/>
        <w:rPr>
          <w:sz w:val="20"/>
          <w:szCs w:val="20"/>
          <w:color w:val="auto"/>
        </w:rPr>
      </w:pPr>
      <w:r>
        <w:rPr>
          <w:rFonts w:ascii="Times New Roman" w:cs="Times New Roman" w:eastAsia="Times New Roman" w:hAnsi="Times New Roman"/>
          <w:sz w:val="17"/>
          <w:szCs w:val="17"/>
          <w:color w:val="auto"/>
        </w:rPr>
        <w:t>The provisions of this Section shall survive the termination of this Indenture.</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7.8. </w:t>
      </w:r>
      <w:r>
        <w:rPr>
          <w:rFonts w:ascii="Times New Roman" w:cs="Times New Roman" w:eastAsia="Times New Roman" w:hAnsi="Times New Roman"/>
          <w:sz w:val="17"/>
          <w:szCs w:val="17"/>
          <w:u w:val="single" w:color="auto"/>
          <w:color w:val="auto"/>
        </w:rPr>
        <w:t>Replacement of Trustee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80" w:firstLine="930"/>
        <w:spacing w:after="0" w:line="276" w:lineRule="auto"/>
        <w:rPr>
          <w:sz w:val="20"/>
          <w:szCs w:val="20"/>
          <w:color w:val="auto"/>
        </w:rPr>
      </w:pPr>
      <w:r>
        <w:rPr>
          <w:rFonts w:ascii="Times New Roman" w:cs="Times New Roman" w:eastAsia="Times New Roman" w:hAnsi="Times New Roman"/>
          <w:sz w:val="17"/>
          <w:szCs w:val="17"/>
          <w:color w:val="auto"/>
        </w:rPr>
        <w:t>A resignation or removal of the Trustee and appointment of a successor Trustee shall become effective only upon the successor Trustee’s acceptance of appointment as provided in this Section.</w:t>
      </w:r>
    </w:p>
    <w:p>
      <w:pPr>
        <w:spacing w:after="0" w:line="158" w:lineRule="exact"/>
        <w:rPr>
          <w:sz w:val="20"/>
          <w:szCs w:val="20"/>
          <w:color w:val="auto"/>
        </w:rPr>
      </w:pPr>
    </w:p>
    <w:p>
      <w:pPr>
        <w:ind w:right="20" w:firstLine="930"/>
        <w:spacing w:after="0" w:line="262" w:lineRule="auto"/>
        <w:rPr>
          <w:sz w:val="20"/>
          <w:szCs w:val="20"/>
          <w:color w:val="auto"/>
        </w:rPr>
      </w:pPr>
      <w:r>
        <w:rPr>
          <w:rFonts w:ascii="Times New Roman" w:cs="Times New Roman" w:eastAsia="Times New Roman" w:hAnsi="Times New Roman"/>
          <w:sz w:val="17"/>
          <w:szCs w:val="17"/>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70" w:lineRule="exact"/>
        <w:rPr>
          <w:sz w:val="20"/>
          <w:szCs w:val="20"/>
          <w:color w:val="auto"/>
        </w:rPr>
      </w:pPr>
    </w:p>
    <w:p>
      <w:pPr>
        <w:ind w:left="640" w:hanging="225"/>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fails to comply with Section 7.10;</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209"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Custodian or public officer takes charge of the Trustee or its property; or</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becomes incapable of acting.</w:t>
      </w:r>
    </w:p>
    <w:p>
      <w:pPr>
        <w:spacing w:after="0" w:line="210" w:lineRule="exact"/>
        <w:rPr>
          <w:sz w:val="20"/>
          <w:szCs w:val="20"/>
          <w:color w:val="auto"/>
        </w:rPr>
      </w:pPr>
    </w:p>
    <w:p>
      <w:pPr>
        <w:jc w:val="both"/>
        <w:ind w:right="460" w:firstLine="930"/>
        <w:spacing w:after="0" w:line="262" w:lineRule="auto"/>
        <w:rPr>
          <w:sz w:val="20"/>
          <w:szCs w:val="20"/>
          <w:color w:val="auto"/>
        </w:rPr>
      </w:pPr>
      <w:r>
        <w:rPr>
          <w:rFonts w:ascii="Times New Roman" w:cs="Times New Roman" w:eastAsia="Times New Roman" w:hAnsi="Times New Roman"/>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70" w:lineRule="exact"/>
        <w:rPr>
          <w:sz w:val="20"/>
          <w:szCs w:val="20"/>
          <w:color w:val="auto"/>
        </w:rPr>
      </w:pPr>
    </w:p>
    <w:p>
      <w:pPr>
        <w:jc w:val="both"/>
        <w:ind w:right="120" w:firstLine="930"/>
        <w:spacing w:after="0" w:line="262" w:lineRule="auto"/>
        <w:rPr>
          <w:sz w:val="20"/>
          <w:szCs w:val="20"/>
          <w:color w:val="auto"/>
        </w:rPr>
      </w:pPr>
      <w:r>
        <w:rPr>
          <w:rFonts w:ascii="Times New Roman" w:cs="Times New Roman" w:eastAsia="Times New Roman" w:hAnsi="Times New Roman"/>
          <w:sz w:val="17"/>
          <w:szCs w:val="17"/>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70" w:lineRule="exact"/>
        <w:rPr>
          <w:sz w:val="20"/>
          <w:szCs w:val="20"/>
          <w:color w:val="auto"/>
        </w:rPr>
      </w:pPr>
    </w:p>
    <w:p>
      <w:pPr>
        <w:ind w:firstLine="930"/>
        <w:spacing w:after="0" w:line="253" w:lineRule="auto"/>
        <w:rPr>
          <w:sz w:val="20"/>
          <w:szCs w:val="20"/>
          <w:color w:val="auto"/>
        </w:rPr>
      </w:pPr>
      <w:r>
        <w:rPr>
          <w:rFonts w:ascii="Times New Roman" w:cs="Times New Roman" w:eastAsia="Times New Roman" w:hAnsi="Times New Roman"/>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5" w:name="page146"/>
    <w:bookmarkEnd w:id="145"/>
    <w:p>
      <w:pPr>
        <w:ind w:left="420"/>
        <w:spacing w:after="0"/>
        <w:rPr>
          <w:sz w:val="20"/>
          <w:szCs w:val="20"/>
          <w:color w:val="auto"/>
        </w:rPr>
      </w:pPr>
      <w:r>
        <w:rPr>
          <w:rFonts w:ascii="Times New Roman" w:cs="Times New Roman" w:eastAsia="Times New Roman" w:hAnsi="Times New Roman"/>
          <w:sz w:val="17"/>
          <w:szCs w:val="17"/>
          <w:color w:val="auto"/>
        </w:rPr>
        <w:t xml:space="preserve">Section 7.9. </w:t>
      </w:r>
      <w:r>
        <w:rPr>
          <w:rFonts w:ascii="Times New Roman" w:cs="Times New Roman" w:eastAsia="Times New Roman" w:hAnsi="Times New Roman"/>
          <w:sz w:val="17"/>
          <w:szCs w:val="17"/>
          <w:u w:val="single" w:color="auto"/>
          <w:color w:val="auto"/>
        </w:rPr>
        <w:t>Successor Trustee by Merger, Etc</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80" w:firstLine="930"/>
        <w:spacing w:after="0" w:line="276" w:lineRule="auto"/>
        <w:rPr>
          <w:sz w:val="20"/>
          <w:szCs w:val="20"/>
          <w:color w:val="auto"/>
        </w:rPr>
      </w:pPr>
      <w:r>
        <w:rPr>
          <w:rFonts w:ascii="Times New Roman" w:cs="Times New Roman" w:eastAsia="Times New Roman" w:hAnsi="Times New Roman"/>
          <w:sz w:val="17"/>
          <w:szCs w:val="17"/>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7.10. </w:t>
      </w:r>
      <w:r>
        <w:rPr>
          <w:rFonts w:ascii="Times New Roman" w:cs="Times New Roman" w:eastAsia="Times New Roman" w:hAnsi="Times New Roman"/>
          <w:sz w:val="17"/>
          <w:szCs w:val="17"/>
          <w:u w:val="single" w:color="auto"/>
          <w:color w:val="auto"/>
        </w:rPr>
        <w:t>Eligibility; Disqualification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80" w:firstLine="930"/>
        <w:spacing w:after="0" w:line="309" w:lineRule="auto"/>
        <w:rPr>
          <w:sz w:val="20"/>
          <w:szCs w:val="20"/>
          <w:color w:val="auto"/>
        </w:rPr>
      </w:pPr>
      <w:r>
        <w:rPr>
          <w:rFonts w:ascii="Times New Roman" w:cs="Times New Roman" w:eastAsia="Times New Roman" w:hAnsi="Times New Roman"/>
          <w:sz w:val="16"/>
          <w:szCs w:val="16"/>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u w:val="single" w:color="auto"/>
          <w:color w:val="auto"/>
        </w:rPr>
        <w:t>Preferential Collection of Claims Against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60" w:firstLine="930"/>
        <w:spacing w:after="0" w:line="276" w:lineRule="auto"/>
        <w:rPr>
          <w:sz w:val="20"/>
          <w:szCs w:val="20"/>
          <w:color w:val="auto"/>
        </w:rPr>
      </w:pPr>
      <w:r>
        <w:rPr>
          <w:rFonts w:ascii="Times New Roman" w:cs="Times New Roman" w:eastAsia="Times New Roman" w:hAnsi="Times New Roman"/>
          <w:sz w:val="17"/>
          <w:szCs w:val="17"/>
          <w:color w:val="auto"/>
        </w:rPr>
        <w:t>The Trustee is subject to TIA § 311(a), excluding any creditor relationship listed in TIA § 311(b). A Trustee who has resigned or been removed shall be subject to TIA § 311(a) to the extent indicated.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VIII.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SATISFACTION AND DISCHARGE; DEFEASANCE</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u w:val="single" w:color="auto"/>
          <w:color w:val="auto"/>
        </w:rPr>
        <w:t>Satisfaction and Discharge of Indenture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00" w:firstLine="930"/>
        <w:spacing w:after="0" w:line="262" w:lineRule="auto"/>
        <w:rPr>
          <w:sz w:val="20"/>
          <w:szCs w:val="20"/>
          <w:color w:val="auto"/>
        </w:rPr>
      </w:pPr>
      <w:r>
        <w:rPr>
          <w:rFonts w:ascii="Times New Roman" w:cs="Times New Roman" w:eastAsia="Times New Roman" w:hAnsi="Times New Roman"/>
          <w:sz w:val="17"/>
          <w:szCs w:val="17"/>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either</w:t>
      </w:r>
    </w:p>
    <w:p>
      <w:pPr>
        <w:spacing w:after="0" w:line="210" w:lineRule="exact"/>
        <w:rPr>
          <w:sz w:val="20"/>
          <w:szCs w:val="20"/>
          <w:color w:val="auto"/>
        </w:rPr>
      </w:pPr>
    </w:p>
    <w:p>
      <w:pPr>
        <w:ind w:firstLine="415"/>
        <w:spacing w:after="0" w:line="276" w:lineRule="auto"/>
        <w:tabs>
          <w:tab w:leader="none" w:pos="615"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such Securities of such Series not theretofore delivered to the Trustee for cancellation</w:t>
      </w:r>
    </w:p>
    <w:p>
      <w:pPr>
        <w:spacing w:after="0" w:line="210" w:lineRule="exact"/>
        <w:rPr>
          <w:sz w:val="20"/>
          <w:szCs w:val="20"/>
          <w:color w:val="auto"/>
        </w:rPr>
      </w:pPr>
    </w:p>
    <w:p>
      <w:pPr>
        <w:ind w:left="660" w:hanging="245"/>
        <w:spacing w:after="0"/>
        <w:tabs>
          <w:tab w:leader="none" w:pos="6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become due and payable by reason of sending a notice of redemption or otherwise, or</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 become due and payable at their Stated Maturity within one year, or</w:t>
      </w:r>
    </w:p>
    <w:p>
      <w:pPr>
        <w:spacing w:after="0" w:line="209" w:lineRule="exact"/>
        <w:rPr>
          <w:rFonts w:ascii="Times New Roman" w:cs="Times New Roman" w:eastAsia="Times New Roman" w:hAnsi="Times New Roman"/>
          <w:sz w:val="17"/>
          <w:szCs w:val="17"/>
          <w:color w:val="auto"/>
        </w:rPr>
      </w:pPr>
    </w:p>
    <w:p>
      <w:pPr>
        <w:ind w:right="80" w:firstLine="415"/>
        <w:spacing w:after="0" w:line="276" w:lineRule="auto"/>
        <w:tabs>
          <w:tab w:leader="none" w:pos="652"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are deemed paid and discharged pursuant to Section 8.3, as applicable;</w:t>
      </w:r>
    </w:p>
    <w:p>
      <w:pPr>
        <w:spacing w:after="0" w:line="21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7"/>
          <w:szCs w:val="17"/>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6" w:name="page147"/>
    <w:bookmarkEnd w:id="146"/>
    <w:p>
      <w:pPr>
        <w:ind w:left="660" w:hanging="245"/>
        <w:spacing w:after="0"/>
        <w:tabs>
          <w:tab w:leader="none" w:pos="66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paid or caused to be paid all other sums payable hereunder by the Company; and</w:t>
      </w:r>
    </w:p>
    <w:p>
      <w:pPr>
        <w:spacing w:after="0" w:line="209" w:lineRule="exact"/>
        <w:rPr>
          <w:rFonts w:ascii="Times New Roman" w:cs="Times New Roman" w:eastAsia="Times New Roman" w:hAnsi="Times New Roman"/>
          <w:sz w:val="17"/>
          <w:szCs w:val="17"/>
          <w:color w:val="auto"/>
        </w:rPr>
      </w:pPr>
    </w:p>
    <w:p>
      <w:pPr>
        <w:ind w:right="160" w:firstLine="415"/>
        <w:spacing w:after="0" w:line="276" w:lineRule="auto"/>
        <w:tabs>
          <w:tab w:leader="none" w:pos="643"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58" w:lineRule="exact"/>
        <w:rPr>
          <w:sz w:val="20"/>
          <w:szCs w:val="20"/>
          <w:color w:val="auto"/>
        </w:rPr>
      </w:pPr>
    </w:p>
    <w:p>
      <w:pPr>
        <w:ind w:right="220" w:firstLine="930"/>
        <w:spacing w:after="0" w:line="276" w:lineRule="auto"/>
        <w:rPr>
          <w:sz w:val="20"/>
          <w:szCs w:val="20"/>
          <w:color w:val="auto"/>
        </w:rPr>
      </w:pPr>
      <w:r>
        <w:rPr>
          <w:rFonts w:ascii="Times New Roman" w:cs="Times New Roman" w:eastAsia="Times New Roman" w:hAnsi="Times New Roman"/>
          <w:sz w:val="17"/>
          <w:szCs w:val="17"/>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Application of Trust Funds; Indemnification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20" w:firstLine="415"/>
        <w:spacing w:after="0" w:line="254" w:lineRule="auto"/>
        <w:tabs>
          <w:tab w:leader="none" w:pos="643"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77" w:lineRule="exact"/>
        <w:rPr>
          <w:rFonts w:ascii="Times New Roman" w:cs="Times New Roman" w:eastAsia="Times New Roman" w:hAnsi="Times New Roman"/>
          <w:sz w:val="17"/>
          <w:szCs w:val="17"/>
          <w:color w:val="auto"/>
        </w:rPr>
      </w:pPr>
    </w:p>
    <w:p>
      <w:pPr>
        <w:ind w:right="20" w:firstLine="415"/>
        <w:spacing w:after="0" w:line="262" w:lineRule="auto"/>
        <w:tabs>
          <w:tab w:leader="none" w:pos="652"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70" w:lineRule="exact"/>
        <w:rPr>
          <w:rFonts w:ascii="Times New Roman" w:cs="Times New Roman" w:eastAsia="Times New Roman" w:hAnsi="Times New Roman"/>
          <w:sz w:val="17"/>
          <w:szCs w:val="17"/>
          <w:color w:val="auto"/>
        </w:rPr>
      </w:pPr>
    </w:p>
    <w:p>
      <w:pPr>
        <w:ind w:right="40" w:firstLine="415"/>
        <w:spacing w:after="0" w:line="255" w:lineRule="auto"/>
        <w:tabs>
          <w:tab w:leader="none" w:pos="643"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u w:val="single" w:color="auto"/>
          <w:color w:val="auto"/>
        </w:rPr>
        <w:t>Legal Defeasance of Securities of any Series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0" w:firstLine="930"/>
        <w:spacing w:after="0" w:line="258" w:lineRule="auto"/>
        <w:rPr>
          <w:sz w:val="20"/>
          <w:szCs w:val="20"/>
          <w:color w:val="auto"/>
        </w:rPr>
      </w:pPr>
      <w:r>
        <w:rPr>
          <w:rFonts w:ascii="Times New Roman" w:cs="Times New Roman" w:eastAsia="Times New Roman" w:hAnsi="Times New Roman"/>
          <w:sz w:val="17"/>
          <w:szCs w:val="17"/>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73" w:lineRule="exact"/>
        <w:rPr>
          <w:sz w:val="20"/>
          <w:szCs w:val="20"/>
          <w:color w:val="auto"/>
        </w:rPr>
      </w:pPr>
    </w:p>
    <w:p>
      <w:pPr>
        <w:ind w:firstLine="415"/>
        <w:spacing w:after="0" w:line="258" w:lineRule="auto"/>
        <w:tabs>
          <w:tab w:leader="none" w:pos="643"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72"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of Sections 2.4, 2.5, 2.7, 2.8, 7.7, 8.2, 8.3, 8.5 and 8.6; and</w:t>
      </w:r>
    </w:p>
    <w:p>
      <w:pPr>
        <w:spacing w:after="0" w:line="209"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powers, trusts and immunities of the Trustee hereunder and the Company’s obligations in connection therewith;</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t>provided that, the following conditions shall have been satisfied:</w:t>
      </w:r>
    </w:p>
    <w:p>
      <w:pPr>
        <w:spacing w:after="0" w:line="210" w:lineRule="exact"/>
        <w:rPr>
          <w:sz w:val="20"/>
          <w:szCs w:val="20"/>
          <w:color w:val="auto"/>
        </w:rPr>
      </w:pPr>
    </w:p>
    <w:p>
      <w:pPr>
        <w:ind w:right="80" w:firstLine="415"/>
        <w:spacing w:after="0" w:line="252" w:lineRule="auto"/>
        <w:tabs>
          <w:tab w:leader="none" w:pos="65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81" w:lineRule="exact"/>
        <w:rPr>
          <w:rFonts w:ascii="Times New Roman" w:cs="Times New Roman" w:eastAsia="Times New Roman" w:hAnsi="Times New Roman"/>
          <w:sz w:val="17"/>
          <w:szCs w:val="17"/>
          <w:color w:val="auto"/>
        </w:rPr>
      </w:pPr>
    </w:p>
    <w:p>
      <w:pPr>
        <w:ind w:right="580" w:firstLine="415"/>
        <w:spacing w:after="0" w:line="276" w:lineRule="auto"/>
        <w:tabs>
          <w:tab w:leader="none" w:pos="643"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deposit will not result in a breach or violation of, or constitute a default under, this Indenture or any other agreement or instrument to which the Company is a party or by which it is bound;</w:t>
      </w:r>
    </w:p>
    <w:p>
      <w:pPr>
        <w:spacing w:after="0" w:line="158" w:lineRule="exact"/>
        <w:rPr>
          <w:rFonts w:ascii="Times New Roman" w:cs="Times New Roman" w:eastAsia="Times New Roman" w:hAnsi="Times New Roman"/>
          <w:sz w:val="17"/>
          <w:szCs w:val="17"/>
          <w:color w:val="auto"/>
        </w:rPr>
      </w:pPr>
    </w:p>
    <w:p>
      <w:pPr>
        <w:ind w:right="200" w:firstLine="415"/>
        <w:spacing w:after="0" w:line="276" w:lineRule="auto"/>
        <w:tabs>
          <w:tab w:leader="none" w:pos="624"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Securities of such Series shall have occurred and be continuing on the date of such deposit or during the period ending on the 91st day after such date;</w:t>
      </w:r>
    </w:p>
    <w:p>
      <w:pPr>
        <w:spacing w:after="0" w:line="158" w:lineRule="exact"/>
        <w:rPr>
          <w:rFonts w:ascii="Times New Roman" w:cs="Times New Roman" w:eastAsia="Times New Roman" w:hAnsi="Times New Roman"/>
          <w:sz w:val="17"/>
          <w:szCs w:val="17"/>
          <w:color w:val="auto"/>
        </w:rPr>
      </w:pPr>
    </w:p>
    <w:p>
      <w:pPr>
        <w:ind w:firstLine="415"/>
        <w:spacing w:after="0" w:line="255" w:lineRule="auto"/>
        <w:tabs>
          <w:tab w:leader="none" w:pos="65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77" w:lineRule="exact"/>
        <w:rPr>
          <w:rFonts w:ascii="Times New Roman" w:cs="Times New Roman" w:eastAsia="Times New Roman" w:hAnsi="Times New Roman"/>
          <w:sz w:val="17"/>
          <w:szCs w:val="17"/>
          <w:color w:val="auto"/>
        </w:rPr>
      </w:pPr>
    </w:p>
    <w:p>
      <w:pPr>
        <w:ind w:right="120" w:firstLine="415"/>
        <w:spacing w:after="0" w:line="276" w:lineRule="auto"/>
        <w:tabs>
          <w:tab w:leader="none" w:pos="652"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58" w:lineRule="exact"/>
        <w:rPr>
          <w:rFonts w:ascii="Times New Roman" w:cs="Times New Roman" w:eastAsia="Times New Roman" w:hAnsi="Times New Roman"/>
          <w:sz w:val="17"/>
          <w:szCs w:val="17"/>
          <w:color w:val="auto"/>
        </w:rPr>
      </w:pPr>
    </w:p>
    <w:p>
      <w:pPr>
        <w:ind w:right="180" w:firstLine="415"/>
        <w:spacing w:after="0" w:line="276" w:lineRule="auto"/>
        <w:tabs>
          <w:tab w:leader="none" w:pos="615"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2" w:lineRule="auto"/>
        <w:rPr>
          <w:sz w:val="20"/>
          <w:szCs w:val="20"/>
          <w:color w:val="auto"/>
        </w:rPr>
      </w:pPr>
      <w:r>
        <w:rPr>
          <w:rFonts w:ascii="Times New Roman" w:cs="Times New Roman" w:eastAsia="Times New Roman" w:hAnsi="Times New Roman"/>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82" w:lineRule="exact"/>
        <w:rPr>
          <w:sz w:val="20"/>
          <w:szCs w:val="20"/>
          <w:color w:val="auto"/>
        </w:rPr>
      </w:pPr>
    </w:p>
    <w:p>
      <w:pPr>
        <w:ind w:firstLine="415"/>
        <w:spacing w:after="0" w:line="252" w:lineRule="auto"/>
        <w:tabs>
          <w:tab w:leader="none" w:pos="643"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8" w:name="page149"/>
    <w:bookmarkEnd w:id="148"/>
    <w:p>
      <w:pPr>
        <w:ind w:right="540" w:firstLine="415"/>
        <w:spacing w:after="0" w:line="276" w:lineRule="auto"/>
        <w:tabs>
          <w:tab w:leader="none" w:pos="652"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deposit will not result in a breach or violation of, or constitute a default under, this Indenture or any other agreement or instrument to which the Company is a party or by which it is bound;</w:t>
      </w:r>
    </w:p>
    <w:p>
      <w:pPr>
        <w:spacing w:after="0" w:line="158"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Default or Event of Default with respect to the Securities of such Series shall have occurred and be continuing on the date of such deposit;</w:t>
      </w:r>
    </w:p>
    <w:p>
      <w:pPr>
        <w:spacing w:after="0" w:line="209" w:lineRule="exact"/>
        <w:rPr>
          <w:rFonts w:ascii="Times New Roman" w:cs="Times New Roman" w:eastAsia="Times New Roman" w:hAnsi="Times New Roman"/>
          <w:sz w:val="17"/>
          <w:szCs w:val="17"/>
          <w:color w:val="auto"/>
        </w:rPr>
      </w:pPr>
    </w:p>
    <w:p>
      <w:pPr>
        <w:ind w:right="20" w:firstLine="415"/>
        <w:spacing w:after="0" w:line="286" w:lineRule="auto"/>
        <w:tabs>
          <w:tab w:leader="none" w:pos="652"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52" w:lineRule="exact"/>
        <w:rPr>
          <w:rFonts w:ascii="Times New Roman" w:cs="Times New Roman" w:eastAsia="Times New Roman" w:hAnsi="Times New Roman"/>
          <w:sz w:val="16"/>
          <w:szCs w:val="16"/>
          <w:color w:val="auto"/>
        </w:rPr>
      </w:pPr>
    </w:p>
    <w:p>
      <w:pPr>
        <w:ind w:right="340" w:firstLine="415"/>
        <w:spacing w:after="0" w:line="276" w:lineRule="auto"/>
        <w:tabs>
          <w:tab w:leader="none" w:pos="643"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58" w:lineRule="exact"/>
        <w:rPr>
          <w:rFonts w:ascii="Times New Roman" w:cs="Times New Roman" w:eastAsia="Times New Roman" w:hAnsi="Times New Roman"/>
          <w:sz w:val="17"/>
          <w:szCs w:val="17"/>
          <w:color w:val="auto"/>
        </w:rPr>
      </w:pPr>
    </w:p>
    <w:p>
      <w:pPr>
        <w:ind w:right="520" w:firstLine="415"/>
        <w:spacing w:after="0" w:line="276" w:lineRule="auto"/>
        <w:tabs>
          <w:tab w:leader="none" w:pos="624"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Repayment to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62" w:lineRule="auto"/>
        <w:rPr>
          <w:sz w:val="20"/>
          <w:szCs w:val="20"/>
          <w:color w:val="auto"/>
        </w:rPr>
      </w:pPr>
      <w:r>
        <w:rPr>
          <w:rFonts w:ascii="Times New Roman" w:cs="Times New Roman" w:eastAsia="Times New Roman" w:hAnsi="Times New Roman"/>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u w:val="single" w:color="auto"/>
          <w:color w:val="auto"/>
        </w:rPr>
        <w:t>Reinstatement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60" w:firstLine="930"/>
        <w:spacing w:after="0" w:line="253" w:lineRule="auto"/>
        <w:rPr>
          <w:sz w:val="20"/>
          <w:szCs w:val="20"/>
          <w:color w:val="auto"/>
        </w:rPr>
      </w:pPr>
      <w:r>
        <w:rPr>
          <w:rFonts w:ascii="Times New Roman" w:cs="Times New Roman" w:eastAsia="Times New Roman" w:hAnsi="Times New Roman"/>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Company has made any payment of principal of or interest on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ARTICLE IX.</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AMENDMENTS AND WAIVERS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Without Consent of Holders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The Company and the Trustee may amend or supplement this Indenture or the Securities of one or more Series without the consent of 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Securityholder:</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 to cure any ambiguity, defect or inconsistency;</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49" w:name="page150"/>
    <w:bookmarkEnd w:id="149"/>
    <w:p>
      <w:pPr>
        <w:ind w:left="660" w:hanging="245"/>
        <w:spacing w:after="0"/>
        <w:tabs>
          <w:tab w:leader="none" w:pos="6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Article V;</w:t>
      </w:r>
    </w:p>
    <w:p>
      <w:pPr>
        <w:spacing w:after="0" w:line="209"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uncertificated Securities in addition to or in place of certificated Securities;</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guarantees with respect to Securities of any Series or secure Securities of any Series;</w:t>
      </w:r>
    </w:p>
    <w:p>
      <w:pPr>
        <w:spacing w:after="0" w:line="209" w:lineRule="exact"/>
        <w:rPr>
          <w:rFonts w:ascii="Times New Roman" w:cs="Times New Roman" w:eastAsia="Times New Roman" w:hAnsi="Times New Roman"/>
          <w:sz w:val="17"/>
          <w:szCs w:val="17"/>
          <w:color w:val="auto"/>
        </w:rPr>
      </w:pPr>
    </w:p>
    <w:p>
      <w:pPr>
        <w:ind w:left="640" w:hanging="225"/>
        <w:spacing w:after="0"/>
        <w:tabs>
          <w:tab w:leader="none" w:pos="64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surrender any of the Company’s rights or powers under this Indenture;</w:t>
      </w:r>
    </w:p>
    <w:p>
      <w:pPr>
        <w:spacing w:after="0" w:line="209" w:lineRule="exact"/>
        <w:rPr>
          <w:rFonts w:ascii="Times New Roman" w:cs="Times New Roman" w:eastAsia="Times New Roman" w:hAnsi="Times New Roman"/>
          <w:sz w:val="17"/>
          <w:szCs w:val="17"/>
          <w:color w:val="auto"/>
        </w:rPr>
      </w:pPr>
    </w:p>
    <w:p>
      <w:pPr>
        <w:ind w:left="620" w:hanging="205"/>
        <w:spacing w:after="0"/>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covenants or events of default for the benefit of the holders of Securities of any Series;</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applicable procedures of the applicable depositary;</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Securityholder;</w:t>
      </w:r>
    </w:p>
    <w:p>
      <w:pPr>
        <w:spacing w:after="0" w:line="209" w:lineRule="exact"/>
        <w:rPr>
          <w:rFonts w:ascii="Times New Roman" w:cs="Times New Roman" w:eastAsia="Times New Roman" w:hAnsi="Times New Roman"/>
          <w:sz w:val="17"/>
          <w:szCs w:val="17"/>
          <w:color w:val="auto"/>
        </w:rPr>
      </w:pPr>
    </w:p>
    <w:p>
      <w:pPr>
        <w:ind w:left="620" w:hanging="205"/>
        <w:spacing w:after="0"/>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the issuance of and establish the form and terms and conditions of Securities of any Series as permitted by this Indenture;</w:t>
      </w:r>
    </w:p>
    <w:p>
      <w:pPr>
        <w:spacing w:after="0" w:line="209" w:lineRule="exact"/>
        <w:rPr>
          <w:rFonts w:ascii="Times New Roman" w:cs="Times New Roman" w:eastAsia="Times New Roman" w:hAnsi="Times New Roman"/>
          <w:sz w:val="17"/>
          <w:szCs w:val="17"/>
          <w:color w:val="auto"/>
        </w:rPr>
      </w:pPr>
    </w:p>
    <w:p>
      <w:pPr>
        <w:ind w:right="160" w:firstLine="415"/>
        <w:spacing w:after="0" w:line="262" w:lineRule="auto"/>
        <w:tabs>
          <w:tab w:leader="none" w:pos="61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70"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requirements of the SEC in order to effect or maintain the qualification of this Indenture under the TIA.</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With Consent of Holders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0" w:firstLine="930"/>
        <w:spacing w:after="0" w:line="253" w:lineRule="auto"/>
        <w:rPr>
          <w:sz w:val="20"/>
          <w:szCs w:val="20"/>
          <w:color w:val="auto"/>
        </w:rPr>
      </w:pPr>
      <w:r>
        <w:rPr>
          <w:rFonts w:ascii="Times New Roman" w:cs="Times New Roman" w:eastAsia="Times New Roman" w:hAnsi="Times New Roman"/>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8" w:lineRule="exact"/>
        <w:rPr>
          <w:sz w:val="20"/>
          <w:szCs w:val="20"/>
          <w:color w:val="auto"/>
        </w:rPr>
      </w:pPr>
    </w:p>
    <w:p>
      <w:pPr>
        <w:ind w:right="100" w:firstLine="930"/>
        <w:spacing w:after="0" w:line="279" w:lineRule="auto"/>
        <w:rPr>
          <w:sz w:val="20"/>
          <w:szCs w:val="20"/>
          <w:color w:val="auto"/>
        </w:rPr>
      </w:pPr>
      <w:r>
        <w:rPr>
          <w:rFonts w:ascii="Times New Roman" w:cs="Times New Roman" w:eastAsia="Times New Roman" w:hAnsi="Times New Roman"/>
          <w:sz w:val="16"/>
          <w:szCs w:val="16"/>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Limitations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Without the consent of each Securityholder affected, an amendment or waiver may not:</w:t>
      </w:r>
    </w:p>
    <w:p>
      <w:pPr>
        <w:spacing w:after="0" w:line="210" w:lineRule="exact"/>
        <w:rPr>
          <w:sz w:val="20"/>
          <w:szCs w:val="20"/>
          <w:color w:val="auto"/>
        </w:rPr>
      </w:pPr>
    </w:p>
    <w:p>
      <w:pPr>
        <w:ind w:left="640" w:hanging="225"/>
        <w:spacing w:after="0"/>
        <w:tabs>
          <w:tab w:leader="none" w:pos="64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Securities whose Holders must consent to an amendment, supplement or waiver;</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of or extend the time for payment of interest (including default interest) on any Security;</w:t>
      </w:r>
    </w:p>
    <w:p>
      <w:pPr>
        <w:spacing w:after="0" w:line="209" w:lineRule="exact"/>
        <w:rPr>
          <w:rFonts w:ascii="Times New Roman" w:cs="Times New Roman" w:eastAsia="Times New Roman" w:hAnsi="Times New Roman"/>
          <w:sz w:val="17"/>
          <w:szCs w:val="17"/>
          <w:color w:val="auto"/>
        </w:rPr>
      </w:pPr>
    </w:p>
    <w:p>
      <w:pPr>
        <w:ind w:right="140" w:firstLine="415"/>
        <w:spacing w:after="0" w:line="276" w:lineRule="auto"/>
        <w:tabs>
          <w:tab w:leader="none" w:pos="64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or change the Stated Maturity of any Security or reduce the amount of, or postpone the date fixed for, the payment of any sinking fund or analogous obligation;</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Discount Securities payable upon acceleration of the maturity thereof;</w:t>
      </w:r>
    </w:p>
    <w:p>
      <w:pPr>
        <w:spacing w:after="0" w:line="209" w:lineRule="exact"/>
        <w:rPr>
          <w:rFonts w:ascii="Times New Roman" w:cs="Times New Roman" w:eastAsia="Times New Roman" w:hAnsi="Times New Roman"/>
          <w:sz w:val="17"/>
          <w:szCs w:val="17"/>
          <w:color w:val="auto"/>
        </w:rPr>
      </w:pPr>
    </w:p>
    <w:p>
      <w:pPr>
        <w:ind w:firstLine="415"/>
        <w:spacing w:after="0" w:line="262" w:lineRule="auto"/>
        <w:tabs>
          <w:tab w:leader="none" w:pos="643"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0" w:name="page151"/>
    <w:bookmarkEnd w:id="150"/>
    <w:p>
      <w:pPr>
        <w:ind w:left="620" w:hanging="205"/>
        <w:spacing w:after="0"/>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the principal of or interest, if any, on any Security payable in any currency other than that stated in the Security;</w:t>
      </w:r>
    </w:p>
    <w:p>
      <w:pPr>
        <w:spacing w:after="0" w:line="209"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any change in Sections 6.8, 6.13 or 9.3 (this sentence); or</w:t>
      </w:r>
    </w:p>
    <w:p>
      <w:pPr>
        <w:spacing w:after="0" w:line="209" w:lineRule="exact"/>
        <w:rPr>
          <w:rFonts w:ascii="Times New Roman" w:cs="Times New Roman" w:eastAsia="Times New Roman" w:hAnsi="Times New Roman"/>
          <w:sz w:val="17"/>
          <w:szCs w:val="17"/>
          <w:color w:val="auto"/>
        </w:rPr>
      </w:pPr>
    </w:p>
    <w:p>
      <w:pPr>
        <w:ind w:left="420" w:right="2180" w:hanging="5"/>
        <w:spacing w:after="0" w:line="497" w:lineRule="auto"/>
        <w:tabs>
          <w:tab w:leader="none" w:pos="659"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waive a redemption payment with respect to any Security, provided that such redemption is made at the Company’s option. Section 9.4. </w:t>
      </w:r>
      <w:r>
        <w:rPr>
          <w:rFonts w:ascii="Times New Roman" w:cs="Times New Roman" w:eastAsia="Times New Roman" w:hAnsi="Times New Roman"/>
          <w:sz w:val="17"/>
          <w:szCs w:val="17"/>
          <w:u w:val="single" w:color="auto"/>
          <w:color w:val="auto"/>
        </w:rPr>
        <w:t>Compliance with Trust Indenture Act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120" w:firstLine="930"/>
        <w:spacing w:after="0" w:line="276" w:lineRule="auto"/>
        <w:rPr>
          <w:sz w:val="20"/>
          <w:szCs w:val="20"/>
          <w:color w:val="auto"/>
        </w:rPr>
      </w:pPr>
      <w:r>
        <w:rPr>
          <w:rFonts w:ascii="Times New Roman" w:cs="Times New Roman" w:eastAsia="Times New Roman" w:hAnsi="Times New Roman"/>
          <w:sz w:val="17"/>
          <w:szCs w:val="17"/>
          <w:color w:val="auto"/>
        </w:rPr>
        <w:t>Every amendment to this Indenture or the Securities of one or more Series shall be set forth in a supplemental indenture hereto that complies with the TIA as then in effect.</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9.5. </w:t>
      </w:r>
      <w:r>
        <w:rPr>
          <w:rFonts w:ascii="Times New Roman" w:cs="Times New Roman" w:eastAsia="Times New Roman" w:hAnsi="Times New Roman"/>
          <w:sz w:val="17"/>
          <w:szCs w:val="17"/>
          <w:u w:val="single" w:color="auto"/>
          <w:color w:val="auto"/>
        </w:rPr>
        <w:t>Revocation and Effect of Consents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80" w:firstLine="930"/>
        <w:spacing w:after="0" w:line="258" w:lineRule="auto"/>
        <w:rPr>
          <w:sz w:val="20"/>
          <w:szCs w:val="20"/>
          <w:color w:val="auto"/>
        </w:rPr>
      </w:pPr>
      <w:r>
        <w:rPr>
          <w:rFonts w:ascii="Times New Roman" w:cs="Times New Roman" w:eastAsia="Times New Roman" w:hAnsi="Times New Roman"/>
          <w:sz w:val="17"/>
          <w:szCs w:val="17"/>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73" w:lineRule="exact"/>
        <w:rPr>
          <w:sz w:val="20"/>
          <w:szCs w:val="20"/>
          <w:color w:val="auto"/>
        </w:rPr>
      </w:pPr>
    </w:p>
    <w:p>
      <w:pPr>
        <w:ind w:right="100" w:firstLine="930"/>
        <w:spacing w:after="0" w:line="262" w:lineRule="auto"/>
        <w:rPr>
          <w:sz w:val="20"/>
          <w:szCs w:val="20"/>
          <w:color w:val="auto"/>
        </w:rPr>
      </w:pPr>
      <w:r>
        <w:rPr>
          <w:rFonts w:ascii="Times New Roman" w:cs="Times New Roman" w:eastAsia="Times New Roman" w:hAnsi="Times New Roman"/>
          <w:sz w:val="17"/>
          <w:szCs w:val="17"/>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70" w:lineRule="exact"/>
        <w:rPr>
          <w:sz w:val="20"/>
          <w:szCs w:val="20"/>
          <w:color w:val="auto"/>
        </w:rPr>
      </w:pPr>
    </w:p>
    <w:p>
      <w:pPr>
        <w:ind w:right="100" w:firstLine="930"/>
        <w:spacing w:after="0" w:line="255" w:lineRule="auto"/>
        <w:rPr>
          <w:sz w:val="20"/>
          <w:szCs w:val="20"/>
          <w:color w:val="auto"/>
        </w:rPr>
      </w:pPr>
      <w:r>
        <w:rPr>
          <w:rFonts w:ascii="Times New Roman" w:cs="Times New Roman" w:eastAsia="Times New Roman" w:hAnsi="Times New Roman"/>
          <w:sz w:val="17"/>
          <w:szCs w:val="17"/>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9.6. </w:t>
      </w:r>
      <w:r>
        <w:rPr>
          <w:rFonts w:ascii="Times New Roman" w:cs="Times New Roman" w:eastAsia="Times New Roman" w:hAnsi="Times New Roman"/>
          <w:sz w:val="17"/>
          <w:szCs w:val="17"/>
          <w:u w:val="single" w:color="auto"/>
          <w:color w:val="auto"/>
        </w:rPr>
        <w:t>Notation on or Exchange of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62" w:lineRule="auto"/>
        <w:rPr>
          <w:sz w:val="20"/>
          <w:szCs w:val="20"/>
          <w:color w:val="auto"/>
        </w:rPr>
      </w:pPr>
      <w:r>
        <w:rPr>
          <w:rFonts w:ascii="Times New Roman" w:cs="Times New Roman" w:eastAsia="Times New Roman" w:hAnsi="Times New Roman"/>
          <w:sz w:val="17"/>
          <w:szCs w:val="17"/>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3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51" w:name="page152"/>
    <w:bookmarkEnd w:id="151"/>
    <w:p>
      <w:pPr>
        <w:ind w:left="420"/>
        <w:spacing w:after="0"/>
        <w:rPr>
          <w:sz w:val="20"/>
          <w:szCs w:val="20"/>
          <w:color w:val="auto"/>
        </w:rPr>
      </w:pPr>
      <w:r>
        <w:rPr>
          <w:rFonts w:ascii="Times New Roman" w:cs="Times New Roman" w:eastAsia="Times New Roman" w:hAnsi="Times New Roman"/>
          <w:sz w:val="17"/>
          <w:szCs w:val="17"/>
          <w:color w:val="auto"/>
        </w:rPr>
        <w:t xml:space="preserve">Section 9.7. </w:t>
      </w:r>
      <w:r>
        <w:rPr>
          <w:rFonts w:ascii="Times New Roman" w:cs="Times New Roman" w:eastAsia="Times New Roman" w:hAnsi="Times New Roman"/>
          <w:sz w:val="17"/>
          <w:szCs w:val="17"/>
          <w:u w:val="single" w:color="auto"/>
          <w:color w:val="auto"/>
        </w:rPr>
        <w:t>Trustee Protected</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5" w:lineRule="auto"/>
        <w:rPr>
          <w:sz w:val="20"/>
          <w:szCs w:val="20"/>
          <w:color w:val="auto"/>
        </w:rPr>
      </w:pPr>
      <w:r>
        <w:rPr>
          <w:rFonts w:ascii="Times New Roman" w:cs="Times New Roman" w:eastAsia="Times New Roman" w:hAnsi="Times New Roman"/>
          <w:sz w:val="17"/>
          <w:szCs w:val="17"/>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X.</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MISCELLANEOUS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u w:val="single" w:color="auto"/>
          <w:color w:val="auto"/>
        </w:rPr>
        <w:t>Trust Indenture Act Controls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20" w:firstLine="930"/>
        <w:spacing w:after="0" w:line="276" w:lineRule="auto"/>
        <w:rPr>
          <w:sz w:val="20"/>
          <w:szCs w:val="20"/>
          <w:color w:val="auto"/>
        </w:rPr>
      </w:pPr>
      <w:r>
        <w:rPr>
          <w:rFonts w:ascii="Times New Roman" w:cs="Times New Roman" w:eastAsia="Times New Roman" w:hAnsi="Times New Roman"/>
          <w:sz w:val="17"/>
          <w:szCs w:val="17"/>
          <w:color w:val="auto"/>
        </w:rPr>
        <w:t>If any provision of this Indenture limits, qualifies, or conflicts with another provision which is required or deemed to be included in this Indenture by the TIA, such required or deemed provision shall control.</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jc w:val="both"/>
        <w:ind w:right="80" w:firstLine="930"/>
        <w:spacing w:after="0" w:line="262" w:lineRule="auto"/>
        <w:rPr>
          <w:sz w:val="20"/>
          <w:szCs w:val="20"/>
          <w:color w:val="auto"/>
        </w:rPr>
      </w:pPr>
      <w:r>
        <w:rPr>
          <w:rFonts w:ascii="Times New Roman" w:cs="Times New Roman" w:eastAsia="Times New Roman" w:hAnsi="Times New Roman"/>
          <w:sz w:val="17"/>
          <w:szCs w:val="17"/>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7495 New Horizon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Frederick, MD 21703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President and Chief Executive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Covington &amp; Burling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One International Place, Suite 1020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 02110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Brian K. Rosenzweig; Sarah C. Griffiths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to the Trustee: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[____]</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a copy to:</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[____]</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Telephone: [____]</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2" w:name="page153"/>
    <w:bookmarkEnd w:id="152"/>
    <w:p>
      <w:pPr>
        <w:ind w:left="940"/>
        <w:spacing w:after="0"/>
        <w:rPr>
          <w:sz w:val="20"/>
          <w:szCs w:val="20"/>
          <w:color w:val="auto"/>
        </w:rPr>
      </w:pPr>
      <w:r>
        <w:rPr>
          <w:rFonts w:ascii="Times New Roman" w:cs="Times New Roman" w:eastAsia="Times New Roman" w:hAnsi="Times New Roman"/>
          <w:sz w:val="17"/>
          <w:szCs w:val="17"/>
          <w:color w:val="auto"/>
        </w:rPr>
        <w:t>The Company or the Trustee by notice to the other may designate additional or different addresses for subsequent notices or communications.</w:t>
      </w:r>
    </w:p>
    <w:p>
      <w:pPr>
        <w:spacing w:after="0" w:line="210" w:lineRule="exact"/>
        <w:rPr>
          <w:sz w:val="20"/>
          <w:szCs w:val="20"/>
          <w:color w:val="auto"/>
        </w:rPr>
      </w:pPr>
    </w:p>
    <w:p>
      <w:pPr>
        <w:jc w:val="both"/>
        <w:ind w:firstLine="930"/>
        <w:spacing w:after="0" w:line="262" w:lineRule="auto"/>
        <w:rPr>
          <w:sz w:val="20"/>
          <w:szCs w:val="20"/>
          <w:color w:val="auto"/>
        </w:rPr>
      </w:pPr>
      <w:r>
        <w:rPr>
          <w:rFonts w:ascii="Times New Roman" w:cs="Times New Roman" w:eastAsia="Times New Roman" w:hAnsi="Times New Roman"/>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70" w:lineRule="exact"/>
        <w:rPr>
          <w:sz w:val="20"/>
          <w:szCs w:val="20"/>
          <w:color w:val="auto"/>
        </w:rPr>
      </w:pPr>
    </w:p>
    <w:p>
      <w:pPr>
        <w:ind w:right="680" w:firstLine="930"/>
        <w:spacing w:after="0" w:line="276" w:lineRule="auto"/>
        <w:rPr>
          <w:sz w:val="20"/>
          <w:szCs w:val="20"/>
          <w:color w:val="auto"/>
        </w:rPr>
      </w:pPr>
      <w:r>
        <w:rPr>
          <w:rFonts w:ascii="Times New Roman" w:cs="Times New Roman" w:eastAsia="Times New Roman" w:hAnsi="Times New Roman"/>
          <w:sz w:val="17"/>
          <w:szCs w:val="17"/>
          <w:color w:val="auto"/>
        </w:rPr>
        <w:t>If a notice or communication is sent or published in the manner provided above, within the time prescribed, it is duly given, whether or not the Securityholder receives it.</w:t>
      </w:r>
    </w:p>
    <w:p>
      <w:pPr>
        <w:spacing w:after="0" w:line="1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If the Company sends a notice or communication to Securityholders, it shall send a copy to the Trustee and each Agent at the same time.</w:t>
      </w:r>
    </w:p>
    <w:p>
      <w:pPr>
        <w:spacing w:after="0" w:line="210" w:lineRule="exact"/>
        <w:rPr>
          <w:sz w:val="20"/>
          <w:szCs w:val="20"/>
          <w:color w:val="auto"/>
        </w:rPr>
      </w:pPr>
    </w:p>
    <w:p>
      <w:pPr>
        <w:jc w:val="both"/>
        <w:ind w:right="120" w:firstLine="930"/>
        <w:spacing w:after="0" w:line="262" w:lineRule="auto"/>
        <w:rPr>
          <w:sz w:val="20"/>
          <w:szCs w:val="20"/>
          <w:color w:val="auto"/>
        </w:rPr>
      </w:pPr>
      <w:r>
        <w:rPr>
          <w:rFonts w:ascii="Times New Roman" w:cs="Times New Roman" w:eastAsia="Times New Roman" w:hAnsi="Times New Roman"/>
          <w:sz w:val="17"/>
          <w:szCs w:val="17"/>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Communication by Holders with Other Holders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0" w:firstLine="930"/>
        <w:spacing w:after="0" w:line="262" w:lineRule="auto"/>
        <w:rPr>
          <w:sz w:val="20"/>
          <w:szCs w:val="20"/>
          <w:color w:val="auto"/>
        </w:rPr>
      </w:pPr>
      <w:r>
        <w:rPr>
          <w:rFonts w:ascii="Times New Roman" w:cs="Times New Roman" w:eastAsia="Times New Roman" w:hAnsi="Times New Roman"/>
          <w:sz w:val="17"/>
          <w:szCs w:val="17"/>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Certificate and Opinion as to Conditions Precedent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Upon any request or application by the Company to the Trustee to take any action under this Indenture, the Company shall furnish to the Trustee:</w:t>
      </w:r>
    </w:p>
    <w:p>
      <w:pPr>
        <w:spacing w:after="0" w:line="210" w:lineRule="exact"/>
        <w:rPr>
          <w:sz w:val="20"/>
          <w:szCs w:val="20"/>
          <w:color w:val="auto"/>
        </w:rPr>
      </w:pPr>
    </w:p>
    <w:p>
      <w:pPr>
        <w:ind w:right="400" w:firstLine="415"/>
        <w:spacing w:after="0" w:line="276" w:lineRule="auto"/>
        <w:tabs>
          <w:tab w:leader="none" w:pos="643"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Officer’s Certificate stating that, in the opinion of the signers, all conditions precedent, if any, provided for in this Indenture relating to the proposed action have been complied with; and</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Opinion of Counsel stating that, in the opinion of such counsel, all such conditions precedent have been complied with.</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3" w:name="page154"/>
    <w:bookmarkEnd w:id="153"/>
    <w:p>
      <w:pPr>
        <w:ind w:left="420"/>
        <w:spacing w:after="0"/>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Statements Required in Certificate or Opinion</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380" w:firstLine="930"/>
        <w:spacing w:after="0" w:line="276" w:lineRule="auto"/>
        <w:rPr>
          <w:sz w:val="20"/>
          <w:szCs w:val="20"/>
          <w:color w:val="auto"/>
        </w:rPr>
      </w:pPr>
      <w:r>
        <w:rPr>
          <w:rFonts w:ascii="Times New Roman" w:cs="Times New Roman" w:eastAsia="Times New Roman" w:hAnsi="Times New Roman"/>
          <w:sz w:val="17"/>
          <w:szCs w:val="17"/>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58" w:lineRule="exact"/>
        <w:rPr>
          <w:sz w:val="20"/>
          <w:szCs w:val="20"/>
          <w:color w:val="auto"/>
        </w:rPr>
      </w:pPr>
    </w:p>
    <w:p>
      <w:pPr>
        <w:ind w:left="640" w:hanging="225"/>
        <w:spacing w:after="0"/>
        <w:tabs>
          <w:tab w:leader="none" w:pos="64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the person making such certificate or opinion has read such covenant or condition;</w:t>
      </w:r>
    </w:p>
    <w:p>
      <w:pPr>
        <w:spacing w:after="0" w:line="209" w:lineRule="exact"/>
        <w:rPr>
          <w:rFonts w:ascii="Times New Roman" w:cs="Times New Roman" w:eastAsia="Times New Roman" w:hAnsi="Times New Roman"/>
          <w:sz w:val="17"/>
          <w:szCs w:val="17"/>
          <w:color w:val="auto"/>
        </w:rPr>
      </w:pPr>
    </w:p>
    <w:p>
      <w:pPr>
        <w:ind w:right="480" w:firstLine="415"/>
        <w:spacing w:after="0" w:line="276" w:lineRule="auto"/>
        <w:tabs>
          <w:tab w:leader="none" w:pos="652"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statement as to the nature and scope of the examination or investigation upon which the statements or opinions contained in such certificate or opinion are based;</w:t>
      </w:r>
    </w:p>
    <w:p>
      <w:pPr>
        <w:spacing w:after="0" w:line="158" w:lineRule="exact"/>
        <w:rPr>
          <w:rFonts w:ascii="Times New Roman" w:cs="Times New Roman" w:eastAsia="Times New Roman" w:hAnsi="Times New Roman"/>
          <w:sz w:val="17"/>
          <w:szCs w:val="17"/>
          <w:color w:val="auto"/>
        </w:rPr>
      </w:pPr>
    </w:p>
    <w:p>
      <w:pPr>
        <w:ind w:right="80" w:firstLine="415"/>
        <w:spacing w:after="0" w:line="276" w:lineRule="auto"/>
        <w:tabs>
          <w:tab w:leader="none" w:pos="643"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58" w:lineRule="exact"/>
        <w:rPr>
          <w:rFonts w:ascii="Times New Roman" w:cs="Times New Roman" w:eastAsia="Times New Roman" w:hAnsi="Times New Roman"/>
          <w:sz w:val="17"/>
          <w:szCs w:val="17"/>
          <w:color w:val="auto"/>
        </w:rPr>
      </w:pPr>
    </w:p>
    <w:p>
      <w:pPr>
        <w:ind w:left="660" w:hanging="245"/>
        <w:spacing w:after="0"/>
        <w:tabs>
          <w:tab w:leader="none" w:pos="660"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statement as to whether or not, in the opinion of such person, such condition or covenant has been complied with.</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10.6. </w:t>
      </w:r>
      <w:r>
        <w:rPr>
          <w:rFonts w:ascii="Times New Roman" w:cs="Times New Roman" w:eastAsia="Times New Roman" w:hAnsi="Times New Roman"/>
          <w:sz w:val="17"/>
          <w:szCs w:val="17"/>
          <w:u w:val="single" w:color="auto"/>
          <w:color w:val="auto"/>
        </w:rPr>
        <w:t>Rules by Trustee and Agents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0" w:firstLine="930"/>
        <w:spacing w:after="0" w:line="276" w:lineRule="auto"/>
        <w:rPr>
          <w:sz w:val="20"/>
          <w:szCs w:val="20"/>
          <w:color w:val="auto"/>
        </w:rPr>
      </w:pPr>
      <w:r>
        <w:rPr>
          <w:rFonts w:ascii="Times New Roman" w:cs="Times New Roman" w:eastAsia="Times New Roman" w:hAnsi="Times New Roman"/>
          <w:sz w:val="17"/>
          <w:szCs w:val="17"/>
          <w:color w:val="auto"/>
        </w:rPr>
        <w:t>The Trustee may make reasonable rules for action by or a meeting of Securityholders of one or more Series. Any Agent may make reasonable rules and set reasonable requirements for its functions.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10.7. </w:t>
      </w:r>
      <w:r>
        <w:rPr>
          <w:rFonts w:ascii="Times New Roman" w:cs="Times New Roman" w:eastAsia="Times New Roman" w:hAnsi="Times New Roman"/>
          <w:sz w:val="17"/>
          <w:szCs w:val="17"/>
          <w:u w:val="single" w:color="auto"/>
          <w:color w:val="auto"/>
        </w:rPr>
        <w:t>Legal Holidays</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firstLine="930"/>
        <w:spacing w:after="0" w:line="281"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i w:val="1"/>
          <w:iCs w:val="1"/>
          <w:color w:val="auto"/>
        </w:rPr>
        <w:t>Legal Holiday</w:t>
      </w:r>
      <w:r>
        <w:rPr>
          <w:rFonts w:ascii="Times New Roman" w:cs="Times New Roman" w:eastAsia="Times New Roman" w:hAnsi="Times New Roman"/>
          <w:sz w:val="17"/>
          <w:szCs w:val="17"/>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10.8. </w:t>
      </w:r>
      <w:r>
        <w:rPr>
          <w:rFonts w:ascii="Times New Roman" w:cs="Times New Roman" w:eastAsia="Times New Roman" w:hAnsi="Times New Roman"/>
          <w:sz w:val="17"/>
          <w:szCs w:val="17"/>
          <w:u w:val="single" w:color="auto"/>
          <w:color w:val="auto"/>
        </w:rPr>
        <w:t>No Recourse Against Others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60" w:firstLine="930"/>
        <w:spacing w:after="0" w:line="262" w:lineRule="auto"/>
        <w:rPr>
          <w:sz w:val="20"/>
          <w:szCs w:val="20"/>
          <w:color w:val="auto"/>
        </w:rPr>
      </w:pPr>
      <w:r>
        <w:rPr>
          <w:rFonts w:ascii="Times New Roman" w:cs="Times New Roman" w:eastAsia="Times New Roman" w:hAnsi="Times New Roman"/>
          <w:sz w:val="17"/>
          <w:szCs w:val="17"/>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10.9.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60" w:firstLine="930"/>
        <w:spacing w:after="0" w:line="279" w:lineRule="auto"/>
        <w:rPr>
          <w:sz w:val="20"/>
          <w:szCs w:val="20"/>
          <w:color w:val="auto"/>
        </w:rPr>
      </w:pPr>
      <w:r>
        <w:rPr>
          <w:rFonts w:ascii="Times New Roman" w:cs="Times New Roman" w:eastAsia="Times New Roman" w:hAnsi="Times New Roman"/>
          <w:sz w:val="16"/>
          <w:szCs w:val="16"/>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4" w:name="page155"/>
    <w:bookmarkEnd w:id="154"/>
    <w:p>
      <w:pPr>
        <w:ind w:left="420"/>
        <w:spacing w:after="0"/>
        <w:rPr>
          <w:sz w:val="20"/>
          <w:szCs w:val="20"/>
          <w:color w:val="auto"/>
        </w:rPr>
      </w:pPr>
      <w:r>
        <w:rPr>
          <w:rFonts w:ascii="Times New Roman" w:cs="Times New Roman" w:eastAsia="Times New Roman" w:hAnsi="Times New Roman"/>
          <w:sz w:val="17"/>
          <w:szCs w:val="17"/>
          <w:color w:val="auto"/>
        </w:rPr>
        <w:t xml:space="preserve">Section 10.10. </w:t>
      </w:r>
      <w:r>
        <w:rPr>
          <w:rFonts w:ascii="Times New Roman" w:cs="Times New Roman" w:eastAsia="Times New Roman" w:hAnsi="Times New Roman"/>
          <w:sz w:val="17"/>
          <w:szCs w:val="17"/>
          <w:u w:val="single" w:color="auto"/>
          <w:color w:val="auto"/>
        </w:rPr>
        <w:t>Governing Law; Waiver of Jury Trial; Consent to Jurisdiction</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right="240" w:firstLine="930"/>
        <w:spacing w:after="0" w:line="281" w:lineRule="auto"/>
        <w:rPr>
          <w:sz w:val="20"/>
          <w:szCs w:val="20"/>
          <w:color w:val="auto"/>
        </w:rPr>
      </w:pPr>
      <w:r>
        <w:rPr>
          <w:rFonts w:ascii="Times New Roman" w:cs="Times New Roman" w:eastAsia="Times New Roman" w:hAnsi="Times New Roman"/>
          <w:sz w:val="17"/>
          <w:szCs w:val="17"/>
          <w:b w:val="1"/>
          <w:bCs w:val="1"/>
          <w:color w:val="auto"/>
        </w:rPr>
        <w:t>THIS INDENTURE AND THE SECURITIES, INCLUDING ANY CLAIM OR CONTROVERSY ARISING OUT OF OR RELATING TO THE INDENTURE OR THE SECURITIES, SHALL BE GOVERNED BY THE LAWS OF THE STATE OF NEW YORK.</w:t>
      </w:r>
    </w:p>
    <w:p>
      <w:pPr>
        <w:spacing w:after="0" w:line="150" w:lineRule="exact"/>
        <w:rPr>
          <w:sz w:val="20"/>
          <w:szCs w:val="20"/>
          <w:color w:val="auto"/>
        </w:rPr>
      </w:pPr>
    </w:p>
    <w:p>
      <w:pPr>
        <w:ind w:right="80" w:firstLine="930"/>
        <w:spacing w:after="0" w:line="259" w:lineRule="auto"/>
        <w:rPr>
          <w:sz w:val="20"/>
          <w:szCs w:val="20"/>
          <w:color w:val="auto"/>
        </w:rPr>
      </w:pPr>
      <w:r>
        <w:rPr>
          <w:rFonts w:ascii="Times New Roman" w:cs="Times New Roman" w:eastAsia="Times New Roman" w:hAnsi="Times New Roman"/>
          <w:sz w:val="17"/>
          <w:szCs w:val="17"/>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73" w:lineRule="exact"/>
        <w:rPr>
          <w:sz w:val="20"/>
          <w:szCs w:val="20"/>
          <w:color w:val="auto"/>
        </w:rPr>
      </w:pPr>
    </w:p>
    <w:p>
      <w:pPr>
        <w:ind w:right="80" w:firstLine="930"/>
        <w:spacing w:after="0" w:line="252" w:lineRule="auto"/>
        <w:rPr>
          <w:sz w:val="20"/>
          <w:szCs w:val="20"/>
          <w:color w:val="auto"/>
        </w:rPr>
      </w:pPr>
      <w:r>
        <w:rPr>
          <w:rFonts w:ascii="Times New Roman" w:cs="Times New Roman" w:eastAsia="Times New Roman" w:hAnsi="Times New Roman"/>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7"/>
          <w:szCs w:val="17"/>
          <w:i w:val="1"/>
          <w:iCs w:val="1"/>
          <w:color w:val="auto"/>
        </w:rPr>
        <w:t>Specified Courts</w:t>
      </w:r>
      <w:r>
        <w:rPr>
          <w:rFonts w:ascii="Times New Roman" w:cs="Times New Roman" w:eastAsia="Times New Roman" w:hAnsi="Times New Roman"/>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10.11. </w:t>
      </w:r>
      <w:r>
        <w:rPr>
          <w:rFonts w:ascii="Times New Roman" w:cs="Times New Roman" w:eastAsia="Times New Roman" w:hAnsi="Times New Roman"/>
          <w:sz w:val="17"/>
          <w:szCs w:val="17"/>
          <w:u w:val="single" w:color="auto"/>
          <w:color w:val="auto"/>
        </w:rPr>
        <w:t>No Adverse Interpretation of Other Agreements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40" w:firstLine="930"/>
        <w:spacing w:after="0" w:line="276" w:lineRule="auto"/>
        <w:rPr>
          <w:sz w:val="20"/>
          <w:szCs w:val="20"/>
          <w:color w:val="auto"/>
        </w:rPr>
      </w:pPr>
      <w:r>
        <w:rPr>
          <w:rFonts w:ascii="Times New Roman" w:cs="Times New Roman" w:eastAsia="Times New Roman" w:hAnsi="Times New Roman"/>
          <w:sz w:val="17"/>
          <w:szCs w:val="17"/>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10.12. </w:t>
      </w: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All agreements of the Company in this Indenture and the Securities shall bind its successor. All agreements of the Trustee in this Indenture shall bind its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successor.</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10.13.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480" w:firstLine="930"/>
        <w:spacing w:after="0" w:line="276" w:lineRule="auto"/>
        <w:rPr>
          <w:sz w:val="20"/>
          <w:szCs w:val="20"/>
          <w:color w:val="auto"/>
        </w:rPr>
      </w:pPr>
      <w:r>
        <w:rPr>
          <w:rFonts w:ascii="Times New Roman" w:cs="Times New Roman" w:eastAsia="Times New Roman" w:hAnsi="Times New Roman"/>
          <w:sz w:val="17"/>
          <w:szCs w:val="17"/>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155" w:name="page156"/>
    <w:bookmarkEnd w:id="155"/>
    <w:p>
      <w:pPr>
        <w:ind w:left="420"/>
        <w:spacing w:after="0"/>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u w:val="single" w:color="auto"/>
          <w:color w:val="auto"/>
        </w:rPr>
        <w:t>Table of Contents, Headings, Etc</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560" w:firstLine="930"/>
        <w:spacing w:after="0" w:line="276" w:lineRule="auto"/>
        <w:rPr>
          <w:sz w:val="20"/>
          <w:szCs w:val="20"/>
          <w:color w:val="auto"/>
        </w:rPr>
      </w:pPr>
      <w:r>
        <w:rPr>
          <w:rFonts w:ascii="Times New Roman" w:cs="Times New Roman" w:eastAsia="Times New Roman" w:hAnsi="Times New Roman"/>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10.15. </w:t>
      </w:r>
      <w:r>
        <w:rPr>
          <w:rFonts w:ascii="Times New Roman" w:cs="Times New Roman" w:eastAsia="Times New Roman" w:hAnsi="Times New Roman"/>
          <w:sz w:val="17"/>
          <w:szCs w:val="17"/>
          <w:u w:val="single" w:color="auto"/>
          <w:color w:val="auto"/>
        </w:rPr>
        <w:t>Securities in a Foreign Currency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1" w:lineRule="auto"/>
        <w:rPr>
          <w:sz w:val="20"/>
          <w:szCs w:val="20"/>
          <w:color w:val="auto"/>
        </w:rPr>
      </w:pPr>
      <w:r>
        <w:rPr>
          <w:rFonts w:ascii="Times New Roman" w:cs="Times New Roman" w:eastAsia="Times New Roman" w:hAnsi="Times New Roman"/>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83" w:lineRule="exact"/>
        <w:rPr>
          <w:sz w:val="20"/>
          <w:szCs w:val="20"/>
          <w:color w:val="auto"/>
        </w:rPr>
      </w:pPr>
    </w:p>
    <w:p>
      <w:pPr>
        <w:ind w:right="460" w:firstLine="930"/>
        <w:spacing w:after="0" w:line="276" w:lineRule="auto"/>
        <w:rPr>
          <w:sz w:val="20"/>
          <w:szCs w:val="20"/>
          <w:color w:val="auto"/>
        </w:rPr>
      </w:pPr>
      <w:r>
        <w:rPr>
          <w:rFonts w:ascii="Times New Roman" w:cs="Times New Roman" w:eastAsia="Times New Roman" w:hAnsi="Times New Roman"/>
          <w:sz w:val="17"/>
          <w:szCs w:val="17"/>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10.16. </w:t>
      </w:r>
      <w:r>
        <w:rPr>
          <w:rFonts w:ascii="Times New Roman" w:cs="Times New Roman" w:eastAsia="Times New Roman" w:hAnsi="Times New Roman"/>
          <w:sz w:val="17"/>
          <w:szCs w:val="17"/>
          <w:u w:val="single" w:color="auto"/>
          <w:color w:val="auto"/>
        </w:rPr>
        <w:t>Judgment Currency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68" w:lineRule="auto"/>
        <w:rPr>
          <w:sz w:val="20"/>
          <w:szCs w:val="20"/>
          <w:color w:val="auto"/>
        </w:rPr>
      </w:pPr>
      <w:r>
        <w:rPr>
          <w:rFonts w:ascii="Times New Roman" w:cs="Times New Roman" w:eastAsia="Times New Roman" w:hAnsi="Times New Roman"/>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6"/>
          <w:szCs w:val="16"/>
          <w:i w:val="1"/>
          <w:iCs w:val="1"/>
          <w:color w:val="auto"/>
        </w:rPr>
        <w:t>Required Currency</w:t>
      </w:r>
      <w:r>
        <w:rPr>
          <w:rFonts w:ascii="Times New Roman" w:cs="Times New Roman" w:eastAsia="Times New Roman" w:hAnsi="Times New Roman"/>
          <w:sz w:val="16"/>
          <w:szCs w:val="16"/>
          <w:color w:val="auto"/>
        </w:rPr>
        <w:t>”) into a currency in which a judgment will be rendered (the “</w:t>
      </w:r>
      <w:r>
        <w:rPr>
          <w:rFonts w:ascii="Times New Roman" w:cs="Times New Roman" w:eastAsia="Times New Roman" w:hAnsi="Times New Roman"/>
          <w:sz w:val="16"/>
          <w:szCs w:val="16"/>
          <w:i w:val="1"/>
          <w:iCs w:val="1"/>
          <w:color w:val="auto"/>
        </w:rPr>
        <w:t>Judgment Currency</w:t>
      </w:r>
      <w:r>
        <w:rPr>
          <w:rFonts w:ascii="Times New Roman" w:cs="Times New Roman" w:eastAsia="Times New Roman" w:hAnsi="Times New Roman"/>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6"/>
          <w:szCs w:val="16"/>
          <w:i w:val="1"/>
          <w:iCs w:val="1"/>
          <w:color w:val="auto"/>
        </w:rPr>
        <w:t>New York Banking Day</w:t>
      </w:r>
      <w:r>
        <w:rPr>
          <w:rFonts w:ascii="Times New Roman" w:cs="Times New Roman" w:eastAsia="Times New Roman" w:hAnsi="Times New Roman"/>
          <w:sz w:val="16"/>
          <w:szCs w:val="16"/>
          <w:color w:val="auto"/>
        </w:rPr>
        <w:t>” means any day except a Saturday, Sunday or a legal holiday in The City of New York on which banking institutions are authorized or required by law, regulation or executive order to close.</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6" w:name="page157"/>
    <w:bookmarkEnd w:id="156"/>
    <w:p>
      <w:pPr>
        <w:ind w:left="420"/>
        <w:spacing w:after="0"/>
        <w:rPr>
          <w:sz w:val="20"/>
          <w:szCs w:val="20"/>
          <w:color w:val="auto"/>
        </w:rPr>
      </w:pPr>
      <w:r>
        <w:rPr>
          <w:rFonts w:ascii="Times New Roman" w:cs="Times New Roman" w:eastAsia="Times New Roman" w:hAnsi="Times New Roman"/>
          <w:sz w:val="17"/>
          <w:szCs w:val="17"/>
          <w:color w:val="auto"/>
        </w:rPr>
        <w:t xml:space="preserve">Section 10.17.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5" w:lineRule="auto"/>
        <w:rPr>
          <w:sz w:val="20"/>
          <w:szCs w:val="20"/>
          <w:color w:val="auto"/>
        </w:rPr>
      </w:pPr>
      <w:r>
        <w:rPr>
          <w:rFonts w:ascii="Times New Roman" w:cs="Times New Roman" w:eastAsia="Times New Roman" w:hAnsi="Times New Roman"/>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10.18. </w:t>
      </w:r>
      <w:r>
        <w:rPr>
          <w:rFonts w:ascii="Times New Roman" w:cs="Times New Roman" w:eastAsia="Times New Roman" w:hAnsi="Times New Roman"/>
          <w:sz w:val="17"/>
          <w:szCs w:val="17"/>
          <w:u w:val="single" w:color="auto"/>
          <w:color w:val="auto"/>
        </w:rPr>
        <w:t>U.S.A. Patriot Act</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20" w:firstLine="930"/>
        <w:spacing w:after="0" w:line="262" w:lineRule="auto"/>
        <w:rPr>
          <w:sz w:val="20"/>
          <w:szCs w:val="20"/>
          <w:color w:val="auto"/>
        </w:rPr>
      </w:pPr>
      <w:r>
        <w:rPr>
          <w:rFonts w:ascii="Times New Roman" w:cs="Times New Roman" w:eastAsia="Times New Roman" w:hAnsi="Times New Roman"/>
          <w:sz w:val="17"/>
          <w:szCs w:val="17"/>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ARTICLE XI.</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SINKING FUNDS</w:t>
      </w:r>
    </w:p>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Applicability of Article</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100" w:firstLine="930"/>
        <w:spacing w:after="0" w:line="276" w:lineRule="auto"/>
        <w:rPr>
          <w:sz w:val="20"/>
          <w:szCs w:val="20"/>
          <w:color w:val="auto"/>
        </w:rPr>
      </w:pPr>
      <w:r>
        <w:rPr>
          <w:rFonts w:ascii="Times New Roman" w:cs="Times New Roman" w:eastAsia="Times New Roman" w:hAnsi="Times New Roman"/>
          <w:sz w:val="17"/>
          <w:szCs w:val="17"/>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54" w:lineRule="exact"/>
        <w:rPr>
          <w:sz w:val="20"/>
          <w:szCs w:val="20"/>
          <w:color w:val="auto"/>
        </w:rPr>
      </w:pPr>
    </w:p>
    <w:p>
      <w:pPr>
        <w:ind w:right="280" w:firstLine="930"/>
        <w:spacing w:after="0" w:line="259" w:lineRule="auto"/>
        <w:rPr>
          <w:sz w:val="20"/>
          <w:szCs w:val="20"/>
          <w:color w:val="auto"/>
        </w:rPr>
      </w:pPr>
      <w:r>
        <w:rPr>
          <w:rFonts w:ascii="Times New Roman" w:cs="Times New Roman" w:eastAsia="Times New Roman" w:hAnsi="Times New Roman"/>
          <w:sz w:val="17"/>
          <w:szCs w:val="17"/>
          <w:color w:val="auto"/>
        </w:rPr>
        <w:t>The minimum amount of any sinking fund payment provided for by the terms of the Securities of any Series is herein referred to as a “</w:t>
      </w:r>
      <w:r>
        <w:rPr>
          <w:rFonts w:ascii="Times New Roman" w:cs="Times New Roman" w:eastAsia="Times New Roman" w:hAnsi="Times New Roman"/>
          <w:sz w:val="17"/>
          <w:szCs w:val="17"/>
          <w:i w:val="1"/>
          <w:iCs w:val="1"/>
          <w:color w:val="auto"/>
        </w:rPr>
        <w:t>mandatory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sinking fund payment</w:t>
      </w:r>
      <w:r>
        <w:rPr>
          <w:rFonts w:ascii="Times New Roman" w:cs="Times New Roman" w:eastAsia="Times New Roman" w:hAnsi="Times New Roman"/>
          <w:sz w:val="17"/>
          <w:szCs w:val="17"/>
          <w:color w:val="auto"/>
        </w:rPr>
        <w:t>” and any other amount provided for by the terms of Securities of such Series is herein referred to as an “</w:t>
      </w:r>
      <w:r>
        <w:rPr>
          <w:rFonts w:ascii="Times New Roman" w:cs="Times New Roman" w:eastAsia="Times New Roman" w:hAnsi="Times New Roman"/>
          <w:sz w:val="17"/>
          <w:szCs w:val="17"/>
          <w:i w:val="1"/>
          <w:iCs w:val="1"/>
          <w:color w:val="auto"/>
        </w:rPr>
        <w:t>optional sinking fund payment</w:t>
      </w:r>
      <w:r>
        <w:rPr>
          <w:rFonts w:ascii="Times New Roman" w:cs="Times New Roman" w:eastAsia="Times New Roman" w:hAnsi="Times New Roman"/>
          <w:sz w:val="17"/>
          <w:szCs w:val="17"/>
          <w:color w:val="auto"/>
        </w:rPr>
        <w:t>.” 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3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157" w:name="page158"/>
    <w:bookmarkEnd w:id="157"/>
    <w:p>
      <w:pPr>
        <w:ind w:left="420"/>
        <w:spacing w:after="0"/>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Satisfaction of Sinking Fund Payments with Securities</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right="80" w:firstLine="930"/>
        <w:spacing w:after="0" w:line="267" w:lineRule="auto"/>
        <w:rPr>
          <w:sz w:val="20"/>
          <w:szCs w:val="20"/>
          <w:color w:val="auto"/>
        </w:rPr>
      </w:pPr>
      <w:r>
        <w:rPr>
          <w:rFonts w:ascii="Times New Roman" w:cs="Times New Roman" w:eastAsia="Times New Roman" w:hAnsi="Times New Roman"/>
          <w:sz w:val="16"/>
          <w:szCs w:val="16"/>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Redemption of Securities for Sinking Fund</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firstLine="930"/>
        <w:spacing w:after="0" w:line="251" w:lineRule="auto"/>
        <w:rPr>
          <w:sz w:val="20"/>
          <w:szCs w:val="20"/>
          <w:color w:val="auto"/>
        </w:rPr>
      </w:pPr>
      <w:r>
        <w:rPr>
          <w:rFonts w:ascii="Times New Roman" w:cs="Times New Roman" w:eastAsia="Times New Roman" w:hAnsi="Times New Roman"/>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7140575"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158" w:name="page159"/>
    <w:bookmarkEnd w:id="158"/>
    <w:p>
      <w:pPr>
        <w:ind w:left="940"/>
        <w:spacing w:after="0"/>
        <w:rPr>
          <w:sz w:val="20"/>
          <w:szCs w:val="20"/>
          <w:color w:val="auto"/>
        </w:rPr>
      </w:pPr>
      <w:r>
        <w:rPr>
          <w:rFonts w:ascii="Times New Roman" w:cs="Times New Roman" w:eastAsia="Times New Roman" w:hAnsi="Times New Roman"/>
          <w:sz w:val="16"/>
          <w:szCs w:val="16"/>
          <w:color w:val="auto"/>
        </w:rPr>
        <w:t>IN WITNESS WHEREOF, the parties hereto have caused this Indenture to be duly executed as of the day and year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22860</wp:posOffset>
            </wp:positionV>
            <wp:extent cx="4277995" cy="158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4277995" cy="15875"/>
                    </a:xfrm>
                    <a:prstGeom prst="rect">
                      <a:avLst/>
                    </a:prstGeom>
                    <a:noFill/>
                  </pic:spPr>
                </pic:pic>
              </a:graphicData>
            </a:graphic>
          </wp:anchor>
        </w:drawing>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Its: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 as Trustee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2863850</wp:posOffset>
            </wp:positionH>
            <wp:positionV relativeFrom="paragraph">
              <wp:posOffset>22860</wp:posOffset>
            </wp:positionV>
            <wp:extent cx="4277995" cy="15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4277995" cy="15875"/>
                    </a:xfrm>
                    <a:prstGeom prst="rect">
                      <a:avLst/>
                    </a:prstGeom>
                    <a:noFill/>
                  </pic:spPr>
                </pic:pic>
              </a:graphicData>
            </a:graphic>
          </wp:anchor>
        </w:drawing>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Name:</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Its:</w:t>
      </w:r>
    </w:p>
    <w:p>
      <w:pPr>
        <w:spacing w:after="0" w:line="39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62865</wp:posOffset>
            </wp:positionV>
            <wp:extent cx="7140575" cy="158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5.1</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2275840" cy="643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2275840" cy="643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The New York Times Building</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620 Eighth Avenue</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New York, NY 10018-1405</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 +1 212 841 1000</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December 13,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7495 New Horizon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Frederick, Maryland 21703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6" w:lineRule="exact"/>
        <w:rPr>
          <w:sz w:val="20"/>
          <w:szCs w:val="20"/>
          <w:color w:val="auto"/>
        </w:rPr>
      </w:pPr>
    </w:p>
    <w:p>
      <w:pPr>
        <w:jc w:val="both"/>
        <w:ind w:firstLine="608"/>
        <w:spacing w:after="0" w:line="252" w:lineRule="auto"/>
        <w:rPr>
          <w:sz w:val="20"/>
          <w:szCs w:val="20"/>
          <w:color w:val="auto"/>
        </w:rPr>
      </w:pPr>
      <w:r>
        <w:rPr>
          <w:rFonts w:ascii="Times New Roman" w:cs="Times New Roman" w:eastAsia="Times New Roman" w:hAnsi="Times New Roman"/>
          <w:sz w:val="17"/>
          <w:szCs w:val="17"/>
          <w:color w:val="auto"/>
        </w:rPr>
        <w:t>We have acted as counsel to Cartesian Therapeutics, Inc., a Delaware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in connection with the registration by the Company under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of the offer and sale by the Company from time to time of up to $400,000,000 in aggregate amount of: (i) shares of the Company’s common stock, par value $0.0001 per share (the “</w:t>
      </w:r>
      <w:r>
        <w:rPr>
          <w:rFonts w:ascii="Times New Roman" w:cs="Times New Roman" w:eastAsia="Times New Roman" w:hAnsi="Times New Roman"/>
          <w:sz w:val="17"/>
          <w:szCs w:val="17"/>
          <w:i w:val="1"/>
          <w:iCs w:val="1"/>
          <w:color w:val="auto"/>
        </w:rPr>
        <w:t>Common Stock</w:t>
      </w:r>
      <w:r>
        <w:rPr>
          <w:rFonts w:ascii="Times New Roman" w:cs="Times New Roman" w:eastAsia="Times New Roman" w:hAnsi="Times New Roman"/>
          <w:sz w:val="17"/>
          <w:szCs w:val="17"/>
          <w:color w:val="auto"/>
        </w:rPr>
        <w:t>”); (ii) shares of the Company’s preferred stock, $0.0001 par value per share, to be issued in one or more series (the “</w:t>
      </w:r>
      <w:r>
        <w:rPr>
          <w:rFonts w:ascii="Times New Roman" w:cs="Times New Roman" w:eastAsia="Times New Roman" w:hAnsi="Times New Roman"/>
          <w:sz w:val="17"/>
          <w:szCs w:val="17"/>
          <w:i w:val="1"/>
          <w:iCs w:val="1"/>
          <w:color w:val="auto"/>
        </w:rPr>
        <w:t>Preferred Stock</w:t>
      </w:r>
      <w:r>
        <w:rPr>
          <w:rFonts w:ascii="Times New Roman" w:cs="Times New Roman" w:eastAsia="Times New Roman" w:hAnsi="Times New Roman"/>
          <w:sz w:val="17"/>
          <w:szCs w:val="17"/>
          <w:color w:val="auto"/>
        </w:rPr>
        <w:t>”); (iii) one or more series of debt securities of the Company (the “</w:t>
      </w:r>
      <w:r>
        <w:rPr>
          <w:rFonts w:ascii="Times New Roman" w:cs="Times New Roman" w:eastAsia="Times New Roman" w:hAnsi="Times New Roman"/>
          <w:sz w:val="17"/>
          <w:szCs w:val="17"/>
          <w:i w:val="1"/>
          <w:iCs w:val="1"/>
          <w:color w:val="auto"/>
        </w:rPr>
        <w:t>Debt Securities</w:t>
      </w:r>
      <w:r>
        <w:rPr>
          <w:rFonts w:ascii="Times New Roman" w:cs="Times New Roman" w:eastAsia="Times New Roman" w:hAnsi="Times New Roman"/>
          <w:sz w:val="17"/>
          <w:szCs w:val="17"/>
          <w:color w:val="auto"/>
        </w:rPr>
        <w:t>”), the terms of which will be determined by the board of directors of the Company prior to the issuance thereof; (iv) warrants to purchase Common Stock, Preferred Stock or Debt Securities (the “</w:t>
      </w:r>
      <w:r>
        <w:rPr>
          <w:rFonts w:ascii="Times New Roman" w:cs="Times New Roman" w:eastAsia="Times New Roman" w:hAnsi="Times New Roman"/>
          <w:sz w:val="17"/>
          <w:szCs w:val="17"/>
          <w:i w:val="1"/>
          <w:iCs w:val="1"/>
          <w:color w:val="auto"/>
        </w:rPr>
        <w:t>Warrants</w:t>
      </w:r>
      <w:r>
        <w:rPr>
          <w:rFonts w:ascii="Times New Roman" w:cs="Times New Roman" w:eastAsia="Times New Roman" w:hAnsi="Times New Roman"/>
          <w:sz w:val="17"/>
          <w:szCs w:val="17"/>
          <w:color w:val="auto"/>
        </w:rPr>
        <w:t>”); and (v) stock units, consisting of any combination of Common Stock, Preferred Stock, Debt Securities or Warrants, securing the holder’s obligation to purchase the securities under the applicable stock unit agreement (the “</w:t>
      </w:r>
      <w:r>
        <w:rPr>
          <w:rFonts w:ascii="Times New Roman" w:cs="Times New Roman" w:eastAsia="Times New Roman" w:hAnsi="Times New Roman"/>
          <w:sz w:val="17"/>
          <w:szCs w:val="17"/>
          <w:i w:val="1"/>
          <w:iCs w:val="1"/>
          <w:color w:val="auto"/>
        </w:rPr>
        <w:t>Units</w:t>
      </w:r>
      <w:r>
        <w:rPr>
          <w:rFonts w:ascii="Times New Roman" w:cs="Times New Roman" w:eastAsia="Times New Roman" w:hAnsi="Times New Roman"/>
          <w:sz w:val="17"/>
          <w:szCs w:val="17"/>
          <w:color w:val="auto"/>
        </w:rPr>
        <w:t>” and, collectively with the shares of Common Stock, shares of Preferred Stock, Debt Securities and Warrants, the “</w:t>
      </w:r>
      <w:r>
        <w:rPr>
          <w:rFonts w:ascii="Times New Roman" w:cs="Times New Roman" w:eastAsia="Times New Roman" w:hAnsi="Times New Roman"/>
          <w:sz w:val="17"/>
          <w:szCs w:val="17"/>
          <w:i w:val="1"/>
          <w:iCs w:val="1"/>
          <w:color w:val="auto"/>
        </w:rPr>
        <w:t>Covered Securities</w:t>
      </w:r>
      <w:r>
        <w:rPr>
          <w:rFonts w:ascii="Times New Roman" w:cs="Times New Roman" w:eastAsia="Times New Roman" w:hAnsi="Times New Roman"/>
          <w:sz w:val="17"/>
          <w:szCs w:val="17"/>
          <w:color w:val="auto"/>
        </w:rPr>
        <w:t>”), pursuant to the Company’s registration statement on Form S-3 (the “</w:t>
      </w:r>
      <w:r>
        <w:rPr>
          <w:rFonts w:ascii="Times New Roman" w:cs="Times New Roman" w:eastAsia="Times New Roman" w:hAnsi="Times New Roman"/>
          <w:sz w:val="17"/>
          <w:szCs w:val="17"/>
          <w:i w:val="1"/>
          <w:iCs w:val="1"/>
          <w:color w:val="auto"/>
        </w:rPr>
        <w:t>Registration Statement</w:t>
      </w:r>
      <w:r>
        <w:rPr>
          <w:rFonts w:ascii="Times New Roman" w:cs="Times New Roman" w:eastAsia="Times New Roman" w:hAnsi="Times New Roman"/>
          <w:sz w:val="17"/>
          <w:szCs w:val="17"/>
          <w:color w:val="auto"/>
        </w:rPr>
        <w:t>”) filed with the Securities and Exchange Commission (the “</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on the date hereof.</w:t>
      </w:r>
    </w:p>
    <w:p>
      <w:pPr>
        <w:spacing w:after="0" w:line="183" w:lineRule="exact"/>
        <w:rPr>
          <w:sz w:val="20"/>
          <w:szCs w:val="20"/>
          <w:color w:val="auto"/>
        </w:rPr>
      </w:pPr>
    </w:p>
    <w:p>
      <w:pPr>
        <w:jc w:val="both"/>
        <w:ind w:firstLine="608"/>
        <w:spacing w:after="0" w:line="262" w:lineRule="auto"/>
        <w:rPr>
          <w:sz w:val="20"/>
          <w:szCs w:val="20"/>
          <w:color w:val="auto"/>
        </w:rPr>
      </w:pPr>
      <w:r>
        <w:rPr>
          <w:rFonts w:ascii="Times New Roman" w:cs="Times New Roman" w:eastAsia="Times New Roman" w:hAnsi="Times New Roman"/>
          <w:sz w:val="17"/>
          <w:szCs w:val="17"/>
          <w:color w:val="auto"/>
        </w:rPr>
        <w:t>We have reviewed such corporate records, certificates and other documents, and such questions of law, as we have considered necessary or appropriate for the purposes of this opinion. We have assumed that all signatures are genuine, that all documents submitted to us as originals are authentic and that all copies of documents submitted to us conform to the originals.</w:t>
      </w:r>
    </w:p>
    <w:p>
      <w:pPr>
        <w:spacing w:after="0" w:line="170" w:lineRule="exact"/>
        <w:rPr>
          <w:sz w:val="20"/>
          <w:szCs w:val="20"/>
          <w:color w:val="auto"/>
        </w:rPr>
      </w:pPr>
    </w:p>
    <w:p>
      <w:pPr>
        <w:jc w:val="both"/>
        <w:ind w:firstLine="608"/>
        <w:spacing w:after="0" w:line="276" w:lineRule="auto"/>
        <w:rPr>
          <w:sz w:val="20"/>
          <w:szCs w:val="20"/>
          <w:color w:val="auto"/>
        </w:rPr>
      </w:pPr>
      <w:r>
        <w:rPr>
          <w:rFonts w:ascii="Times New Roman" w:cs="Times New Roman" w:eastAsia="Times New Roman" w:hAnsi="Times New Roman"/>
          <w:sz w:val="17"/>
          <w:szCs w:val="17"/>
          <w:color w:val="auto"/>
        </w:rPr>
        <w:t>We have relied as to certain matters on information obtained from public officials, officers of the Company and other sources believed by us to be responsible.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assumed that, at the time of the issuance, sale and delivery of each issue of Covered Securities:</w:t>
      </w:r>
    </w:p>
    <w:p>
      <w:pPr>
        <w:spacing w:after="0" w:line="210" w:lineRule="exact"/>
        <w:rPr>
          <w:sz w:val="20"/>
          <w:szCs w:val="20"/>
          <w:color w:val="auto"/>
        </w:rPr>
      </w:pPr>
    </w:p>
    <w:p>
      <w:pPr>
        <w:jc w:val="both"/>
        <w:ind w:left="1820" w:hanging="603"/>
        <w:spacing w:after="0" w:line="255" w:lineRule="auto"/>
        <w:tabs>
          <w:tab w:leader="none" w:pos="18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delivery and performance by the Company of any indenture, indenture supplement, warrant agreement, and unit agreement (collectively, the “</w:t>
      </w:r>
      <w:r>
        <w:rPr>
          <w:rFonts w:ascii="Times New Roman" w:cs="Times New Roman" w:eastAsia="Times New Roman" w:hAnsi="Times New Roman"/>
          <w:sz w:val="17"/>
          <w:szCs w:val="17"/>
          <w:i w:val="1"/>
          <w:iCs w:val="1"/>
          <w:color w:val="auto"/>
        </w:rPr>
        <w:t>Documents</w:t>
      </w:r>
      <w:r>
        <w:rPr>
          <w:rFonts w:ascii="Times New Roman" w:cs="Times New Roman" w:eastAsia="Times New Roman" w:hAnsi="Times New Roman"/>
          <w:sz w:val="17"/>
          <w:szCs w:val="17"/>
          <w:color w:val="auto"/>
        </w:rPr>
        <w:t>”), as applicable, and all actions necessary for the issuance of the applicable Covered Securities, and the form and terms thereof, will comply with all requirements and restrictions, if any, applicable to the Company, whether imposed by any agreement or instrument to which the Company is a party or by which it is bound or any court or other governmental or regulatory body having jurisdiction over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14057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b w:val="1"/>
          <w:bCs w:val="1"/>
          <w:color w:val="auto"/>
        </w:rPr>
        <w:t>COVINGTON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94" w:lineRule="exact"/>
        <w:rPr>
          <w:sz w:val="20"/>
          <w:szCs w:val="20"/>
          <w:color w:val="auto"/>
        </w:rPr>
      </w:pPr>
    </w:p>
    <w:p>
      <w:pPr>
        <w:jc w:val="both"/>
        <w:ind w:left="1820" w:hanging="603"/>
        <w:spacing w:after="0" w:line="262" w:lineRule="auto"/>
        <w:tabs>
          <w:tab w:leader="none" w:pos="18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have duly authorized, executed and delivered any such Document and will have duly authorized the issuance of any such Covered Security, and none of such authorizations will have been modified or rescinded, and there will not have occurred any change in law affecting the validity, legally binding character or enforceability thereof;</w:t>
      </w:r>
    </w:p>
    <w:p>
      <w:pPr>
        <w:spacing w:after="0" w:line="170" w:lineRule="exact"/>
        <w:rPr>
          <w:rFonts w:ascii="Times New Roman" w:cs="Times New Roman" w:eastAsia="Times New Roman" w:hAnsi="Times New Roman"/>
          <w:sz w:val="17"/>
          <w:szCs w:val="17"/>
          <w:color w:val="auto"/>
        </w:rPr>
      </w:pPr>
    </w:p>
    <w:p>
      <w:pPr>
        <w:jc w:val="both"/>
        <w:ind w:left="1820" w:hanging="603"/>
        <w:spacing w:after="0" w:line="262" w:lineRule="auto"/>
        <w:tabs>
          <w:tab w:leader="none" w:pos="18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prospectus included in the Registration Statement will describe the Covered Securities offered thereby or an appropriate prospectus supplement will have been prepared, delivered and filed with the Commission in compliance with the Securities Act and the applicable rules and regulations thereunder and will describe the Covered Securities offered thereby; and</w:t>
      </w:r>
    </w:p>
    <w:p>
      <w:pPr>
        <w:spacing w:after="0" w:line="170" w:lineRule="exact"/>
        <w:rPr>
          <w:rFonts w:ascii="Times New Roman" w:cs="Times New Roman" w:eastAsia="Times New Roman" w:hAnsi="Times New Roman"/>
          <w:sz w:val="17"/>
          <w:szCs w:val="17"/>
          <w:color w:val="auto"/>
        </w:rPr>
      </w:pPr>
    </w:p>
    <w:p>
      <w:pPr>
        <w:jc w:val="both"/>
        <w:ind w:left="1820" w:hanging="603"/>
        <w:spacing w:after="0" w:line="262" w:lineRule="auto"/>
        <w:tabs>
          <w:tab w:leader="none" w:pos="18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indenture in the form of Exhibit 4.2 to the Registration Statement and any necessary indenture supplements will have been duly executed and delivered on behalf of the Company and a trustee qualified to act under applicable law and such indenture will have been qualified under the Trust Indenture Act of 1939, as amended.</w:t>
      </w:r>
    </w:p>
    <w:p>
      <w:pPr>
        <w:spacing w:after="0" w:line="170"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We have also assumed that the Covered Securities will be offered and sold in compliance with applicable federal and state securities laws and in the manner stated in the Registration Statement and the appropriate prospectus supplement. We have assumed further that the Documents will be governed by and construed in accordance with the laws of the State of New York. We have further assumed that, at the time of the issuance, sale and delivery of any shares of Common Stock or Preferred Stock, or of any other Covered Securities which are exercisable or exchangeable for, or convertible into, Common Stock or Preferred Stock, the Company will have a sufficient number of authorized but unissued shares of Common Stock or Preferred Stock, as the case may be, under its certificate of incorporation. With respect to any Document executed or to be executed by any party other than the Company, we have assumed that such party has, or will have, duly authorized, executed and delivered the Documents to which it is a party and that each such Document is, or will be, the valid and binding obligation of such party, enforceable against it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714057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b w:val="1"/>
          <w:bCs w:val="1"/>
          <w:color w:val="auto"/>
        </w:rPr>
        <w:t>COVINGTON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Based upon the foregoing, and subject to the qualifications set forth herein, we are of the opinion that, when, as and if:</w:t>
      </w:r>
    </w:p>
    <w:p>
      <w:pPr>
        <w:spacing w:after="0" w:line="210" w:lineRule="exact"/>
        <w:rPr>
          <w:sz w:val="20"/>
          <w:szCs w:val="20"/>
          <w:color w:val="auto"/>
        </w:rPr>
      </w:pPr>
    </w:p>
    <w:p>
      <w:pPr>
        <w:jc w:val="both"/>
        <w:ind w:left="600" w:firstLine="617"/>
        <w:spacing w:after="0" w:line="274" w:lineRule="auto"/>
        <w:tabs>
          <w:tab w:leader="none" w:pos="1934" w:val="left"/>
        </w:tabs>
        <w:numPr>
          <w:ilvl w:val="1"/>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shares of Common Stock: (i) the Registration Statement and any required post-effective amendments thereto have all become effective under the Securities Act and all prospectus supplements required by applicable law have been delivered and filed as required by such laws;</w:t>
      </w:r>
    </w:p>
    <w:p>
      <w:pPr>
        <w:jc w:val="both"/>
        <w:ind w:left="600" w:firstLine="9"/>
        <w:spacing w:after="0" w:line="250" w:lineRule="auto"/>
        <w:tabs>
          <w:tab w:leader="none" w:pos="84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necessary corporate action has been taken by the Company to authorize and approve for issuance any shares of Common Stock and to fix or otherwise determine the consideration to be received for the shares of Common Stock, and the terms of the offer and sale thereof; (iii) any legally required consents, approvals, authorizations and other orders of the Commission and any other regulatory authorities have been obtained; and (iv) the shares of Common Stock have been duly issued and delivered against payment of the consideration therefor in accordance with such corporate action and applicable law as contemplated by the Registration Statement and the prospectus supplement and any pricing supplement setting forth the terms of the Common Stock and the plan of distribution, then, upon the happening of such events, the shares of Common Stock will be validly issued, fully paid and non-assessable.</w:t>
      </w:r>
    </w:p>
    <w:p>
      <w:pPr>
        <w:spacing w:after="0" w:line="180" w:lineRule="exact"/>
        <w:rPr>
          <w:rFonts w:ascii="Times New Roman" w:cs="Times New Roman" w:eastAsia="Times New Roman" w:hAnsi="Times New Roman"/>
          <w:sz w:val="17"/>
          <w:szCs w:val="17"/>
          <w:color w:val="auto"/>
        </w:rPr>
      </w:pPr>
    </w:p>
    <w:p>
      <w:pPr>
        <w:jc w:val="both"/>
        <w:ind w:left="600" w:firstLine="617"/>
        <w:spacing w:after="0" w:line="251" w:lineRule="auto"/>
        <w:tabs>
          <w:tab w:leader="none" w:pos="175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shares of any series of Preferred Stock: (i) the Registration Statement and any required post-effective amendments thereto have all become effective under the Securities Act and all prospectus supplements required by applicable law have been delivered and filed as required by such laws; (ii) all necessary corporate action has been taken by the Company to establish the rights, preferences and privileges of, and limitations on, such series of Preferred Stock and to authorize and approve the issuance and sale of the shares of Preferred Stock of such series and fix or otherwise determine the consideration to be received for the shares of Preferred Stock, and the terms of the offer and sale thereof; (iii) any legally required consents, approvals, authorizations and other orders of the Commission and any other regulatory authorities have been obtained; (iv) an appropriate certificate of designations with respect to such series of Preferred Stock has been duly filed in accordance with applicable law; and (v) the shares of Preferred Stock have been duly issued and delivered against payment of the consideration therefor in accordance with such corporate action and applicable law and as contemplated in the Registration Statement and the prospectus supplement and any pricing supplement setting forth the terms of the Preferred Stock and the plan of distribution, then, upon the happening of such events, the shares of such series of Preferred Stock will be validly issued, fully paid and non-assessable.</w:t>
      </w:r>
    </w:p>
    <w:p>
      <w:pPr>
        <w:spacing w:after="0" w:line="184" w:lineRule="exact"/>
        <w:rPr>
          <w:rFonts w:ascii="Times New Roman" w:cs="Times New Roman" w:eastAsia="Times New Roman" w:hAnsi="Times New Roman"/>
          <w:sz w:val="17"/>
          <w:szCs w:val="17"/>
          <w:color w:val="auto"/>
        </w:rPr>
      </w:pPr>
    </w:p>
    <w:p>
      <w:pPr>
        <w:jc w:val="both"/>
        <w:ind w:left="600" w:firstLine="617"/>
        <w:spacing w:after="0" w:line="250" w:lineRule="auto"/>
        <w:tabs>
          <w:tab w:leader="none" w:pos="1947"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Debt Securities: (i) the Registration Statement and any required post-effective amendments thereto have all become effective under the Securities Act and all prospectus supplements required by applicable law have been delivered and filed as required by such laws; (ii) an indenture in the form of Exhibit 4.2 to the Registration Statement and any necessary indenture supplements have been duly executed and delivered on behalf of the Company and a trustee qualified to act under applicable law and such indenture has been duly qualified under the Trust Indenture Act of 1939, as amended; (iii) all necessary corporate action has been taken by the Company to authorize, execute and deliver the indenture and any necessary indenture supplement and to authorize the form, terms, execution and delivery of the Debt Securities; (iv) any legally required consents, approvals, authorizations and other orders of the Commission and any other regulatory authorities have been obtained; and (v) such Debt Securities have been duly executed by the Company and authenticated by the trustee in accordance with the applicable indenture, or any applicable indenture supplement, and have been duly issued and delivered against payment therefor in accordance with such corporate action and applicable law and as contemplated in the Registration Statement and the prospectus supplement setting forth the terms of the Debt Securities and the plan of distribution, then, upon the happening of such events, such Debt Securities (including any Debt Securities to be issued by the Company upon the conversion or exercise of other Covered Securities issued by the Company pursuant to the Registration Statement)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234950</wp:posOffset>
            </wp:positionV>
            <wp:extent cx="714057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b w:val="1"/>
          <w:bCs w:val="1"/>
          <w:color w:val="auto"/>
        </w:rPr>
        <w:t>COVINGTON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4</w:t>
      </w:r>
    </w:p>
    <w:p>
      <w:pPr>
        <w:spacing w:after="0" w:line="194" w:lineRule="exact"/>
        <w:rPr>
          <w:sz w:val="20"/>
          <w:szCs w:val="20"/>
          <w:color w:val="auto"/>
        </w:rPr>
      </w:pPr>
    </w:p>
    <w:p>
      <w:pPr>
        <w:jc w:val="both"/>
        <w:ind w:left="600" w:firstLine="617"/>
        <w:spacing w:after="0" w:line="251" w:lineRule="auto"/>
        <w:tabs>
          <w:tab w:leader="none" w:pos="1811"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Warrants: (i) the Registration Statement and any required post-effective amendments thereto all have become effective under the Securities Act and all prospectus supplements required by applicable law have been delivered and filed as required by such laws; (ii) all necessary corporate action has been taken by the Company to authorize, execute and deliver a warrant agreement and to authorize the form, terms, execution and delivery of any Warrants and to fix or otherwise determine the consideration to be received for the Warrants and the terms of the offer and sale thereof; (iii) any legally required consents, approvals, authorizations and other orders of the Commission and any other regulatory authorities have been obtained; (iv) any shares of Common Stock or Preferred Stock or any Debt Securities purchasable upon exercise of such Warrants, as applicable, have been duly and validly authorized and, with respect to shares of Common Stock or Preferred Stock, reserved for issuance and sale; and (v) the warrant agreement with respect to the Warrants has been duly authorized, executed and delivered by the Company and the warrant agent, and the Warrants have been duly executed and delivered by the Company against payment therefor in accordance with any applicable warrant agreement, and in accordance with such corporate action and applicable law and as contemplated in the Registration Statement and the prospectus supplement setting forth the terms of the Warrants and the plan of distribution, then, upon the happening of such events, the Warrants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228600</wp:posOffset>
            </wp:positionV>
            <wp:extent cx="714057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b w:val="1"/>
          <w:bCs w:val="1"/>
          <w:color w:val="auto"/>
        </w:rPr>
        <w:t>COVINGTON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5</w:t>
      </w:r>
    </w:p>
    <w:p>
      <w:pPr>
        <w:spacing w:after="0" w:line="194" w:lineRule="exact"/>
        <w:rPr>
          <w:sz w:val="20"/>
          <w:szCs w:val="20"/>
          <w:color w:val="auto"/>
        </w:rPr>
      </w:pPr>
    </w:p>
    <w:p>
      <w:pPr>
        <w:jc w:val="both"/>
        <w:ind w:left="600" w:firstLine="617"/>
        <w:spacing w:after="0" w:line="251" w:lineRule="auto"/>
        <w:tabs>
          <w:tab w:leader="none" w:pos="1894"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Units: (i) the Registration Statement and any required post-effective amendments thereto all have become effective under the Securities Act and all prospectus supplements required by applicable law have been delivered and filed as required by such laws; (ii) all necessary corporate action has been taken by the Company to authorize, execute and deliver a unit agreement and to authorize the form, terms, execution and delivery of the Units and to fix or otherwise determine the consideration to be received for the Units and the terms of the offer and sale thereof; (iii) any legally required consents, approvals, authorizations and other orders of the Commission and any other regulatory authorities have been obtained; (iv) any shares of Common Stock or Preferred Stock or any Debt Securities or other securities to be issued pursuant to such Units have been duly and validly authorized and, with respect to shares of Common Stock or Preferred Stock, reserved for issuance and sale; and (v) any necessary unit agreement has been duly authorized, executed and delivered by the Company and any other party thereto, and the Units have been duly executed and delivered by the Company against payment therefor in accordance with any applicable unit agreement, and in accordance with such corporate action and applicable law and as contemplated in the Registration Statement and the prospectus supplement setting forth the terms of the Units and the plan of distribution, then, upon the happening of such events, the Units will constitute the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spacing w:after="0" w:line="179" w:lineRule="exact"/>
        <w:rPr>
          <w:sz w:val="20"/>
          <w:szCs w:val="20"/>
          <w:color w:val="auto"/>
        </w:rPr>
      </w:pPr>
    </w:p>
    <w:p>
      <w:pPr>
        <w:jc w:val="both"/>
        <w:ind w:firstLine="608"/>
        <w:spacing w:after="0" w:line="262" w:lineRule="auto"/>
        <w:rPr>
          <w:sz w:val="20"/>
          <w:szCs w:val="20"/>
          <w:color w:val="auto"/>
        </w:rPr>
      </w:pPr>
      <w:r>
        <w:rPr>
          <w:rFonts w:ascii="Times New Roman" w:cs="Times New Roman" w:eastAsia="Times New Roman" w:hAnsi="Times New Roman"/>
          <w:sz w:val="17"/>
          <w:szCs w:val="17"/>
          <w:color w:val="auto"/>
        </w:rPr>
        <w:t>Our opinions above are qualified to the extent that the enforcement of any Covered Securities denominated in a currency other than United States dollars may be limited by requirements that a claim (or a foreign currency judgment in respect of such claim) be converted into United States dollars at a rate of exchange prevailing on a date determined pursuant to applicable law.</w:t>
      </w:r>
    </w:p>
    <w:p>
      <w:pPr>
        <w:spacing w:after="0" w:line="170" w:lineRule="exact"/>
        <w:rPr>
          <w:sz w:val="20"/>
          <w:szCs w:val="20"/>
          <w:color w:val="auto"/>
        </w:rPr>
      </w:pPr>
    </w:p>
    <w:p>
      <w:pPr>
        <w:jc w:val="both"/>
        <w:ind w:firstLine="608"/>
        <w:spacing w:after="0" w:line="255" w:lineRule="auto"/>
        <w:rPr>
          <w:sz w:val="20"/>
          <w:szCs w:val="20"/>
          <w:color w:val="auto"/>
        </w:rPr>
      </w:pPr>
      <w:r>
        <w:rPr>
          <w:rFonts w:ascii="Times New Roman" w:cs="Times New Roman" w:eastAsia="Times New Roman" w:hAnsi="Times New Roman"/>
          <w:sz w:val="17"/>
          <w:szCs w:val="17"/>
          <w:color w:val="auto"/>
        </w:rPr>
        <w:t>We express no opinion as to: (i) waivers of defenses, subrogation and related rights, rights to trial by jury, rights to object to venue, or other rights or benefits bestowed by operation of law; (ii) releases or waivers of unmatured claims or rights; (iii) indemnification, contribution, exculpation, or arbitration provisions, or provisions for the non-survival of representations, to the extent they purport to indemnify any party against, or release or limit any party’s liability for, its own breach or failure to comply with statutory obligations, or to the extent such provisions are contrary to public policy; (iv) provisions for liquidated damages and penalties, penalty interest and interest on interest; or (v) provisions making notices effective even if not actually received.</w:t>
      </w:r>
    </w:p>
    <w:p>
      <w:pPr>
        <w:spacing w:after="0" w:line="177" w:lineRule="exact"/>
        <w:rPr>
          <w:sz w:val="20"/>
          <w:szCs w:val="20"/>
          <w:color w:val="auto"/>
        </w:rPr>
      </w:pPr>
    </w:p>
    <w:p>
      <w:pPr>
        <w:jc w:val="both"/>
        <w:ind w:firstLine="608"/>
        <w:spacing w:after="0" w:line="276" w:lineRule="auto"/>
        <w:rPr>
          <w:sz w:val="20"/>
          <w:szCs w:val="20"/>
          <w:color w:val="auto"/>
        </w:rPr>
      </w:pPr>
      <w:r>
        <w:rPr>
          <w:rFonts w:ascii="Times New Roman" w:cs="Times New Roman" w:eastAsia="Times New Roman" w:hAnsi="Times New Roman"/>
          <w:sz w:val="17"/>
          <w:szCs w:val="17"/>
          <w:color w:val="auto"/>
        </w:rPr>
        <w:t>We are members of the bar of the State of New York. We do not express any opinion herein on any laws other than the laws of the State of New York and the Delaware General Corporation Law.</w:t>
      </w:r>
    </w:p>
    <w:p>
      <w:pPr>
        <w:spacing w:after="0" w:line="158" w:lineRule="exact"/>
        <w:rPr>
          <w:sz w:val="20"/>
          <w:szCs w:val="20"/>
          <w:color w:val="auto"/>
        </w:rPr>
      </w:pPr>
    </w:p>
    <w:p>
      <w:pPr>
        <w:jc w:val="both"/>
        <w:ind w:firstLine="608"/>
        <w:spacing w:after="0" w:line="262"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5.1 to the Registration Statement. We also hereby consent to the reference to our firm under the heading “Legal Matters” in the prospectus relating to the offer and sale of the Covered Securities constituting part of the Registration Statement. In giving such consent, we do not thereby admit that we are in the category of persons whose consent is required under Section 7 of the Securities Act.</w:t>
      </w:r>
    </w:p>
    <w:p>
      <w:pPr>
        <w:spacing w:after="0" w:line="1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318770</wp:posOffset>
            </wp:positionV>
            <wp:extent cx="714057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5.2</w:t>
      </w: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2275840" cy="643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2275840" cy="643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The New York Times Building</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620 Eighth Avenue</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New York, NY 10018-1405</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 +1 212 841 1000</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December 13,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7495 New Horizon Way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Frederick, Maryland 21703</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06" w:lineRule="exact"/>
        <w:rPr>
          <w:sz w:val="20"/>
          <w:szCs w:val="20"/>
          <w:color w:val="auto"/>
        </w:rPr>
      </w:pPr>
    </w:p>
    <w:p>
      <w:pPr>
        <w:jc w:val="both"/>
        <w:ind w:firstLine="608"/>
        <w:spacing w:after="0" w:line="255" w:lineRule="auto"/>
        <w:rPr>
          <w:sz w:val="20"/>
          <w:szCs w:val="20"/>
          <w:color w:val="auto"/>
        </w:rPr>
      </w:pPr>
      <w:r>
        <w:rPr>
          <w:rFonts w:ascii="Times New Roman" w:cs="Times New Roman" w:eastAsia="Times New Roman" w:hAnsi="Times New Roman"/>
          <w:sz w:val="17"/>
          <w:szCs w:val="17"/>
          <w:color w:val="auto"/>
        </w:rPr>
        <w:t>We have acted as counsel to Cartesian Therapeutics, Inc., a Delaware corporation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in connection with the registration by the Company under the Securities Act of 1933, as amended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of the offer and sale of shares of the Company’s common stock, $0.0001 par value per share, having an aggregate offering price of up to $100,000,000 (the “</w:t>
      </w:r>
      <w:r>
        <w:rPr>
          <w:rFonts w:ascii="Times New Roman" w:cs="Times New Roman" w:eastAsia="Times New Roman" w:hAnsi="Times New Roman"/>
          <w:sz w:val="17"/>
          <w:szCs w:val="17"/>
          <w:i w:val="1"/>
          <w:iCs w:val="1"/>
          <w:color w:val="auto"/>
        </w:rPr>
        <w:t>Shares</w:t>
      </w:r>
      <w:r>
        <w:rPr>
          <w:rFonts w:ascii="Times New Roman" w:cs="Times New Roman" w:eastAsia="Times New Roman" w:hAnsi="Times New Roman"/>
          <w:sz w:val="17"/>
          <w:szCs w:val="17"/>
          <w:color w:val="auto"/>
        </w:rPr>
        <w:t xml:space="preserve">”), pursuant to the Sales Agreement, dated </w:t>
      </w:r>
      <w:r>
        <w:rPr>
          <w:rFonts w:ascii="Times New Roman" w:cs="Times New Roman" w:eastAsia="Times New Roman" w:hAnsi="Times New Roman"/>
          <w:sz w:val="17"/>
          <w:szCs w:val="17"/>
          <w:b w:val="1"/>
          <w:bCs w:val="1"/>
          <w:color w:val="auto"/>
        </w:rPr>
        <w:t>December 13, 2024</w:t>
      </w:r>
      <w:r>
        <w:rPr>
          <w:rFonts w:ascii="Times New Roman" w:cs="Times New Roman" w:eastAsia="Times New Roman" w:hAnsi="Times New Roman"/>
          <w:sz w:val="17"/>
          <w:szCs w:val="17"/>
          <w:color w:val="auto"/>
        </w:rPr>
        <w:t>, between the Company and Leerink Partners LLC, as sales agent (the “</w:t>
      </w:r>
      <w:r>
        <w:rPr>
          <w:rFonts w:ascii="Times New Roman" w:cs="Times New Roman" w:eastAsia="Times New Roman" w:hAnsi="Times New Roman"/>
          <w:sz w:val="17"/>
          <w:szCs w:val="17"/>
          <w:i w:val="1"/>
          <w:iCs w:val="1"/>
          <w:color w:val="auto"/>
        </w:rPr>
        <w:t>Sales Agreement</w:t>
      </w:r>
      <w:r>
        <w:rPr>
          <w:rFonts w:ascii="Times New Roman" w:cs="Times New Roman" w:eastAsia="Times New Roman" w:hAnsi="Times New Roman"/>
          <w:sz w:val="17"/>
          <w:szCs w:val="17"/>
          <w:color w:val="auto"/>
        </w:rPr>
        <w:t>”). The offer and sale of the Shares are being registered under the Securities Act pursuant to the Company’s registration statement on Form S-3 filed with the Securities and Exchange Commission (the “</w:t>
      </w:r>
      <w:r>
        <w:rPr>
          <w:rFonts w:ascii="Times New Roman" w:cs="Times New Roman" w:eastAsia="Times New Roman" w:hAnsi="Times New Roman"/>
          <w:sz w:val="17"/>
          <w:szCs w:val="17"/>
          <w:i w:val="1"/>
          <w:iCs w:val="1"/>
          <w:color w:val="auto"/>
        </w:rPr>
        <w:t>Commission</w:t>
      </w:r>
      <w:r>
        <w:rPr>
          <w:rFonts w:ascii="Times New Roman" w:cs="Times New Roman" w:eastAsia="Times New Roman" w:hAnsi="Times New Roman"/>
          <w:sz w:val="17"/>
          <w:szCs w:val="17"/>
          <w:color w:val="auto"/>
        </w:rPr>
        <w:t xml:space="preserve">”) on </w:t>
      </w:r>
      <w:r>
        <w:rPr>
          <w:rFonts w:ascii="Times New Roman" w:cs="Times New Roman" w:eastAsia="Times New Roman" w:hAnsi="Times New Roman"/>
          <w:sz w:val="17"/>
          <w:szCs w:val="17"/>
          <w:b w:val="1"/>
          <w:bCs w:val="1"/>
          <w:color w:val="auto"/>
        </w:rPr>
        <w:t>the date hereof</w:t>
      </w:r>
      <w:r>
        <w:rPr>
          <w:rFonts w:ascii="Times New Roman" w:cs="Times New Roman" w:eastAsia="Times New Roman" w:hAnsi="Times New Roman"/>
          <w:sz w:val="17"/>
          <w:szCs w:val="17"/>
          <w:color w:val="auto"/>
        </w:rPr>
        <w:t xml:space="preserve"> (such registration statement, as amended as of the date hereof, is herein referred to as the “</w:t>
      </w:r>
      <w:r>
        <w:rPr>
          <w:rFonts w:ascii="Times New Roman" w:cs="Times New Roman" w:eastAsia="Times New Roman" w:hAnsi="Times New Roman"/>
          <w:sz w:val="17"/>
          <w:szCs w:val="17"/>
          <w:i w:val="1"/>
          <w:iCs w:val="1"/>
          <w:color w:val="auto"/>
        </w:rPr>
        <w:t>Registration Statement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ind w:firstLine="608"/>
        <w:spacing w:after="0" w:line="265" w:lineRule="auto"/>
        <w:rPr>
          <w:sz w:val="20"/>
          <w:szCs w:val="20"/>
          <w:color w:val="auto"/>
        </w:rPr>
      </w:pPr>
      <w:r>
        <w:rPr>
          <w:rFonts w:ascii="Times New Roman" w:cs="Times New Roman" w:eastAsia="Times New Roman" w:hAnsi="Times New Roman"/>
          <w:sz w:val="17"/>
          <w:szCs w:val="17"/>
          <w:color w:val="auto"/>
        </w:rPr>
        <w:t>We have reviewed the Sales Agreement, the Registration Statement, and the prospectus included therein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with respect to the offer and sale of the Shares. We have also reviewed such corporate records, certificates and other documents, and such questions of law, as we have considered necessary or appropriate for the purposes of this opinion.</w:t>
      </w:r>
    </w:p>
    <w:p>
      <w:pPr>
        <w:spacing w:after="0" w:line="167" w:lineRule="exact"/>
        <w:rPr>
          <w:sz w:val="20"/>
          <w:szCs w:val="20"/>
          <w:color w:val="auto"/>
        </w:rPr>
      </w:pPr>
    </w:p>
    <w:p>
      <w:pPr>
        <w:jc w:val="both"/>
        <w:ind w:firstLine="608"/>
        <w:spacing w:after="0" w:line="276" w:lineRule="auto"/>
        <w:rPr>
          <w:sz w:val="20"/>
          <w:szCs w:val="20"/>
          <w:color w:val="auto"/>
        </w:rPr>
      </w:pPr>
      <w:r>
        <w:rPr>
          <w:rFonts w:ascii="Times New Roman" w:cs="Times New Roman" w:eastAsia="Times New Roman" w:hAnsi="Times New Roman"/>
          <w:sz w:val="17"/>
          <w:szCs w:val="17"/>
          <w:color w:val="auto"/>
        </w:rPr>
        <w:t>We have assumed that all signatures are genuine, that all documents submitted to us as originals are authentic and that all copies of documents submitted to us conform to the originals.</w:t>
      </w:r>
    </w:p>
    <w:p>
      <w:pPr>
        <w:spacing w:after="0" w:line="158" w:lineRule="exact"/>
        <w:rPr>
          <w:sz w:val="20"/>
          <w:szCs w:val="20"/>
          <w:color w:val="auto"/>
        </w:rPr>
      </w:pPr>
    </w:p>
    <w:p>
      <w:pPr>
        <w:jc w:val="both"/>
        <w:ind w:firstLine="608"/>
        <w:spacing w:after="0" w:line="276" w:lineRule="auto"/>
        <w:rPr>
          <w:sz w:val="20"/>
          <w:szCs w:val="20"/>
          <w:color w:val="auto"/>
        </w:rPr>
      </w:pPr>
      <w:r>
        <w:rPr>
          <w:rFonts w:ascii="Times New Roman" w:cs="Times New Roman" w:eastAsia="Times New Roman" w:hAnsi="Times New Roman"/>
          <w:sz w:val="17"/>
          <w:szCs w:val="17"/>
          <w:color w:val="auto"/>
        </w:rPr>
        <w:t>We have relied as to certain matters on information obtained from public officials, officers of the Company and other sources believed by us to be responsible.</w:t>
      </w:r>
    </w:p>
    <w:p>
      <w:pPr>
        <w:spacing w:after="0" w:line="158" w:lineRule="exact"/>
        <w:rPr>
          <w:sz w:val="20"/>
          <w:szCs w:val="20"/>
          <w:color w:val="auto"/>
        </w:rPr>
      </w:pPr>
    </w:p>
    <w:p>
      <w:pPr>
        <w:jc w:val="both"/>
        <w:ind w:firstLine="608"/>
        <w:spacing w:after="0" w:line="262" w:lineRule="auto"/>
        <w:rPr>
          <w:sz w:val="20"/>
          <w:szCs w:val="20"/>
          <w:color w:val="auto"/>
        </w:rPr>
      </w:pPr>
      <w:r>
        <w:rPr>
          <w:rFonts w:ascii="Times New Roman" w:cs="Times New Roman" w:eastAsia="Times New Roman" w:hAnsi="Times New Roman"/>
          <w:sz w:val="17"/>
          <w:szCs w:val="17"/>
          <w:color w:val="auto"/>
        </w:rPr>
        <w:t>Based upon the foregoing, we are of the opinion that the Shares have been duly authorized, and when issued and sold by the Company pursuant to the terms of the Sales Agreement and upon receipt by the Company of full payment therefor in accordance with the Sales Agreement, will be validly issued, fully paid and non-assessable.</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are members of the bar of the State of New York. We do not express any opinion herein on any laws other than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248285</wp:posOffset>
            </wp:positionV>
            <wp:extent cx="714057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65" w:name="page166"/>
    <w:bookmarkEnd w:id="165"/>
    <w:p>
      <w:pPr>
        <w:ind w:left="40"/>
        <w:spacing w:after="0"/>
        <w:rPr>
          <w:sz w:val="20"/>
          <w:szCs w:val="20"/>
          <w:color w:val="auto"/>
        </w:rPr>
      </w:pPr>
      <w:r>
        <w:rPr>
          <w:rFonts w:ascii="Times New Roman" w:cs="Times New Roman" w:eastAsia="Times New Roman" w:hAnsi="Times New Roman"/>
          <w:sz w:val="17"/>
          <w:szCs w:val="17"/>
          <w:b w:val="1"/>
          <w:bCs w:val="1"/>
          <w:color w:val="auto"/>
        </w:rPr>
        <w:t>COVINGTON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Cartesian Therapeutics,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194" w:lineRule="exact"/>
        <w:rPr>
          <w:sz w:val="20"/>
          <w:szCs w:val="20"/>
          <w:color w:val="auto"/>
        </w:rPr>
      </w:pPr>
    </w:p>
    <w:p>
      <w:pPr>
        <w:jc w:val="both"/>
        <w:ind w:firstLine="608"/>
        <w:spacing w:after="0" w:line="262" w:lineRule="auto"/>
        <w:rPr>
          <w:sz w:val="20"/>
          <w:szCs w:val="20"/>
          <w:color w:val="auto"/>
        </w:rPr>
      </w:pPr>
      <w:r>
        <w:rPr>
          <w:rFonts w:ascii="Times New Roman" w:cs="Times New Roman" w:eastAsia="Times New Roman" w:hAnsi="Times New Roman"/>
          <w:sz w:val="17"/>
          <w:szCs w:val="17"/>
          <w:color w:val="auto"/>
        </w:rPr>
        <w:t>We hereby consent to the filing of this opinion as Exhibit 5.2 to the Company’s Current Report on Form 8-K dated the date hereof related to the offering of the Shares. We also hereby consent to the reference to our firm under the heading “Legal Matters” in the prospectus constituting part of the Registration Statement</w:t>
      </w:r>
      <w:r>
        <w:rPr>
          <w:rFonts w:ascii="Times New Roman" w:cs="Times New Roman" w:eastAsia="Times New Roman" w:hAnsi="Times New Roman"/>
          <w:sz w:val="17"/>
          <w:szCs w:val="17"/>
          <w:color w:val="000033"/>
        </w:rPr>
        <w:t>.</w:t>
      </w:r>
      <w:r>
        <w:rPr>
          <w:rFonts w:ascii="Times New Roman" w:cs="Times New Roman" w:eastAsia="Times New Roman" w:hAnsi="Times New Roman"/>
          <w:sz w:val="17"/>
          <w:szCs w:val="17"/>
          <w:color w:val="auto"/>
        </w:rPr>
        <w:t xml:space="preserve"> In giving such consent, we do not thereby admit that we are in the category of persons whose consent is required under Section 7 of the Securities Act.</w:t>
      </w:r>
    </w:p>
    <w:p>
      <w:pPr>
        <w:spacing w:after="0" w:line="1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1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328295</wp:posOffset>
            </wp:positionV>
            <wp:extent cx="714057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23.3</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in the Registration Statement (Form S-3) and related Prospectus of Cartesian Therapeutics, Inc. for the registration of its common stock, preferred stock, debt securities, warrants and units and to the incorporation by reference therein of our reports dated March 7, 2024, with respect to the consolidated financial statements of Cartesian Therapeutics, Inc. and the effectiveness of internal control over financial reporting of Cartesian Therapeutics, Inc. included in its Annual Report (Form 10-K) for the year ended December 31, 2023, filed with the Securities and Exchange Commission.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7140575" cy="158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259"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23.4</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Auditor</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Prospectus constituting a part of this Registration Statement of Cartesian Therapeutics, Inc. (formerly known as Selecta Biosciences, Inc.) of our report dated January 23, 2024, relating to the financial statements of Cartesian Therapeutics, Inc., appearing in Cartesian Therapeutics, Inc.’s (formerly known as Selecta Biosciences, Inc.) Current Report on Form 8-K/A filed January 23,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us under the caption “Experts” in the Prospectus.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Potomac, Maryland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320675</wp:posOffset>
            </wp:positionV>
            <wp:extent cx="7140575" cy="158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168" w:name="page169"/>
    <w:bookmarkEnd w:id="168"/>
    <w:p>
      <w:pPr>
        <w:ind w:left="104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140575" cy="323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7140575" cy="32385"/>
                    </a:xfrm>
                    <a:prstGeom prst="rect">
                      <a:avLst/>
                    </a:prstGeom>
                    <a:noFill/>
                  </pic:spPr>
                </pic:pic>
              </a:graphicData>
            </a:graphic>
          </wp:anchor>
        </w:drawing>
        <w:t>Exhibit 107</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980" w:type="dxa"/>
            <w:vAlign w:val="bottom"/>
            <w:gridSpan w:val="8"/>
          </w:tcPr>
          <w:p>
            <w:pPr>
              <w:jc w:val="center"/>
              <w:ind w:right="700"/>
              <w:spacing w:after="0"/>
              <w:rPr>
                <w:sz w:val="20"/>
                <w:szCs w:val="20"/>
                <w:color w:val="auto"/>
              </w:rPr>
            </w:pPr>
            <w:r>
              <w:rPr>
                <w:rFonts w:ascii="Times New Roman" w:cs="Times New Roman" w:eastAsia="Times New Roman" w:hAnsi="Times New Roman"/>
                <w:sz w:val="17"/>
                <w:szCs w:val="17"/>
                <w:b w:val="1"/>
                <w:bCs w:val="1"/>
                <w:color w:val="auto"/>
                <w:w w:val="98"/>
              </w:rPr>
              <w:t>Calculation of Filing Fee Tables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right="660"/>
              <w:spacing w:after="0"/>
              <w:rPr>
                <w:sz w:val="20"/>
                <w:szCs w:val="20"/>
                <w:color w:val="auto"/>
              </w:rPr>
            </w:pPr>
            <w:r>
              <w:rPr>
                <w:rFonts w:ascii="Times New Roman" w:cs="Times New Roman" w:eastAsia="Times New Roman" w:hAnsi="Times New Roman"/>
                <w:sz w:val="17"/>
                <w:szCs w:val="17"/>
                <w:color w:val="auto"/>
                <w:w w:val="98"/>
              </w:rPr>
              <w:t>Form S-3</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4"/>
          </w:tcPr>
          <w:p>
            <w:pPr>
              <w:jc w:val="center"/>
              <w:ind w:right="540"/>
              <w:spacing w:after="0"/>
              <w:rPr>
                <w:sz w:val="20"/>
                <w:szCs w:val="20"/>
                <w:color w:val="auto"/>
              </w:rPr>
            </w:pPr>
            <w:r>
              <w:rPr>
                <w:rFonts w:ascii="Times New Roman" w:cs="Times New Roman" w:eastAsia="Times New Roman" w:hAnsi="Times New Roman"/>
                <w:sz w:val="17"/>
                <w:szCs w:val="17"/>
                <w:color w:val="auto"/>
                <w:w w:val="98"/>
              </w:rPr>
              <w:t>(Form Type)</w:t>
            </w: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5"/>
          </w:tcPr>
          <w:p>
            <w:pPr>
              <w:jc w:val="center"/>
              <w:spacing w:after="0"/>
              <w:rPr>
                <w:sz w:val="20"/>
                <w:szCs w:val="20"/>
                <w:color w:val="auto"/>
              </w:rPr>
            </w:pPr>
            <w:r>
              <w:rPr>
                <w:rFonts w:ascii="Times New Roman" w:cs="Times New Roman" w:eastAsia="Times New Roman" w:hAnsi="Times New Roman"/>
                <w:sz w:val="17"/>
                <w:szCs w:val="17"/>
                <w:color w:val="auto"/>
                <w:w w:val="99"/>
              </w:rPr>
              <w:t>Cartesian Therapeutics, Inc.</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40" w:type="dxa"/>
            <w:vAlign w:val="bottom"/>
            <w:gridSpan w:val="9"/>
          </w:tcPr>
          <w:p>
            <w:pPr>
              <w:jc w:val="center"/>
              <w:ind w:left="277"/>
              <w:spacing w:after="0"/>
              <w:rPr>
                <w:sz w:val="20"/>
                <w:szCs w:val="20"/>
                <w:color w:val="auto"/>
              </w:rPr>
            </w:pPr>
            <w:r>
              <w:rPr>
                <w:rFonts w:ascii="Times New Roman" w:cs="Times New Roman" w:eastAsia="Times New Roman" w:hAnsi="Times New Roman"/>
                <w:sz w:val="17"/>
                <w:szCs w:val="17"/>
                <w:color w:val="auto"/>
                <w:w w:val="99"/>
              </w:rPr>
              <w:t>(Exact Name of Registrant as Specified in its Charter)</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gridSpan w:val="12"/>
          </w:tcPr>
          <w:p>
            <w:pPr>
              <w:jc w:val="center"/>
              <w:ind w:right="480"/>
              <w:spacing w:after="0"/>
              <w:rPr>
                <w:sz w:val="20"/>
                <w:szCs w:val="20"/>
                <w:color w:val="auto"/>
              </w:rPr>
            </w:pPr>
            <w:r>
              <w:rPr>
                <w:rFonts w:ascii="Times New Roman" w:cs="Times New Roman" w:eastAsia="Times New Roman" w:hAnsi="Times New Roman"/>
                <w:sz w:val="17"/>
                <w:szCs w:val="17"/>
                <w:color w:val="auto"/>
                <w:w w:val="97"/>
              </w:rPr>
              <w:t>Table 1: Newly Registered Securities and Carry Forward Securities</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color w:val="auto"/>
                <w:w w:val="97"/>
              </w:rPr>
              <w:t>Filing Fee</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Previously</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w w:val="97"/>
              </w:rPr>
              <w:t>Proposed</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Carry</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Paid In</w:t>
            </w: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tcPr>
          <w:p>
            <w:pPr>
              <w:spacing w:after="0"/>
              <w:rPr>
                <w:sz w:val="8"/>
                <w:szCs w:val="8"/>
                <w:color w:val="auto"/>
              </w:rPr>
            </w:pPr>
          </w:p>
        </w:tc>
        <w:tc>
          <w:tcPr>
            <w:tcW w:w="960" w:type="dxa"/>
            <w:vAlign w:val="bottom"/>
            <w:tcBorders>
              <w:right w:val="single" w:sz="8" w:color="auto"/>
            </w:tcBorders>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Borders>
              <w:right w:val="single" w:sz="8" w:color="auto"/>
            </w:tcBorders>
            <w:vMerge w:val="restart"/>
          </w:tcPr>
          <w:p>
            <w:pPr>
              <w:jc w:val="center"/>
              <w:ind w:right="216"/>
              <w:spacing w:after="0"/>
              <w:rPr>
                <w:sz w:val="20"/>
                <w:szCs w:val="20"/>
                <w:color w:val="auto"/>
              </w:rPr>
            </w:pPr>
            <w:r>
              <w:rPr>
                <w:rFonts w:ascii="Times New Roman" w:cs="Times New Roman" w:eastAsia="Times New Roman" w:hAnsi="Times New Roman"/>
                <w:sz w:val="17"/>
                <w:szCs w:val="17"/>
                <w:color w:val="auto"/>
                <w:w w:val="98"/>
              </w:rPr>
              <w:t>Maximum</w:t>
            </w:r>
          </w:p>
        </w:tc>
        <w:tc>
          <w:tcPr>
            <w:tcW w:w="8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Carry</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Carry</w:t>
            </w:r>
          </w:p>
        </w:tc>
        <w:tc>
          <w:tcPr>
            <w:tcW w:w="74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6"/>
              </w:rPr>
              <w:t>Connection</w:t>
            </w:r>
          </w:p>
        </w:tc>
        <w:tc>
          <w:tcPr>
            <w:tcW w:w="0" w:type="dxa"/>
            <w:vAlign w:val="bottom"/>
          </w:tcPr>
          <w:p>
            <w:pPr>
              <w:spacing w:after="0"/>
              <w:rPr>
                <w:sz w:val="1"/>
                <w:szCs w:val="1"/>
                <w:color w:val="auto"/>
              </w:rPr>
            </w:pPr>
          </w:p>
        </w:tc>
      </w:tr>
      <w:tr>
        <w:trPr>
          <w:trHeight w:val="168"/>
        </w:trPr>
        <w:tc>
          <w:tcPr>
            <w:tcW w:w="78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Security</w:t>
            </w:r>
          </w:p>
        </w:tc>
        <w:tc>
          <w:tcPr>
            <w:tcW w:w="90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color w:val="auto"/>
                <w:w w:val="97"/>
              </w:rPr>
              <w:t>Fee</w:t>
            </w:r>
          </w:p>
        </w:tc>
        <w:tc>
          <w:tcPr>
            <w:tcW w:w="1060" w:type="dxa"/>
            <w:vAlign w:val="bottom"/>
            <w:tcBorders>
              <w:right w:val="single" w:sz="8" w:color="auto"/>
            </w:tcBorders>
          </w:tcPr>
          <w:p>
            <w:pPr>
              <w:spacing w:after="0"/>
              <w:rPr>
                <w:sz w:val="14"/>
                <w:szCs w:val="14"/>
                <w:color w:val="auto"/>
              </w:rPr>
            </w:pPr>
          </w:p>
        </w:tc>
        <w:tc>
          <w:tcPr>
            <w:tcW w:w="820" w:type="dxa"/>
            <w:vAlign w:val="bottom"/>
            <w:tcBorders>
              <w:right w:val="single" w:sz="8" w:color="auto"/>
            </w:tcBorders>
            <w:gridSpan w:val="3"/>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Maximum</w:t>
            </w:r>
          </w:p>
        </w:tc>
        <w:tc>
          <w:tcPr>
            <w:tcW w:w="140" w:type="dxa"/>
            <w:vAlign w:val="bottom"/>
          </w:tcPr>
          <w:p>
            <w:pPr>
              <w:spacing w:after="0"/>
              <w:rPr>
                <w:sz w:val="14"/>
                <w:szCs w:val="14"/>
                <w:color w:val="auto"/>
              </w:rPr>
            </w:pPr>
          </w:p>
        </w:tc>
        <w:tc>
          <w:tcPr>
            <w:tcW w:w="1080" w:type="dxa"/>
            <w:vAlign w:val="bottom"/>
            <w:tcBorders>
              <w:right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right w:val="single" w:sz="8" w:color="auto"/>
            </w:tcBorders>
            <w:gridSpan w:val="3"/>
          </w:tcPr>
          <w:p>
            <w:pPr>
              <w:ind w:left="60"/>
              <w:spacing w:after="0" w:line="168" w:lineRule="exact"/>
              <w:rPr>
                <w:sz w:val="20"/>
                <w:szCs w:val="20"/>
                <w:color w:val="auto"/>
              </w:rPr>
            </w:pPr>
            <w:r>
              <w:rPr>
                <w:rFonts w:ascii="Times New Roman" w:cs="Times New Roman" w:eastAsia="Times New Roman" w:hAnsi="Times New Roman"/>
                <w:sz w:val="17"/>
                <w:szCs w:val="17"/>
                <w:color w:val="auto"/>
              </w:rPr>
              <w:t>Amount of</w:t>
            </w:r>
          </w:p>
        </w:tc>
        <w:tc>
          <w:tcPr>
            <w:tcW w:w="680" w:type="dxa"/>
            <w:vAlign w:val="bottom"/>
            <w:tcBorders>
              <w:right w:val="single" w:sz="8" w:color="auto"/>
            </w:tcBorders>
            <w:vMerge w:val="continue"/>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7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color w:val="auto"/>
                <w:w w:val="97"/>
              </w:rPr>
              <w:t>Forward</w:t>
            </w:r>
          </w:p>
        </w:tc>
        <w:tc>
          <w:tcPr>
            <w:tcW w:w="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Security</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Class</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Calculation</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Amount</w:t>
            </w:r>
          </w:p>
        </w:tc>
        <w:tc>
          <w:tcPr>
            <w:tcW w:w="720" w:type="dxa"/>
            <w:vAlign w:val="bottom"/>
            <w:gridSpan w:val="2"/>
          </w:tcPr>
          <w:p>
            <w:pPr>
              <w:jc w:val="center"/>
              <w:ind w:left="16"/>
              <w:spacing w:after="0"/>
              <w:rPr>
                <w:sz w:val="20"/>
                <w:szCs w:val="20"/>
                <w:color w:val="auto"/>
              </w:rPr>
            </w:pPr>
            <w:r>
              <w:rPr>
                <w:rFonts w:ascii="Times New Roman" w:cs="Times New Roman" w:eastAsia="Times New Roman" w:hAnsi="Times New Roman"/>
                <w:sz w:val="17"/>
                <w:szCs w:val="17"/>
                <w:color w:val="auto"/>
                <w:w w:val="99"/>
              </w:rPr>
              <w:t>Offering</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jc w:val="center"/>
              <w:ind w:right="216"/>
              <w:spacing w:after="0"/>
              <w:rPr>
                <w:sz w:val="20"/>
                <w:szCs w:val="20"/>
                <w:color w:val="auto"/>
              </w:rPr>
            </w:pPr>
            <w:r>
              <w:rPr>
                <w:rFonts w:ascii="Times New Roman" w:cs="Times New Roman" w:eastAsia="Times New Roman" w:hAnsi="Times New Roman"/>
                <w:sz w:val="17"/>
                <w:szCs w:val="17"/>
                <w:color w:val="auto"/>
                <w:w w:val="98"/>
              </w:rPr>
              <w:t>Aggregate</w:t>
            </w:r>
          </w:p>
        </w:tc>
        <w:tc>
          <w:tcPr>
            <w:tcW w:w="80" w:type="dxa"/>
            <w:vAlign w:val="bottom"/>
          </w:tcPr>
          <w:p>
            <w:pPr>
              <w:spacing w:after="0"/>
              <w:rPr>
                <w:sz w:val="17"/>
                <w:szCs w:val="17"/>
                <w:color w:val="auto"/>
              </w:rPr>
            </w:pPr>
          </w:p>
        </w:tc>
        <w:tc>
          <w:tcPr>
            <w:tcW w:w="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Fee</w:t>
            </w:r>
          </w:p>
        </w:tc>
        <w:tc>
          <w:tcPr>
            <w:tcW w:w="40" w:type="dxa"/>
            <w:vAlign w:val="bottom"/>
          </w:tcPr>
          <w:p>
            <w:pPr>
              <w:spacing w:after="0"/>
              <w:rPr>
                <w:sz w:val="17"/>
                <w:szCs w:val="17"/>
                <w:color w:val="auto"/>
              </w:rPr>
            </w:pPr>
          </w:p>
        </w:tc>
        <w:tc>
          <w:tcPr>
            <w:tcW w:w="92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Registration</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Forward</w:t>
            </w:r>
          </w:p>
        </w:tc>
        <w:tc>
          <w:tcPr>
            <w:tcW w:w="740" w:type="dxa"/>
            <w:vAlign w:val="bottom"/>
            <w:tcBorders>
              <w:right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Initial</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with</w:t>
            </w:r>
          </w:p>
        </w:tc>
        <w:tc>
          <w:tcPr>
            <w:tcW w:w="0" w:type="dxa"/>
            <w:vAlign w:val="bottom"/>
          </w:tcPr>
          <w:p>
            <w:pPr>
              <w:spacing w:after="0"/>
              <w:rPr>
                <w:sz w:val="1"/>
                <w:szCs w:val="1"/>
                <w:color w:val="auto"/>
              </w:rPr>
            </w:pPr>
          </w:p>
        </w:tc>
      </w:tr>
      <w:tr>
        <w:trPr>
          <w:trHeight w:val="136"/>
        </w:trPr>
        <w:tc>
          <w:tcPr>
            <w:tcW w:w="780" w:type="dxa"/>
            <w:vAlign w:val="bottom"/>
            <w:tcBorders>
              <w:left w:val="single" w:sz="8" w:color="auto"/>
              <w:right w:val="single" w:sz="8" w:color="auto"/>
            </w:tcBorders>
          </w:tcPr>
          <w:p>
            <w:pPr>
              <w:spacing w:after="0"/>
              <w:rPr>
                <w:sz w:val="11"/>
                <w:szCs w:val="11"/>
                <w:color w:val="auto"/>
              </w:rPr>
            </w:pPr>
          </w:p>
        </w:tc>
        <w:tc>
          <w:tcPr>
            <w:tcW w:w="9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color w:val="auto"/>
              </w:rPr>
              <w:t>Type</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Title</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color w:val="auto"/>
              </w:rPr>
              <w:t>Registered</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w w:val="96"/>
              </w:rPr>
              <w:t>Price Per</w:t>
            </w:r>
          </w:p>
        </w:tc>
        <w:tc>
          <w:tcPr>
            <w:tcW w:w="1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Borders>
              <w:right w:val="single" w:sz="8" w:color="auto"/>
            </w:tcBorders>
          </w:tcPr>
          <w:p>
            <w:pPr>
              <w:jc w:val="center"/>
              <w:ind w:right="216"/>
              <w:spacing w:after="0" w:line="136" w:lineRule="exact"/>
              <w:rPr>
                <w:sz w:val="20"/>
                <w:szCs w:val="20"/>
                <w:color w:val="auto"/>
              </w:rPr>
            </w:pPr>
            <w:r>
              <w:rPr>
                <w:rFonts w:ascii="Times New Roman" w:cs="Times New Roman" w:eastAsia="Times New Roman" w:hAnsi="Times New Roman"/>
                <w:sz w:val="15"/>
                <w:szCs w:val="15"/>
                <w:color w:val="auto"/>
              </w:rPr>
              <w:t>Offering</w:t>
            </w:r>
          </w:p>
        </w:tc>
        <w:tc>
          <w:tcPr>
            <w:tcW w:w="80" w:type="dxa"/>
            <w:vAlign w:val="bottom"/>
          </w:tcPr>
          <w:p>
            <w:pPr>
              <w:spacing w:after="0"/>
              <w:rPr>
                <w:sz w:val="11"/>
                <w:szCs w:val="11"/>
                <w:color w:val="auto"/>
              </w:rPr>
            </w:pPr>
          </w:p>
        </w:tc>
        <w:tc>
          <w:tcPr>
            <w:tcW w:w="820" w:type="dxa"/>
            <w:vAlign w:val="bottom"/>
            <w:tcBorders>
              <w:right w:val="single" w:sz="8" w:color="auto"/>
            </w:tcBorders>
          </w:tcPr>
          <w:p>
            <w:pPr>
              <w:ind w:left="200"/>
              <w:spacing w:after="0" w:line="136" w:lineRule="exact"/>
              <w:rPr>
                <w:sz w:val="20"/>
                <w:szCs w:val="20"/>
                <w:color w:val="auto"/>
              </w:rPr>
            </w:pPr>
            <w:r>
              <w:rPr>
                <w:rFonts w:ascii="Times New Roman" w:cs="Times New Roman" w:eastAsia="Times New Roman" w:hAnsi="Times New Roman"/>
                <w:sz w:val="15"/>
                <w:szCs w:val="15"/>
                <w:color w:val="auto"/>
              </w:rPr>
              <w:t>Rate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right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7"/>
                <w:szCs w:val="17"/>
                <w:color w:val="auto"/>
              </w:rPr>
              <w:t>Fee</w:t>
            </w:r>
          </w:p>
        </w:tc>
        <w:tc>
          <w:tcPr>
            <w:tcW w:w="68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color w:val="auto"/>
              </w:rPr>
              <w:t>Form</w:t>
            </w:r>
          </w:p>
        </w:tc>
        <w:tc>
          <w:tcPr>
            <w:tcW w:w="70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color w:val="auto"/>
              </w:rPr>
              <w:t>File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Effective</w:t>
            </w:r>
          </w:p>
        </w:tc>
        <w:tc>
          <w:tcPr>
            <w:tcW w:w="840" w:type="dxa"/>
            <w:vAlign w:val="bottom"/>
            <w:tcBorders>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5"/>
                <w:szCs w:val="15"/>
                <w:color w:val="auto"/>
              </w:rPr>
              <w:t>Unsold</w:t>
            </w:r>
          </w:p>
        </w:tc>
        <w:tc>
          <w:tcPr>
            <w:tcW w:w="0" w:type="dxa"/>
            <w:vAlign w:val="bottom"/>
          </w:tcPr>
          <w:p>
            <w:pPr>
              <w:spacing w:after="0"/>
              <w:rPr>
                <w:sz w:val="1"/>
                <w:szCs w:val="1"/>
                <w:color w:val="auto"/>
              </w:rPr>
            </w:pPr>
          </w:p>
        </w:tc>
      </w:tr>
      <w:tr>
        <w:trPr>
          <w:trHeight w:val="168"/>
        </w:trPr>
        <w:tc>
          <w:tcPr>
            <w:tcW w:w="780" w:type="dxa"/>
            <w:vAlign w:val="bottom"/>
            <w:tcBorders>
              <w:left w:val="single" w:sz="8" w:color="auto"/>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vMerge w:val="continue"/>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Borders>
              <w:right w:val="single" w:sz="8" w:color="auto"/>
            </w:tcBorders>
          </w:tcPr>
          <w:p>
            <w:pPr>
              <w:jc w:val="center"/>
              <w:ind w:right="216"/>
              <w:spacing w:after="0" w:line="168" w:lineRule="exact"/>
              <w:rPr>
                <w:sz w:val="20"/>
                <w:szCs w:val="20"/>
                <w:color w:val="auto"/>
              </w:rPr>
            </w:pPr>
            <w:r>
              <w:rPr>
                <w:rFonts w:ascii="Times New Roman" w:cs="Times New Roman" w:eastAsia="Times New Roman" w:hAnsi="Times New Roman"/>
                <w:sz w:val="17"/>
                <w:szCs w:val="17"/>
                <w:color w:val="auto"/>
                <w:w w:val="97"/>
              </w:rPr>
              <w:t>Price</w:t>
            </w:r>
          </w:p>
        </w:tc>
        <w:tc>
          <w:tcPr>
            <w:tcW w:w="8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68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color w:val="auto"/>
                <w:w w:val="97"/>
              </w:rPr>
              <w:t>Type</w:t>
            </w:r>
          </w:p>
        </w:tc>
        <w:tc>
          <w:tcPr>
            <w:tcW w:w="70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color w:val="auto"/>
              </w:rPr>
              <w:t>Number</w:t>
            </w:r>
          </w:p>
        </w:tc>
        <w:tc>
          <w:tcPr>
            <w:tcW w:w="740" w:type="dxa"/>
            <w:vAlign w:val="bottom"/>
            <w:tcBorders>
              <w:right w:val="single" w:sz="8" w:color="auto"/>
            </w:tcBorders>
            <w:vMerge w:val="continue"/>
          </w:tcPr>
          <w:p>
            <w:pPr>
              <w:spacing w:after="0"/>
              <w:rPr>
                <w:sz w:val="14"/>
                <w:szCs w:val="14"/>
                <w:color w:val="auto"/>
              </w:rPr>
            </w:pPr>
          </w:p>
        </w:tc>
        <w:tc>
          <w:tcPr>
            <w:tcW w:w="840" w:type="dxa"/>
            <w:vAlign w:val="bottom"/>
            <w:tcBorders>
              <w:right w:val="single" w:sz="8" w:color="auto"/>
            </w:tcBorders>
          </w:tcPr>
          <w:p>
            <w:pPr>
              <w:jc w:val="center"/>
              <w:spacing w:after="0" w:line="168" w:lineRule="exact"/>
              <w:rPr>
                <w:sz w:val="20"/>
                <w:szCs w:val="20"/>
                <w:color w:val="auto"/>
              </w:rPr>
            </w:pPr>
            <w:r>
              <w:rPr>
                <w:rFonts w:ascii="Times New Roman" w:cs="Times New Roman" w:eastAsia="Times New Roman" w:hAnsi="Times New Roman"/>
                <w:sz w:val="17"/>
                <w:szCs w:val="17"/>
                <w:color w:val="auto"/>
                <w:w w:val="98"/>
              </w:rPr>
              <w:t>Securities</w:t>
            </w: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Unit</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Date</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0"/>
              </w:rPr>
              <w:t>to</w:t>
            </w:r>
          </w:p>
        </w:tc>
        <w:tc>
          <w:tcPr>
            <w:tcW w:w="0" w:type="dxa"/>
            <w:vAlign w:val="bottom"/>
          </w:tcPr>
          <w:p>
            <w:pPr>
              <w:spacing w:after="0"/>
              <w:rPr>
                <w:sz w:val="1"/>
                <w:szCs w:val="1"/>
                <w:color w:val="auto"/>
              </w:rPr>
            </w:pPr>
          </w:p>
        </w:tc>
      </w:tr>
      <w:tr>
        <w:trPr>
          <w:trHeight w:val="34"/>
        </w:trPr>
        <w:tc>
          <w:tcPr>
            <w:tcW w:w="780" w:type="dxa"/>
            <w:vAlign w:val="bottom"/>
            <w:tcBorders>
              <w:left w:val="single" w:sz="8" w:color="auto"/>
              <w:right w:val="single" w:sz="8" w:color="auto"/>
            </w:tcBorders>
          </w:tcPr>
          <w:p>
            <w:pPr>
              <w:spacing w:after="0"/>
              <w:rPr>
                <w:sz w:val="2"/>
                <w:szCs w:val="2"/>
                <w:color w:val="auto"/>
              </w:rPr>
            </w:pPr>
          </w:p>
        </w:tc>
        <w:tc>
          <w:tcPr>
            <w:tcW w:w="960" w:type="dxa"/>
            <w:vAlign w:val="bottom"/>
            <w:tcBorders>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84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tcBorders>
              <w:left w:val="single" w:sz="8" w:color="auto"/>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be Carried</w:t>
            </w:r>
          </w:p>
        </w:tc>
        <w:tc>
          <w:tcPr>
            <w:tcW w:w="0" w:type="dxa"/>
            <w:vAlign w:val="bottom"/>
          </w:tcPr>
          <w:p>
            <w:pPr>
              <w:spacing w:after="0"/>
              <w:rPr>
                <w:sz w:val="1"/>
                <w:szCs w:val="1"/>
                <w:color w:val="auto"/>
              </w:rPr>
            </w:pPr>
          </w:p>
        </w:tc>
      </w:tr>
      <w:tr>
        <w:trPr>
          <w:trHeight w:val="224"/>
        </w:trPr>
        <w:tc>
          <w:tcPr>
            <w:tcW w:w="780" w:type="dxa"/>
            <w:vAlign w:val="bottom"/>
            <w:tcBorders>
              <w:left w:val="single" w:sz="8" w:color="auto"/>
              <w:bottom w:val="single" w:sz="8" w:color="auto"/>
              <w:right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Forward</w:t>
            </w:r>
          </w:p>
        </w:tc>
        <w:tc>
          <w:tcPr>
            <w:tcW w:w="0" w:type="dxa"/>
            <w:vAlign w:val="bottom"/>
          </w:tcPr>
          <w:p>
            <w:pPr>
              <w:spacing w:after="0"/>
              <w:rPr>
                <w:sz w:val="1"/>
                <w:szCs w:val="1"/>
                <w:color w:val="auto"/>
              </w:rPr>
            </w:pPr>
          </w:p>
        </w:tc>
      </w:tr>
      <w:tr>
        <w:trPr>
          <w:trHeight w:val="208"/>
        </w:trPr>
        <w:tc>
          <w:tcPr>
            <w:tcW w:w="780" w:type="dxa"/>
            <w:vAlign w:val="bottom"/>
            <w:tcBorders>
              <w:left w:val="single" w:sz="8" w:color="auto"/>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7"/>
                <w:szCs w:val="17"/>
                <w:b w:val="1"/>
                <w:bCs w:val="1"/>
                <w:color w:val="auto"/>
              </w:rPr>
              <w:t>Newly Registered Securities</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rPr>
              <w:t>Common</w:t>
            </w:r>
          </w:p>
        </w:tc>
        <w:tc>
          <w:tcPr>
            <w:tcW w:w="900" w:type="dxa"/>
            <w:vAlign w:val="bottom"/>
            <w:tcBorders>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780" w:type="dxa"/>
            <w:vAlign w:val="bottom"/>
            <w:tcBorders>
              <w:right w:val="single" w:sz="8" w:color="auto"/>
            </w:tcBorders>
            <w:vMerge w:val="continue"/>
            <w:shd w:val="clear" w:color="auto" w:fill="CCEEFF"/>
          </w:tcPr>
          <w:p>
            <w:pPr>
              <w:spacing w:after="0"/>
              <w:rPr>
                <w:sz w:val="8"/>
                <w:szCs w:val="8"/>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080" w:type="dxa"/>
            <w:vAlign w:val="bottom"/>
            <w:tcBorders>
              <w:right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20" w:type="dxa"/>
            <w:vAlign w:val="bottom"/>
            <w:tcBorders>
              <w:right w:val="single" w:sz="8" w:color="auto"/>
            </w:tcBorders>
            <w:gridSpan w:val="2"/>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700" w:type="dxa"/>
            <w:vAlign w:val="bottom"/>
            <w:tcBorders>
              <w:right w:val="single" w:sz="8" w:color="auto"/>
            </w:tcBorders>
            <w:vMerge w:val="continue"/>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8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auto"/>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$0.0001</w:t>
            </w:r>
          </w:p>
        </w:tc>
        <w:tc>
          <w:tcPr>
            <w:tcW w:w="900" w:type="dxa"/>
            <w:vAlign w:val="bottom"/>
            <w:tcBorders>
              <w:right w:val="single" w:sz="8" w:color="auto"/>
            </w:tcBorders>
            <w:vMerge w:val="continue"/>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80" w:type="dxa"/>
            <w:vAlign w:val="bottom"/>
            <w:tcBorders>
              <w:left w:val="single" w:sz="8" w:color="auto"/>
              <w:right w:val="single" w:sz="8" w:color="auto"/>
            </w:tcBorders>
            <w:shd w:val="clear" w:color="auto" w:fill="CCEEFF"/>
          </w:tcPr>
          <w:p>
            <w:pPr>
              <w:spacing w:after="0"/>
              <w:rPr>
                <w:sz w:val="7"/>
                <w:szCs w:val="7"/>
                <w:color w:val="auto"/>
              </w:rPr>
            </w:pPr>
          </w:p>
        </w:tc>
        <w:tc>
          <w:tcPr>
            <w:tcW w:w="960" w:type="dxa"/>
            <w:vAlign w:val="bottom"/>
            <w:tcBorders>
              <w:right w:val="single" w:sz="8" w:color="auto"/>
            </w:tcBorders>
            <w:shd w:val="clear" w:color="auto" w:fill="CCEEFF"/>
          </w:tcPr>
          <w:p>
            <w:pPr>
              <w:spacing w:after="0"/>
              <w:rPr>
                <w:sz w:val="7"/>
                <w:szCs w:val="7"/>
                <w:color w:val="auto"/>
              </w:rPr>
            </w:pPr>
          </w:p>
        </w:tc>
        <w:tc>
          <w:tcPr>
            <w:tcW w:w="780" w:type="dxa"/>
            <w:vAlign w:val="bottom"/>
            <w:tcBorders>
              <w:right w:val="single" w:sz="8" w:color="auto"/>
            </w:tcBorders>
            <w:vMerge w:val="continue"/>
            <w:shd w:val="clear" w:color="auto" w:fill="CCEEFF"/>
          </w:tcPr>
          <w:p>
            <w:pPr>
              <w:spacing w:after="0"/>
              <w:rPr>
                <w:sz w:val="7"/>
                <w:szCs w:val="7"/>
                <w:color w:val="auto"/>
              </w:rPr>
            </w:pPr>
          </w:p>
        </w:tc>
        <w:tc>
          <w:tcPr>
            <w:tcW w:w="900" w:type="dxa"/>
            <w:vAlign w:val="bottom"/>
            <w:tcBorders>
              <w:right w:val="single" w:sz="8" w:color="auto"/>
            </w:tcBorders>
            <w:shd w:val="clear" w:color="auto" w:fill="CCEEFF"/>
          </w:tcPr>
          <w:p>
            <w:pPr>
              <w:spacing w:after="0"/>
              <w:rPr>
                <w:sz w:val="7"/>
                <w:szCs w:val="7"/>
                <w:color w:val="auto"/>
              </w:rPr>
            </w:pPr>
          </w:p>
        </w:tc>
        <w:tc>
          <w:tcPr>
            <w:tcW w:w="1060" w:type="dxa"/>
            <w:vAlign w:val="bottom"/>
            <w:tcBorders>
              <w:right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tcBorders>
              <w:right w:val="single" w:sz="8" w:color="auto"/>
            </w:tcBorders>
            <w:shd w:val="clear" w:color="auto" w:fill="CCEEFF"/>
          </w:tcPr>
          <w:p>
            <w:pPr>
              <w:spacing w:after="0"/>
              <w:rPr>
                <w:sz w:val="7"/>
                <w:szCs w:val="7"/>
                <w:color w:val="auto"/>
              </w:rPr>
            </w:pPr>
          </w:p>
        </w:tc>
        <w:tc>
          <w:tcPr>
            <w:tcW w:w="680" w:type="dxa"/>
            <w:vAlign w:val="bottom"/>
            <w:tcBorders>
              <w:right w:val="single" w:sz="8" w:color="auto"/>
            </w:tcBorders>
            <w:shd w:val="clear" w:color="auto" w:fill="CCEEFF"/>
          </w:tcPr>
          <w:p>
            <w:pPr>
              <w:spacing w:after="0"/>
              <w:rPr>
                <w:sz w:val="7"/>
                <w:szCs w:val="7"/>
                <w:color w:val="auto"/>
              </w:rPr>
            </w:pPr>
          </w:p>
        </w:tc>
        <w:tc>
          <w:tcPr>
            <w:tcW w:w="700" w:type="dxa"/>
            <w:vAlign w:val="bottom"/>
            <w:tcBorders>
              <w:right w:val="single" w:sz="8" w:color="auto"/>
            </w:tcBorders>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8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78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960" w:type="dxa"/>
            <w:vAlign w:val="bottom"/>
            <w:tcBorders>
              <w:bottom w:val="single" w:sz="8" w:color="auto"/>
              <w:right w:val="single" w:sz="8" w:color="auto"/>
            </w:tcBorders>
            <w:shd w:val="clear" w:color="auto" w:fill="CCEEFF"/>
          </w:tcPr>
          <w:p>
            <w:pPr>
              <w:spacing w:after="0"/>
              <w:rPr>
                <w:sz w:val="19"/>
                <w:szCs w:val="19"/>
                <w:color w:val="auto"/>
              </w:rPr>
            </w:pP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900" w:type="dxa"/>
            <w:vAlign w:val="bottom"/>
            <w:tcBorders>
              <w:bottom w:val="single" w:sz="8" w:color="auto"/>
              <w:right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right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right w:val="single" w:sz="8" w:color="auto"/>
            </w:tcBorders>
            <w:shd w:val="clear" w:color="auto" w:fill="CCEEFF"/>
          </w:tcPr>
          <w:p>
            <w:pPr>
              <w:spacing w:after="0"/>
              <w:rPr>
                <w:sz w:val="19"/>
                <w:szCs w:val="19"/>
                <w:color w:val="auto"/>
              </w:rPr>
            </w:pPr>
          </w:p>
        </w:tc>
        <w:tc>
          <w:tcPr>
            <w:tcW w:w="680" w:type="dxa"/>
            <w:vAlign w:val="bottom"/>
            <w:tcBorders>
              <w:bottom w:val="single" w:sz="8" w:color="auto"/>
              <w:right w:val="single" w:sz="8" w:color="auto"/>
            </w:tcBorders>
            <w:shd w:val="clear" w:color="auto" w:fill="CCEEFF"/>
          </w:tcPr>
          <w:p>
            <w:pPr>
              <w:spacing w:after="0"/>
              <w:rPr>
                <w:sz w:val="19"/>
                <w:szCs w:val="19"/>
                <w:color w:val="auto"/>
              </w:rPr>
            </w:pPr>
          </w:p>
        </w:tc>
        <w:tc>
          <w:tcPr>
            <w:tcW w:w="700" w:type="dxa"/>
            <w:vAlign w:val="bottom"/>
            <w:tcBorders>
              <w:bottom w:val="single" w:sz="8" w:color="auto"/>
              <w:right w:val="single" w:sz="8" w:color="auto"/>
            </w:tcBorders>
            <w:shd w:val="clear" w:color="auto" w:fill="CCEEFF"/>
          </w:tcPr>
          <w:p>
            <w:pPr>
              <w:spacing w:after="0"/>
              <w:rPr>
                <w:sz w:val="19"/>
                <w:szCs w:val="19"/>
                <w:color w:val="auto"/>
              </w:rPr>
            </w:pP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spacing w:after="0"/>
              <w:rPr>
                <w:sz w:val="16"/>
                <w:szCs w:val="16"/>
                <w:color w:val="auto"/>
              </w:rPr>
            </w:pPr>
          </w:p>
        </w:tc>
        <w:tc>
          <w:tcPr>
            <w:tcW w:w="780" w:type="dxa"/>
            <w:vAlign w:val="bottom"/>
            <w:tcBorders>
              <w:right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rPr>
              <w:t>Preferred</w:t>
            </w:r>
          </w:p>
        </w:tc>
        <w:tc>
          <w:tcPr>
            <w:tcW w:w="900" w:type="dxa"/>
            <w:vAlign w:val="bottom"/>
            <w:tcBorders>
              <w:right w:val="single" w:sz="8" w:color="auto"/>
            </w:tcBorders>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shd w:val="clear" w:color="auto" w:fill="CCEEFF"/>
          </w:tcPr>
          <w:p>
            <w:pPr>
              <w:spacing w:after="0"/>
              <w:rPr>
                <w:sz w:val="17"/>
                <w:szCs w:val="17"/>
                <w:color w:val="auto"/>
              </w:rPr>
            </w:pPr>
          </w:p>
        </w:tc>
        <w:tc>
          <w:tcPr>
            <w:tcW w:w="960" w:type="dxa"/>
            <w:vAlign w:val="bottom"/>
            <w:tcBorders>
              <w:right w:val="single" w:sz="8" w:color="auto"/>
            </w:tcBorders>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tcBorders>
              <w:right w:val="single" w:sz="8" w:color="auto"/>
            </w:tcBorders>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700" w:type="dxa"/>
            <w:vAlign w:val="bottom"/>
            <w:tcBorders>
              <w:right w:val="single" w:sz="8" w:color="auto"/>
            </w:tcBorders>
            <w:shd w:val="clear" w:color="auto" w:fill="CCEEFF"/>
          </w:tcPr>
          <w:p>
            <w:pPr>
              <w:spacing w:after="0"/>
              <w:rPr>
                <w:sz w:val="17"/>
                <w:szCs w:val="17"/>
                <w:color w:val="auto"/>
              </w:rPr>
            </w:pPr>
          </w:p>
        </w:tc>
        <w:tc>
          <w:tcPr>
            <w:tcW w:w="740" w:type="dxa"/>
            <w:vAlign w:val="bottom"/>
            <w:tcBorders>
              <w:right w:val="single" w:sz="8" w:color="auto"/>
            </w:tcBorders>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Equity</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par value</w:t>
            </w: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tcBorders>
              <w:right w:val="single" w:sz="8" w:color="auto"/>
            </w:tcBorders>
            <w:vMerge w:val="restart"/>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tcBorders>
              <w:right w:val="single" w:sz="8" w:color="auto"/>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780" w:type="dxa"/>
            <w:vAlign w:val="bottom"/>
            <w:tcBorders>
              <w:right w:val="single" w:sz="8" w:color="auto"/>
            </w:tcBorders>
            <w:vMerge w:val="continue"/>
            <w:shd w:val="clear" w:color="auto" w:fill="CCEEFF"/>
          </w:tcPr>
          <w:p>
            <w:pPr>
              <w:spacing w:after="0"/>
              <w:rPr>
                <w:sz w:val="8"/>
                <w:szCs w:val="8"/>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tcBorders>
              <w:right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tcBorders>
              <w:right w:val="single" w:sz="8" w:color="auto"/>
            </w:tcBorders>
            <w:gridSpan w:val="2"/>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700" w:type="dxa"/>
            <w:vAlign w:val="bottom"/>
            <w:tcBorders>
              <w:right w:val="single" w:sz="8" w:color="auto"/>
            </w:tcBorders>
            <w:vMerge w:val="continue"/>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8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auto"/>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$0.0001</w:t>
            </w:r>
          </w:p>
        </w:tc>
        <w:tc>
          <w:tcPr>
            <w:tcW w:w="900" w:type="dxa"/>
            <w:vAlign w:val="bottom"/>
            <w:tcBorders>
              <w:right w:val="single" w:sz="8" w:color="auto"/>
            </w:tcBorders>
            <w:vMerge w:val="continue"/>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78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Fees to be</w:t>
            </w:r>
          </w:p>
        </w:tc>
        <w:tc>
          <w:tcPr>
            <w:tcW w:w="960" w:type="dxa"/>
            <w:vAlign w:val="bottom"/>
            <w:tcBorders>
              <w:right w:val="single" w:sz="8" w:color="auto"/>
            </w:tcBorders>
            <w:shd w:val="clear" w:color="auto" w:fill="CCEEFF"/>
          </w:tcPr>
          <w:p>
            <w:pPr>
              <w:spacing w:after="0"/>
              <w:rPr>
                <w:sz w:val="7"/>
                <w:szCs w:val="7"/>
                <w:color w:val="auto"/>
              </w:rPr>
            </w:pPr>
          </w:p>
        </w:tc>
        <w:tc>
          <w:tcPr>
            <w:tcW w:w="780" w:type="dxa"/>
            <w:vAlign w:val="bottom"/>
            <w:tcBorders>
              <w:right w:val="single" w:sz="8" w:color="auto"/>
            </w:tcBorders>
            <w:vMerge w:val="continue"/>
            <w:shd w:val="clear" w:color="auto" w:fill="CCEEFF"/>
          </w:tcPr>
          <w:p>
            <w:pPr>
              <w:spacing w:after="0"/>
              <w:rPr>
                <w:sz w:val="7"/>
                <w:szCs w:val="7"/>
                <w:color w:val="auto"/>
              </w:rPr>
            </w:pPr>
          </w:p>
        </w:tc>
        <w:tc>
          <w:tcPr>
            <w:tcW w:w="900" w:type="dxa"/>
            <w:vAlign w:val="bottom"/>
            <w:tcBorders>
              <w:right w:val="single" w:sz="8" w:color="auto"/>
            </w:tcBorders>
            <w:shd w:val="clear" w:color="auto" w:fill="CCEEFF"/>
          </w:tcPr>
          <w:p>
            <w:pPr>
              <w:spacing w:after="0"/>
              <w:rPr>
                <w:sz w:val="7"/>
                <w:szCs w:val="7"/>
                <w:color w:val="auto"/>
              </w:rPr>
            </w:pPr>
          </w:p>
        </w:tc>
        <w:tc>
          <w:tcPr>
            <w:tcW w:w="1060" w:type="dxa"/>
            <w:vAlign w:val="bottom"/>
            <w:tcBorders>
              <w:right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tcBorders>
              <w:right w:val="single" w:sz="8" w:color="auto"/>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8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tcBorders>
              <w:right w:val="single" w:sz="8" w:color="auto"/>
            </w:tcBorders>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480" w:type="dxa"/>
            <w:vAlign w:val="bottom"/>
            <w:tcBorders>
              <w:right w:val="single" w:sz="8" w:color="auto"/>
            </w:tcBorders>
            <w:shd w:val="clear" w:color="auto" w:fill="CCEEFF"/>
          </w:tcPr>
          <w:p>
            <w:pPr>
              <w:spacing w:after="0"/>
              <w:rPr>
                <w:sz w:val="7"/>
                <w:szCs w:val="7"/>
                <w:color w:val="auto"/>
              </w:rPr>
            </w:pPr>
          </w:p>
        </w:tc>
        <w:tc>
          <w:tcPr>
            <w:tcW w:w="680" w:type="dxa"/>
            <w:vAlign w:val="bottom"/>
            <w:tcBorders>
              <w:right w:val="single" w:sz="8" w:color="auto"/>
            </w:tcBorders>
            <w:shd w:val="clear" w:color="auto" w:fill="CCEEFF"/>
          </w:tcPr>
          <w:p>
            <w:pPr>
              <w:spacing w:after="0"/>
              <w:rPr>
                <w:sz w:val="7"/>
                <w:szCs w:val="7"/>
                <w:color w:val="auto"/>
              </w:rPr>
            </w:pPr>
          </w:p>
        </w:tc>
        <w:tc>
          <w:tcPr>
            <w:tcW w:w="700" w:type="dxa"/>
            <w:vAlign w:val="bottom"/>
            <w:tcBorders>
              <w:right w:val="single" w:sz="8" w:color="auto"/>
            </w:tcBorders>
            <w:shd w:val="clear" w:color="auto" w:fill="CCEEFF"/>
          </w:tcPr>
          <w:p>
            <w:pPr>
              <w:spacing w:after="0"/>
              <w:rPr>
                <w:sz w:val="7"/>
                <w:szCs w:val="7"/>
                <w:color w:val="auto"/>
              </w:rPr>
            </w:pPr>
          </w:p>
        </w:tc>
        <w:tc>
          <w:tcPr>
            <w:tcW w:w="740" w:type="dxa"/>
            <w:vAlign w:val="bottom"/>
            <w:tcBorders>
              <w:right w:val="single" w:sz="8" w:color="auto"/>
            </w:tcBorders>
            <w:shd w:val="clear" w:color="auto" w:fill="CCEEFF"/>
          </w:tcPr>
          <w:p>
            <w:pPr>
              <w:spacing w:after="0"/>
              <w:rPr>
                <w:sz w:val="7"/>
                <w:szCs w:val="7"/>
                <w:color w:val="auto"/>
              </w:rPr>
            </w:pPr>
          </w:p>
        </w:tc>
        <w:tc>
          <w:tcPr>
            <w:tcW w:w="840" w:type="dxa"/>
            <w:vAlign w:val="bottom"/>
            <w:tcBorders>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780" w:type="dxa"/>
            <w:vAlign w:val="bottom"/>
            <w:tcBorders>
              <w:left w:val="single" w:sz="8" w:color="auto"/>
              <w:right w:val="single" w:sz="8" w:color="auto"/>
            </w:tcBorders>
            <w:vMerge w:val="continue"/>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per share</w:t>
            </w:r>
          </w:p>
        </w:tc>
        <w:tc>
          <w:tcPr>
            <w:tcW w:w="900" w:type="dxa"/>
            <w:vAlign w:val="bottom"/>
            <w:tcBorders>
              <w:right w:val="single" w:sz="8" w:color="auto"/>
            </w:tcBorders>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tcBorders>
              <w:right w:val="single" w:sz="8" w:color="auto"/>
            </w:tcBorders>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740" w:type="dxa"/>
            <w:vAlign w:val="bottom"/>
            <w:tcBorders>
              <w:right w:val="single" w:sz="8" w:color="auto"/>
            </w:tcBorders>
            <w:shd w:val="clear" w:color="auto" w:fill="CCEEFF"/>
          </w:tcPr>
          <w:p>
            <w:pPr>
              <w:spacing w:after="0"/>
              <w:rPr>
                <w:sz w:val="12"/>
                <w:szCs w:val="12"/>
                <w:color w:val="auto"/>
              </w:rPr>
            </w:pPr>
          </w:p>
        </w:tc>
        <w:tc>
          <w:tcPr>
            <w:tcW w:w="8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78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c>
          <w:tcPr>
            <w:tcW w:w="960" w:type="dxa"/>
            <w:vAlign w:val="bottom"/>
            <w:tcBorders>
              <w:bottom w:val="single" w:sz="8" w:color="auto"/>
              <w:right w:val="single" w:sz="8" w:color="auto"/>
            </w:tcBorders>
            <w:shd w:val="clear" w:color="auto" w:fill="CCEEFF"/>
          </w:tcPr>
          <w:p>
            <w:pPr>
              <w:spacing w:after="0"/>
              <w:rPr>
                <w:sz w:val="7"/>
                <w:szCs w:val="7"/>
                <w:color w:val="auto"/>
              </w:rPr>
            </w:pPr>
          </w:p>
        </w:tc>
        <w:tc>
          <w:tcPr>
            <w:tcW w:w="780" w:type="dxa"/>
            <w:vAlign w:val="bottom"/>
            <w:tcBorders>
              <w:bottom w:val="single" w:sz="8" w:color="auto"/>
              <w:right w:val="single" w:sz="8" w:color="auto"/>
            </w:tcBorders>
            <w:vMerge w:val="continue"/>
            <w:shd w:val="clear" w:color="auto" w:fill="CCEEFF"/>
          </w:tcPr>
          <w:p>
            <w:pPr>
              <w:spacing w:after="0"/>
              <w:rPr>
                <w:sz w:val="7"/>
                <w:szCs w:val="7"/>
                <w:color w:val="auto"/>
              </w:rPr>
            </w:pPr>
          </w:p>
        </w:tc>
        <w:tc>
          <w:tcPr>
            <w:tcW w:w="900" w:type="dxa"/>
            <w:vAlign w:val="bottom"/>
            <w:tcBorders>
              <w:bottom w:val="single" w:sz="8" w:color="auto"/>
              <w:right w:val="single" w:sz="8" w:color="auto"/>
            </w:tcBorders>
            <w:shd w:val="clear" w:color="auto" w:fill="CCEEFF"/>
          </w:tcPr>
          <w:p>
            <w:pPr>
              <w:spacing w:after="0"/>
              <w:rPr>
                <w:sz w:val="7"/>
                <w:szCs w:val="7"/>
                <w:color w:val="auto"/>
              </w:rPr>
            </w:pPr>
          </w:p>
        </w:tc>
        <w:tc>
          <w:tcPr>
            <w:tcW w:w="1060" w:type="dxa"/>
            <w:vAlign w:val="bottom"/>
            <w:tcBorders>
              <w:bottom w:val="single" w:sz="8" w:color="auto"/>
              <w:right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right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right w:val="single" w:sz="8" w:color="auto"/>
            </w:tcBorders>
            <w:shd w:val="clear" w:color="auto" w:fill="CCEEFF"/>
          </w:tcPr>
          <w:p>
            <w:pPr>
              <w:spacing w:after="0"/>
              <w:rPr>
                <w:sz w:val="7"/>
                <w:szCs w:val="7"/>
                <w:color w:val="auto"/>
              </w:rPr>
            </w:pPr>
          </w:p>
        </w:tc>
        <w:tc>
          <w:tcPr>
            <w:tcW w:w="8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right w:val="single" w:sz="8" w:color="auto"/>
            </w:tcBorders>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20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480" w:type="dxa"/>
            <w:vAlign w:val="bottom"/>
            <w:tcBorders>
              <w:bottom w:val="single" w:sz="8" w:color="auto"/>
              <w:right w:val="single" w:sz="8" w:color="auto"/>
            </w:tcBorders>
            <w:shd w:val="clear" w:color="auto" w:fill="CCEEFF"/>
          </w:tcPr>
          <w:p>
            <w:pPr>
              <w:spacing w:after="0"/>
              <w:rPr>
                <w:sz w:val="7"/>
                <w:szCs w:val="7"/>
                <w:color w:val="auto"/>
              </w:rPr>
            </w:pPr>
          </w:p>
        </w:tc>
        <w:tc>
          <w:tcPr>
            <w:tcW w:w="680" w:type="dxa"/>
            <w:vAlign w:val="bottom"/>
            <w:tcBorders>
              <w:bottom w:val="single" w:sz="8" w:color="auto"/>
              <w:right w:val="single" w:sz="8" w:color="auto"/>
            </w:tcBorders>
            <w:shd w:val="clear" w:color="auto" w:fill="CCEEFF"/>
          </w:tcPr>
          <w:p>
            <w:pPr>
              <w:spacing w:after="0"/>
              <w:rPr>
                <w:sz w:val="7"/>
                <w:szCs w:val="7"/>
                <w:color w:val="auto"/>
              </w:rPr>
            </w:pPr>
          </w:p>
        </w:tc>
        <w:tc>
          <w:tcPr>
            <w:tcW w:w="700" w:type="dxa"/>
            <w:vAlign w:val="bottom"/>
            <w:tcBorders>
              <w:bottom w:val="single" w:sz="8" w:color="auto"/>
              <w:right w:val="single" w:sz="8" w:color="auto"/>
            </w:tcBorders>
            <w:shd w:val="clear" w:color="auto" w:fill="CCEEFF"/>
          </w:tcPr>
          <w:p>
            <w:pPr>
              <w:spacing w:after="0"/>
              <w:rPr>
                <w:sz w:val="7"/>
                <w:szCs w:val="7"/>
                <w:color w:val="auto"/>
              </w:rPr>
            </w:pPr>
          </w:p>
        </w:tc>
        <w:tc>
          <w:tcPr>
            <w:tcW w:w="740" w:type="dxa"/>
            <w:vAlign w:val="bottom"/>
            <w:tcBorders>
              <w:bottom w:val="single" w:sz="8" w:color="auto"/>
              <w:right w:val="single" w:sz="8" w:color="auto"/>
            </w:tcBorders>
            <w:shd w:val="clear" w:color="auto" w:fill="CCEEFF"/>
          </w:tcPr>
          <w:p>
            <w:pPr>
              <w:spacing w:after="0"/>
              <w:rPr>
                <w:sz w:val="7"/>
                <w:szCs w:val="7"/>
                <w:color w:val="auto"/>
              </w:rPr>
            </w:pPr>
          </w:p>
        </w:tc>
        <w:tc>
          <w:tcPr>
            <w:tcW w:w="84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780" w:type="dxa"/>
            <w:vAlign w:val="bottom"/>
            <w:tcBorders>
              <w:left w:val="single" w:sz="8" w:color="auto"/>
              <w:right w:val="single" w:sz="8" w:color="auto"/>
            </w:tcBorders>
            <w:vMerge w:val="continue"/>
            <w:shd w:val="clear" w:color="auto" w:fill="CCEEFF"/>
          </w:tcPr>
          <w:p>
            <w:pPr>
              <w:spacing w:after="0"/>
              <w:rPr>
                <w:sz w:val="9"/>
                <w:szCs w:val="9"/>
                <w:color w:val="auto"/>
              </w:rPr>
            </w:pPr>
          </w:p>
        </w:tc>
        <w:tc>
          <w:tcPr>
            <w:tcW w:w="960" w:type="dxa"/>
            <w:vAlign w:val="bottom"/>
            <w:tcBorders>
              <w:right w:val="single" w:sz="8" w:color="auto"/>
            </w:tcBorders>
            <w:shd w:val="clear" w:color="auto" w:fill="CCEEFF"/>
          </w:tcPr>
          <w:p>
            <w:pPr>
              <w:spacing w:after="0"/>
              <w:rPr>
                <w:sz w:val="9"/>
                <w:szCs w:val="9"/>
                <w:color w:val="auto"/>
              </w:rPr>
            </w:pPr>
          </w:p>
        </w:tc>
        <w:tc>
          <w:tcPr>
            <w:tcW w:w="780" w:type="dxa"/>
            <w:vAlign w:val="bottom"/>
            <w:tcBorders>
              <w:right w:val="single" w:sz="8" w:color="auto"/>
            </w:tcBorders>
            <w:vMerge w:val="restart"/>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6"/>
              </w:rPr>
              <w:t>Debt</w:t>
            </w: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8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80" w:type="dxa"/>
            <w:vAlign w:val="bottom"/>
            <w:tcBorders>
              <w:right w:val="single" w:sz="8" w:color="auto"/>
            </w:tcBorders>
            <w:shd w:val="clear" w:color="auto" w:fill="CCEEFF"/>
          </w:tcPr>
          <w:p>
            <w:pPr>
              <w:spacing w:after="0"/>
              <w:rPr>
                <w:sz w:val="9"/>
                <w:szCs w:val="9"/>
                <w:color w:val="auto"/>
              </w:rPr>
            </w:pPr>
          </w:p>
        </w:tc>
        <w:tc>
          <w:tcPr>
            <w:tcW w:w="680" w:type="dxa"/>
            <w:vAlign w:val="bottom"/>
            <w:tcBorders>
              <w:right w:val="single" w:sz="8" w:color="auto"/>
            </w:tcBorders>
            <w:shd w:val="clear" w:color="auto" w:fill="CCEEFF"/>
          </w:tcPr>
          <w:p>
            <w:pPr>
              <w:spacing w:after="0"/>
              <w:rPr>
                <w:sz w:val="9"/>
                <w:szCs w:val="9"/>
                <w:color w:val="auto"/>
              </w:rPr>
            </w:pPr>
          </w:p>
        </w:tc>
        <w:tc>
          <w:tcPr>
            <w:tcW w:w="700" w:type="dxa"/>
            <w:vAlign w:val="bottom"/>
            <w:tcBorders>
              <w:right w:val="single" w:sz="8" w:color="auto"/>
            </w:tcBorders>
            <w:shd w:val="clear" w:color="auto" w:fill="CCEEFF"/>
          </w:tcPr>
          <w:p>
            <w:pPr>
              <w:spacing w:after="0"/>
              <w:rPr>
                <w:sz w:val="9"/>
                <w:szCs w:val="9"/>
                <w:color w:val="auto"/>
              </w:rPr>
            </w:pPr>
          </w:p>
        </w:tc>
        <w:tc>
          <w:tcPr>
            <w:tcW w:w="740" w:type="dxa"/>
            <w:vAlign w:val="bottom"/>
            <w:tcBorders>
              <w:right w:val="single" w:sz="8" w:color="auto"/>
            </w:tcBorders>
            <w:shd w:val="clear" w:color="auto" w:fill="CCEEFF"/>
          </w:tcPr>
          <w:p>
            <w:pPr>
              <w:spacing w:after="0"/>
              <w:rPr>
                <w:sz w:val="9"/>
                <w:szCs w:val="9"/>
                <w:color w:val="auto"/>
              </w:rPr>
            </w:pPr>
          </w:p>
        </w:tc>
        <w:tc>
          <w:tcPr>
            <w:tcW w:w="84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780" w:type="dxa"/>
            <w:vAlign w:val="bottom"/>
            <w:tcBorders>
              <w:left w:val="single" w:sz="8" w:color="auto"/>
              <w:right w:val="single" w:sz="8" w:color="auto"/>
            </w:tcBorders>
            <w:shd w:val="clear" w:color="auto" w:fill="CCEEFF"/>
          </w:tcPr>
          <w:p>
            <w:pPr>
              <w:spacing w:after="0"/>
              <w:rPr>
                <w:sz w:val="6"/>
                <w:szCs w:val="6"/>
                <w:color w:val="auto"/>
              </w:rPr>
            </w:pPr>
          </w:p>
        </w:tc>
        <w:tc>
          <w:tcPr>
            <w:tcW w:w="960" w:type="dxa"/>
            <w:vAlign w:val="bottom"/>
            <w:tcBorders>
              <w:right w:val="single" w:sz="8" w:color="auto"/>
            </w:tcBorders>
            <w:shd w:val="clear" w:color="auto" w:fill="CCEEFF"/>
          </w:tcPr>
          <w:p>
            <w:pPr>
              <w:spacing w:after="0"/>
              <w:rPr>
                <w:sz w:val="6"/>
                <w:szCs w:val="6"/>
                <w:color w:val="auto"/>
              </w:rPr>
            </w:pPr>
          </w:p>
        </w:tc>
        <w:tc>
          <w:tcPr>
            <w:tcW w:w="780" w:type="dxa"/>
            <w:vAlign w:val="bottom"/>
            <w:tcBorders>
              <w:right w:val="single" w:sz="8" w:color="auto"/>
            </w:tcBorders>
            <w:vMerge w:val="continue"/>
            <w:shd w:val="clear" w:color="auto" w:fill="CCEEFF"/>
          </w:tcPr>
          <w:p>
            <w:pPr>
              <w:spacing w:after="0"/>
              <w:rPr>
                <w:sz w:val="6"/>
                <w:szCs w:val="6"/>
                <w:color w:val="auto"/>
              </w:rPr>
            </w:pPr>
          </w:p>
        </w:tc>
        <w:tc>
          <w:tcPr>
            <w:tcW w:w="900" w:type="dxa"/>
            <w:vAlign w:val="bottom"/>
            <w:tcBorders>
              <w:right w:val="single" w:sz="8" w:color="auto"/>
            </w:tcBorders>
            <w:vMerge w:val="continue"/>
            <w:shd w:val="clear" w:color="auto" w:fill="CCEEFF"/>
          </w:tcPr>
          <w:p>
            <w:pPr>
              <w:spacing w:after="0"/>
              <w:rPr>
                <w:sz w:val="6"/>
                <w:szCs w:val="6"/>
                <w:color w:val="auto"/>
              </w:rPr>
            </w:pPr>
          </w:p>
        </w:tc>
        <w:tc>
          <w:tcPr>
            <w:tcW w:w="1060" w:type="dxa"/>
            <w:vAlign w:val="bottom"/>
            <w:tcBorders>
              <w:right w:val="single" w:sz="8" w:color="auto"/>
            </w:tcBorders>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20" w:type="dxa"/>
            <w:vAlign w:val="bottom"/>
            <w:tcBorders>
              <w:right w:val="single" w:sz="8" w:color="auto"/>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80" w:type="dxa"/>
            <w:vAlign w:val="bottom"/>
            <w:tcBorders>
              <w:right w:val="single" w:sz="8" w:color="auto"/>
            </w:tcBorders>
            <w:shd w:val="clear" w:color="auto" w:fill="CCEEFF"/>
          </w:tcPr>
          <w:p>
            <w:pPr>
              <w:spacing w:after="0"/>
              <w:rPr>
                <w:sz w:val="6"/>
                <w:szCs w:val="6"/>
                <w:color w:val="auto"/>
              </w:rPr>
            </w:pPr>
          </w:p>
        </w:tc>
        <w:tc>
          <w:tcPr>
            <w:tcW w:w="680" w:type="dxa"/>
            <w:vAlign w:val="bottom"/>
            <w:tcBorders>
              <w:right w:val="single" w:sz="8" w:color="auto"/>
            </w:tcBorders>
            <w:shd w:val="clear" w:color="auto" w:fill="CCEEFF"/>
          </w:tcPr>
          <w:p>
            <w:pPr>
              <w:spacing w:after="0"/>
              <w:rPr>
                <w:sz w:val="6"/>
                <w:szCs w:val="6"/>
                <w:color w:val="auto"/>
              </w:rPr>
            </w:pPr>
          </w:p>
        </w:tc>
        <w:tc>
          <w:tcPr>
            <w:tcW w:w="700" w:type="dxa"/>
            <w:vAlign w:val="bottom"/>
            <w:tcBorders>
              <w:right w:val="single" w:sz="8" w:color="auto"/>
            </w:tcBorders>
            <w:shd w:val="clear" w:color="auto" w:fill="CCEEFF"/>
          </w:tcPr>
          <w:p>
            <w:pPr>
              <w:spacing w:after="0"/>
              <w:rPr>
                <w:sz w:val="6"/>
                <w:szCs w:val="6"/>
                <w:color w:val="auto"/>
              </w:rPr>
            </w:pPr>
          </w:p>
        </w:tc>
        <w:tc>
          <w:tcPr>
            <w:tcW w:w="740" w:type="dxa"/>
            <w:vAlign w:val="bottom"/>
            <w:tcBorders>
              <w:right w:val="single" w:sz="8" w:color="auto"/>
            </w:tcBorders>
            <w:shd w:val="clear" w:color="auto" w:fill="CCEEFF"/>
          </w:tcPr>
          <w:p>
            <w:pPr>
              <w:spacing w:after="0"/>
              <w:rPr>
                <w:sz w:val="6"/>
                <w:szCs w:val="6"/>
                <w:color w:val="auto"/>
              </w:rPr>
            </w:pPr>
          </w:p>
        </w:tc>
        <w:tc>
          <w:tcPr>
            <w:tcW w:w="840" w:type="dxa"/>
            <w:vAlign w:val="bottom"/>
            <w:tcBorders>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Securities</w:t>
            </w: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tcBorders>
              <w:right w:val="single" w:sz="8" w:color="auto"/>
            </w:tcBorders>
            <w:vMerge w:val="restart"/>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tcBorders>
              <w:right w:val="single" w:sz="8" w:color="auto"/>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780" w:type="dxa"/>
            <w:vAlign w:val="bottom"/>
            <w:tcBorders>
              <w:right w:val="single" w:sz="8" w:color="auto"/>
            </w:tcBorders>
            <w:vMerge w:val="continue"/>
            <w:shd w:val="clear" w:color="auto" w:fill="CCEEFF"/>
          </w:tcPr>
          <w:p>
            <w:pPr>
              <w:spacing w:after="0"/>
              <w:rPr>
                <w:sz w:val="8"/>
                <w:szCs w:val="8"/>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tcBorders>
              <w:right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tcBorders>
              <w:right w:val="single" w:sz="8" w:color="auto"/>
            </w:tcBorders>
            <w:gridSpan w:val="2"/>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700" w:type="dxa"/>
            <w:vAlign w:val="bottom"/>
            <w:tcBorders>
              <w:right w:val="single" w:sz="8" w:color="auto"/>
            </w:tcBorders>
            <w:vMerge w:val="continue"/>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8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auto"/>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900" w:type="dxa"/>
            <w:vAlign w:val="bottom"/>
            <w:tcBorders>
              <w:right w:val="single" w:sz="8" w:color="auto"/>
            </w:tcBorders>
            <w:vMerge w:val="continue"/>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bottom w:val="single" w:sz="8" w:color="CCEEFF"/>
              <w:right w:val="single" w:sz="8" w:color="auto"/>
            </w:tcBorders>
            <w:shd w:val="clear" w:color="auto" w:fill="CCEEFF"/>
          </w:tcPr>
          <w:p>
            <w:pPr>
              <w:spacing w:after="0"/>
              <w:rPr>
                <w:sz w:val="9"/>
                <w:szCs w:val="9"/>
                <w:color w:val="auto"/>
              </w:rPr>
            </w:pPr>
          </w:p>
        </w:tc>
        <w:tc>
          <w:tcPr>
            <w:tcW w:w="960" w:type="dxa"/>
            <w:vAlign w:val="bottom"/>
            <w:tcBorders>
              <w:bottom w:val="single" w:sz="8" w:color="auto"/>
              <w:right w:val="single" w:sz="8" w:color="auto"/>
            </w:tcBorders>
            <w:shd w:val="clear" w:color="auto" w:fill="CCEEFF"/>
          </w:tcPr>
          <w:p>
            <w:pPr>
              <w:spacing w:after="0"/>
              <w:rPr>
                <w:sz w:val="9"/>
                <w:szCs w:val="9"/>
                <w:color w:val="auto"/>
              </w:rPr>
            </w:pPr>
          </w:p>
        </w:tc>
        <w:tc>
          <w:tcPr>
            <w:tcW w:w="78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right w:val="single" w:sz="8" w:color="auto"/>
            </w:tcBorders>
            <w:shd w:val="clear" w:color="auto" w:fill="CCEEFF"/>
          </w:tcPr>
          <w:p>
            <w:pPr>
              <w:spacing w:after="0"/>
              <w:rPr>
                <w:sz w:val="9"/>
                <w:szCs w:val="9"/>
                <w:color w:val="auto"/>
              </w:rPr>
            </w:pPr>
          </w:p>
        </w:tc>
        <w:tc>
          <w:tcPr>
            <w:tcW w:w="1060" w:type="dxa"/>
            <w:vAlign w:val="bottom"/>
            <w:tcBorders>
              <w:bottom w:val="single" w:sz="8" w:color="auto"/>
              <w:right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right w:val="single" w:sz="8" w:color="auto"/>
            </w:tcBorders>
            <w:shd w:val="clear" w:color="auto" w:fill="CCEEFF"/>
          </w:tcPr>
          <w:p>
            <w:pPr>
              <w:spacing w:after="0"/>
              <w:rPr>
                <w:sz w:val="9"/>
                <w:szCs w:val="9"/>
                <w:color w:val="auto"/>
              </w:rPr>
            </w:pPr>
          </w:p>
        </w:tc>
        <w:tc>
          <w:tcPr>
            <w:tcW w:w="680" w:type="dxa"/>
            <w:vAlign w:val="bottom"/>
            <w:tcBorders>
              <w:bottom w:val="single" w:sz="8" w:color="auto"/>
              <w:right w:val="single" w:sz="8" w:color="auto"/>
            </w:tcBorders>
            <w:shd w:val="clear" w:color="auto" w:fill="CCEEFF"/>
          </w:tcPr>
          <w:p>
            <w:pPr>
              <w:spacing w:after="0"/>
              <w:rPr>
                <w:sz w:val="9"/>
                <w:szCs w:val="9"/>
                <w:color w:val="auto"/>
              </w:rPr>
            </w:pPr>
          </w:p>
        </w:tc>
        <w:tc>
          <w:tcPr>
            <w:tcW w:w="700" w:type="dxa"/>
            <w:vAlign w:val="bottom"/>
            <w:tcBorders>
              <w:bottom w:val="single" w:sz="8" w:color="auto"/>
              <w:right w:val="single" w:sz="8" w:color="auto"/>
            </w:tcBorders>
            <w:shd w:val="clear" w:color="auto" w:fill="CCEEFF"/>
          </w:tcPr>
          <w:p>
            <w:pPr>
              <w:spacing w:after="0"/>
              <w:rPr>
                <w:sz w:val="9"/>
                <w:szCs w:val="9"/>
                <w:color w:val="auto"/>
              </w:rPr>
            </w:pPr>
          </w:p>
        </w:tc>
        <w:tc>
          <w:tcPr>
            <w:tcW w:w="740" w:type="dxa"/>
            <w:vAlign w:val="bottom"/>
            <w:tcBorders>
              <w:bottom w:val="single" w:sz="8" w:color="auto"/>
              <w:right w:val="single" w:sz="8" w:color="auto"/>
            </w:tcBorders>
            <w:shd w:val="clear" w:color="auto" w:fill="CCEEFF"/>
          </w:tcPr>
          <w:p>
            <w:pPr>
              <w:spacing w:after="0"/>
              <w:rPr>
                <w:sz w:val="9"/>
                <w:szCs w:val="9"/>
                <w:color w:val="auto"/>
              </w:rPr>
            </w:pPr>
          </w:p>
        </w:tc>
        <w:tc>
          <w:tcPr>
            <w:tcW w:w="84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shd w:val="clear" w:color="auto" w:fill="CCEEFF"/>
          </w:tcPr>
          <w:p>
            <w:pPr>
              <w:spacing w:after="0"/>
              <w:rPr>
                <w:sz w:val="16"/>
                <w:szCs w:val="16"/>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900" w:type="dxa"/>
            <w:vAlign w:val="bottom"/>
            <w:tcBorders>
              <w:right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right w:val="single" w:sz="8" w:color="auto"/>
            </w:tcBorders>
            <w:vMerge w:val="restart"/>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17"/>
        </w:trPr>
        <w:tc>
          <w:tcPr>
            <w:tcW w:w="780" w:type="dxa"/>
            <w:vAlign w:val="bottom"/>
            <w:tcBorders>
              <w:left w:val="single" w:sz="8" w:color="auto"/>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vMerge w:val="continue"/>
            <w:shd w:val="clear" w:color="auto" w:fill="CCEEFF"/>
          </w:tcPr>
          <w:p>
            <w:pPr>
              <w:spacing w:after="0"/>
              <w:rPr>
                <w:sz w:val="10"/>
                <w:szCs w:val="10"/>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1060" w:type="dxa"/>
            <w:vAlign w:val="bottom"/>
            <w:tcBorders>
              <w:right w:val="single" w:sz="8" w:color="auto"/>
            </w:tcBorders>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right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vMerge w:val="continue"/>
            <w:shd w:val="clear" w:color="auto" w:fill="CCEEFF"/>
          </w:tcPr>
          <w:p>
            <w:pPr>
              <w:spacing w:after="0"/>
              <w:rPr>
                <w:sz w:val="10"/>
                <w:szCs w:val="10"/>
                <w:color w:val="auto"/>
              </w:rPr>
            </w:pPr>
          </w:p>
        </w:tc>
        <w:tc>
          <w:tcPr>
            <w:tcW w:w="680" w:type="dxa"/>
            <w:vAlign w:val="bottom"/>
            <w:tcBorders>
              <w:right w:val="single" w:sz="8" w:color="auto"/>
            </w:tcBorders>
            <w:vMerge w:val="continue"/>
            <w:shd w:val="clear" w:color="auto" w:fill="CCEEFF"/>
          </w:tcPr>
          <w:p>
            <w:pPr>
              <w:spacing w:after="0"/>
              <w:rPr>
                <w:sz w:val="10"/>
                <w:szCs w:val="10"/>
                <w:color w:val="auto"/>
              </w:rPr>
            </w:pPr>
          </w:p>
        </w:tc>
        <w:tc>
          <w:tcPr>
            <w:tcW w:w="700" w:type="dxa"/>
            <w:vAlign w:val="bottom"/>
            <w:tcBorders>
              <w:right w:val="single" w:sz="8" w:color="auto"/>
            </w:tcBorders>
            <w:vMerge w:val="continue"/>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8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bottom w:val="single" w:sz="8" w:color="CCEEFF"/>
              <w:right w:val="single" w:sz="8" w:color="auto"/>
            </w:tcBorders>
            <w:shd w:val="clear" w:color="auto" w:fill="CCEEFF"/>
          </w:tcPr>
          <w:p>
            <w:pPr>
              <w:spacing w:after="0"/>
              <w:rPr>
                <w:sz w:val="9"/>
                <w:szCs w:val="9"/>
                <w:color w:val="auto"/>
              </w:rPr>
            </w:pPr>
          </w:p>
        </w:tc>
        <w:tc>
          <w:tcPr>
            <w:tcW w:w="960" w:type="dxa"/>
            <w:vAlign w:val="bottom"/>
            <w:tcBorders>
              <w:bottom w:val="single" w:sz="8" w:color="auto"/>
              <w:right w:val="single" w:sz="8" w:color="auto"/>
            </w:tcBorders>
            <w:shd w:val="clear" w:color="auto" w:fill="CCEEFF"/>
          </w:tcPr>
          <w:p>
            <w:pPr>
              <w:spacing w:after="0"/>
              <w:rPr>
                <w:sz w:val="9"/>
                <w:szCs w:val="9"/>
                <w:color w:val="auto"/>
              </w:rPr>
            </w:pPr>
          </w:p>
        </w:tc>
        <w:tc>
          <w:tcPr>
            <w:tcW w:w="780" w:type="dxa"/>
            <w:vAlign w:val="bottom"/>
            <w:tcBorders>
              <w:bottom w:val="single" w:sz="8" w:color="auto"/>
              <w:right w:val="single" w:sz="8" w:color="auto"/>
            </w:tcBorders>
            <w:shd w:val="clear" w:color="auto" w:fill="CCEEFF"/>
          </w:tcPr>
          <w:p>
            <w:pPr>
              <w:spacing w:after="0"/>
              <w:rPr>
                <w:sz w:val="9"/>
                <w:szCs w:val="9"/>
                <w:color w:val="auto"/>
              </w:rPr>
            </w:pPr>
          </w:p>
        </w:tc>
        <w:tc>
          <w:tcPr>
            <w:tcW w:w="9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right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right w:val="single" w:sz="8" w:color="auto"/>
            </w:tcBorders>
            <w:shd w:val="clear" w:color="auto" w:fill="CCEEFF"/>
          </w:tcPr>
          <w:p>
            <w:pPr>
              <w:spacing w:after="0"/>
              <w:rPr>
                <w:sz w:val="9"/>
                <w:szCs w:val="9"/>
                <w:color w:val="auto"/>
              </w:rPr>
            </w:pPr>
          </w:p>
        </w:tc>
        <w:tc>
          <w:tcPr>
            <w:tcW w:w="680" w:type="dxa"/>
            <w:vAlign w:val="bottom"/>
            <w:tcBorders>
              <w:bottom w:val="single" w:sz="8" w:color="auto"/>
              <w:right w:val="single" w:sz="8" w:color="auto"/>
            </w:tcBorders>
            <w:shd w:val="clear" w:color="auto" w:fill="CCEEFF"/>
          </w:tcPr>
          <w:p>
            <w:pPr>
              <w:spacing w:after="0"/>
              <w:rPr>
                <w:sz w:val="9"/>
                <w:szCs w:val="9"/>
                <w:color w:val="auto"/>
              </w:rPr>
            </w:pPr>
          </w:p>
        </w:tc>
        <w:tc>
          <w:tcPr>
            <w:tcW w:w="700" w:type="dxa"/>
            <w:vAlign w:val="bottom"/>
            <w:tcBorders>
              <w:bottom w:val="single" w:sz="8" w:color="auto"/>
              <w:right w:val="single" w:sz="8" w:color="auto"/>
            </w:tcBorders>
            <w:shd w:val="clear" w:color="auto" w:fill="CCEEFF"/>
          </w:tcPr>
          <w:p>
            <w:pPr>
              <w:spacing w:after="0"/>
              <w:rPr>
                <w:sz w:val="9"/>
                <w:szCs w:val="9"/>
                <w:color w:val="auto"/>
              </w:rPr>
            </w:pPr>
          </w:p>
        </w:tc>
        <w:tc>
          <w:tcPr>
            <w:tcW w:w="740" w:type="dxa"/>
            <w:vAlign w:val="bottom"/>
            <w:tcBorders>
              <w:bottom w:val="single" w:sz="8" w:color="auto"/>
              <w:right w:val="single" w:sz="8" w:color="auto"/>
            </w:tcBorders>
            <w:shd w:val="clear" w:color="auto" w:fill="CCEEFF"/>
          </w:tcPr>
          <w:p>
            <w:pPr>
              <w:spacing w:after="0"/>
              <w:rPr>
                <w:sz w:val="9"/>
                <w:szCs w:val="9"/>
                <w:color w:val="auto"/>
              </w:rPr>
            </w:pPr>
          </w:p>
        </w:tc>
        <w:tc>
          <w:tcPr>
            <w:tcW w:w="84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shd w:val="clear" w:color="auto" w:fill="CCEEFF"/>
          </w:tcPr>
          <w:p>
            <w:pPr>
              <w:spacing w:after="0"/>
              <w:rPr>
                <w:sz w:val="16"/>
                <w:szCs w:val="16"/>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Other</w:t>
            </w:r>
          </w:p>
        </w:tc>
        <w:tc>
          <w:tcPr>
            <w:tcW w:w="7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Units</w:t>
            </w:r>
          </w:p>
        </w:tc>
        <w:tc>
          <w:tcPr>
            <w:tcW w:w="900" w:type="dxa"/>
            <w:vAlign w:val="bottom"/>
            <w:tcBorders>
              <w:right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right w:val="single" w:sz="8" w:color="auto"/>
            </w:tcBorders>
            <w:vMerge w:val="restart"/>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17"/>
        </w:trPr>
        <w:tc>
          <w:tcPr>
            <w:tcW w:w="780" w:type="dxa"/>
            <w:vAlign w:val="bottom"/>
            <w:tcBorders>
              <w:left w:val="single" w:sz="8" w:color="auto"/>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vMerge w:val="continue"/>
            <w:shd w:val="clear" w:color="auto" w:fill="CCEEFF"/>
          </w:tcPr>
          <w:p>
            <w:pPr>
              <w:spacing w:after="0"/>
              <w:rPr>
                <w:sz w:val="10"/>
                <w:szCs w:val="10"/>
                <w:color w:val="auto"/>
              </w:rPr>
            </w:pPr>
          </w:p>
        </w:tc>
        <w:tc>
          <w:tcPr>
            <w:tcW w:w="780" w:type="dxa"/>
            <w:vAlign w:val="bottom"/>
            <w:tcBorders>
              <w:right w:val="single" w:sz="8" w:color="auto"/>
            </w:tcBorders>
            <w:vMerge w:val="continue"/>
            <w:shd w:val="clear" w:color="auto" w:fill="CCEEFF"/>
          </w:tcPr>
          <w:p>
            <w:pPr>
              <w:spacing w:after="0"/>
              <w:rPr>
                <w:sz w:val="10"/>
                <w:szCs w:val="10"/>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1060" w:type="dxa"/>
            <w:vAlign w:val="bottom"/>
            <w:tcBorders>
              <w:right w:val="single" w:sz="8" w:color="auto"/>
            </w:tcBorders>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right w:val="single" w:sz="8" w:color="auto"/>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tcBorders>
              <w:right w:val="single" w:sz="8" w:color="auto"/>
            </w:tcBorders>
            <w:gridSpan w:val="2"/>
            <w:vMerge w:val="continue"/>
            <w:shd w:val="clear" w:color="auto" w:fill="CCEEFF"/>
          </w:tcPr>
          <w:p>
            <w:pPr>
              <w:spacing w:after="0"/>
              <w:rPr>
                <w:sz w:val="10"/>
                <w:szCs w:val="10"/>
                <w:color w:val="auto"/>
              </w:rPr>
            </w:pPr>
          </w:p>
        </w:tc>
        <w:tc>
          <w:tcPr>
            <w:tcW w:w="680" w:type="dxa"/>
            <w:vAlign w:val="bottom"/>
            <w:tcBorders>
              <w:right w:val="single" w:sz="8" w:color="auto"/>
            </w:tcBorders>
            <w:vMerge w:val="continue"/>
            <w:shd w:val="clear" w:color="auto" w:fill="CCEEFF"/>
          </w:tcPr>
          <w:p>
            <w:pPr>
              <w:spacing w:after="0"/>
              <w:rPr>
                <w:sz w:val="10"/>
                <w:szCs w:val="10"/>
                <w:color w:val="auto"/>
              </w:rPr>
            </w:pPr>
          </w:p>
        </w:tc>
        <w:tc>
          <w:tcPr>
            <w:tcW w:w="700" w:type="dxa"/>
            <w:vAlign w:val="bottom"/>
            <w:tcBorders>
              <w:right w:val="single" w:sz="8" w:color="auto"/>
            </w:tcBorders>
            <w:vMerge w:val="continue"/>
            <w:shd w:val="clear" w:color="auto" w:fill="CCEEFF"/>
          </w:tcPr>
          <w:p>
            <w:pPr>
              <w:spacing w:after="0"/>
              <w:rPr>
                <w:sz w:val="10"/>
                <w:szCs w:val="10"/>
                <w:color w:val="auto"/>
              </w:rPr>
            </w:pPr>
          </w:p>
        </w:tc>
        <w:tc>
          <w:tcPr>
            <w:tcW w:w="740" w:type="dxa"/>
            <w:vAlign w:val="bottom"/>
            <w:tcBorders>
              <w:right w:val="single" w:sz="8" w:color="auto"/>
            </w:tcBorders>
            <w:vMerge w:val="continue"/>
            <w:shd w:val="clear" w:color="auto" w:fill="CCEEFF"/>
          </w:tcPr>
          <w:p>
            <w:pPr>
              <w:spacing w:after="0"/>
              <w:rPr>
                <w:sz w:val="10"/>
                <w:szCs w:val="10"/>
                <w:color w:val="auto"/>
              </w:rPr>
            </w:pPr>
          </w:p>
        </w:tc>
        <w:tc>
          <w:tcPr>
            <w:tcW w:w="84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bottom w:val="single" w:sz="8" w:color="CCEEFF"/>
              <w:right w:val="single" w:sz="8" w:color="auto"/>
            </w:tcBorders>
            <w:shd w:val="clear" w:color="auto" w:fill="CCEEFF"/>
          </w:tcPr>
          <w:p>
            <w:pPr>
              <w:spacing w:after="0"/>
              <w:rPr>
                <w:sz w:val="9"/>
                <w:szCs w:val="9"/>
                <w:color w:val="auto"/>
              </w:rPr>
            </w:pPr>
          </w:p>
        </w:tc>
        <w:tc>
          <w:tcPr>
            <w:tcW w:w="960" w:type="dxa"/>
            <w:vAlign w:val="bottom"/>
            <w:tcBorders>
              <w:bottom w:val="single" w:sz="8" w:color="auto"/>
              <w:right w:val="single" w:sz="8" w:color="auto"/>
            </w:tcBorders>
            <w:shd w:val="clear" w:color="auto" w:fill="CCEEFF"/>
          </w:tcPr>
          <w:p>
            <w:pPr>
              <w:spacing w:after="0"/>
              <w:rPr>
                <w:sz w:val="9"/>
                <w:szCs w:val="9"/>
                <w:color w:val="auto"/>
              </w:rPr>
            </w:pPr>
          </w:p>
        </w:tc>
        <w:tc>
          <w:tcPr>
            <w:tcW w:w="780" w:type="dxa"/>
            <w:vAlign w:val="bottom"/>
            <w:tcBorders>
              <w:bottom w:val="single" w:sz="8" w:color="auto"/>
              <w:right w:val="single" w:sz="8" w:color="auto"/>
            </w:tcBorders>
            <w:shd w:val="clear" w:color="auto" w:fill="CCEEFF"/>
          </w:tcPr>
          <w:p>
            <w:pPr>
              <w:spacing w:after="0"/>
              <w:rPr>
                <w:sz w:val="9"/>
                <w:szCs w:val="9"/>
                <w:color w:val="auto"/>
              </w:rPr>
            </w:pPr>
          </w:p>
        </w:tc>
        <w:tc>
          <w:tcPr>
            <w:tcW w:w="90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right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right w:val="single" w:sz="8" w:color="auto"/>
            </w:tcBorders>
            <w:shd w:val="clear" w:color="auto" w:fill="CCEEFF"/>
          </w:tcPr>
          <w:p>
            <w:pPr>
              <w:spacing w:after="0"/>
              <w:rPr>
                <w:sz w:val="9"/>
                <w:szCs w:val="9"/>
                <w:color w:val="auto"/>
              </w:rPr>
            </w:pPr>
          </w:p>
        </w:tc>
        <w:tc>
          <w:tcPr>
            <w:tcW w:w="680" w:type="dxa"/>
            <w:vAlign w:val="bottom"/>
            <w:tcBorders>
              <w:bottom w:val="single" w:sz="8" w:color="auto"/>
              <w:right w:val="single" w:sz="8" w:color="auto"/>
            </w:tcBorders>
            <w:shd w:val="clear" w:color="auto" w:fill="CCEEFF"/>
          </w:tcPr>
          <w:p>
            <w:pPr>
              <w:spacing w:after="0"/>
              <w:rPr>
                <w:sz w:val="9"/>
                <w:szCs w:val="9"/>
                <w:color w:val="auto"/>
              </w:rPr>
            </w:pPr>
          </w:p>
        </w:tc>
        <w:tc>
          <w:tcPr>
            <w:tcW w:w="700" w:type="dxa"/>
            <w:vAlign w:val="bottom"/>
            <w:tcBorders>
              <w:bottom w:val="single" w:sz="8" w:color="auto"/>
              <w:right w:val="single" w:sz="8" w:color="auto"/>
            </w:tcBorders>
            <w:shd w:val="clear" w:color="auto" w:fill="CCEEFF"/>
          </w:tcPr>
          <w:p>
            <w:pPr>
              <w:spacing w:after="0"/>
              <w:rPr>
                <w:sz w:val="9"/>
                <w:szCs w:val="9"/>
                <w:color w:val="auto"/>
              </w:rPr>
            </w:pPr>
          </w:p>
        </w:tc>
        <w:tc>
          <w:tcPr>
            <w:tcW w:w="740" w:type="dxa"/>
            <w:vAlign w:val="bottom"/>
            <w:tcBorders>
              <w:bottom w:val="single" w:sz="8" w:color="auto"/>
              <w:right w:val="single" w:sz="8" w:color="auto"/>
            </w:tcBorders>
            <w:shd w:val="clear" w:color="auto" w:fill="CCEEFF"/>
          </w:tcPr>
          <w:p>
            <w:pPr>
              <w:spacing w:after="0"/>
              <w:rPr>
                <w:sz w:val="9"/>
                <w:szCs w:val="9"/>
                <w:color w:val="auto"/>
              </w:rPr>
            </w:pPr>
          </w:p>
        </w:tc>
        <w:tc>
          <w:tcPr>
            <w:tcW w:w="84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shd w:val="clear" w:color="auto" w:fill="CCEEFF"/>
          </w:tcPr>
          <w:p>
            <w:pPr>
              <w:spacing w:after="0"/>
              <w:rPr>
                <w:sz w:val="16"/>
                <w:szCs w:val="16"/>
                <w:color w:val="auto"/>
              </w:rPr>
            </w:pPr>
          </w:p>
        </w:tc>
        <w:tc>
          <w:tcPr>
            <w:tcW w:w="960" w:type="dxa"/>
            <w:vAlign w:val="bottom"/>
            <w:tcBorders>
              <w:right w:val="single" w:sz="8" w:color="auto"/>
            </w:tcBorders>
            <w:shd w:val="clear" w:color="auto" w:fill="CCEEFF"/>
          </w:tcPr>
          <w:p>
            <w:pPr>
              <w:jc w:val="center"/>
              <w:spacing w:after="0" w:line="186" w:lineRule="exact"/>
              <w:rPr>
                <w:sz w:val="20"/>
                <w:szCs w:val="20"/>
                <w:color w:val="auto"/>
              </w:rPr>
            </w:pPr>
            <w:r>
              <w:rPr>
                <w:rFonts w:ascii="Times New Roman" w:cs="Times New Roman" w:eastAsia="Times New Roman" w:hAnsi="Times New Roman"/>
                <w:sz w:val="17"/>
                <w:szCs w:val="17"/>
                <w:color w:val="auto"/>
                <w:w w:val="99"/>
              </w:rPr>
              <w:t>Unallocated</w:t>
            </w:r>
          </w:p>
        </w:tc>
        <w:tc>
          <w:tcPr>
            <w:tcW w:w="780" w:type="dxa"/>
            <w:vAlign w:val="bottom"/>
            <w:tcBorders>
              <w:right w:val="single" w:sz="8" w:color="auto"/>
            </w:tcBorders>
            <w:shd w:val="clear" w:color="auto" w:fill="CCEEFF"/>
          </w:tcPr>
          <w:p>
            <w:pPr>
              <w:spacing w:after="0"/>
              <w:rPr>
                <w:sz w:val="16"/>
                <w:szCs w:val="16"/>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Rule</w:t>
            </w:r>
          </w:p>
        </w:tc>
        <w:tc>
          <w:tcPr>
            <w:tcW w:w="10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right w:val="single" w:sz="8" w:color="auto"/>
            </w:tcBorders>
            <w:shd w:val="clear" w:color="auto" w:fill="CCEEFF"/>
          </w:tcPr>
          <w:p>
            <w:pPr>
              <w:spacing w:after="0"/>
              <w:rPr>
                <w:sz w:val="16"/>
                <w:szCs w:val="16"/>
                <w:color w:val="auto"/>
              </w:rPr>
            </w:pPr>
          </w:p>
        </w:tc>
        <w:tc>
          <w:tcPr>
            <w:tcW w:w="680" w:type="dxa"/>
            <w:vAlign w:val="bottom"/>
            <w:tcBorders>
              <w:right w:val="single" w:sz="8" w:color="auto"/>
            </w:tcBorders>
            <w:shd w:val="clear" w:color="auto" w:fill="CCEEFF"/>
          </w:tcPr>
          <w:p>
            <w:pPr>
              <w:spacing w:after="0"/>
              <w:rPr>
                <w:sz w:val="16"/>
                <w:szCs w:val="16"/>
                <w:color w:val="auto"/>
              </w:rPr>
            </w:pPr>
          </w:p>
        </w:tc>
        <w:tc>
          <w:tcPr>
            <w:tcW w:w="700" w:type="dxa"/>
            <w:vAlign w:val="bottom"/>
            <w:tcBorders>
              <w:right w:val="single" w:sz="8" w:color="auto"/>
            </w:tcBorders>
            <w:shd w:val="clear" w:color="auto" w:fill="CCEEFF"/>
          </w:tcPr>
          <w:p>
            <w:pPr>
              <w:spacing w:after="0"/>
              <w:rPr>
                <w:sz w:val="16"/>
                <w:szCs w:val="16"/>
                <w:color w:val="auto"/>
              </w:rPr>
            </w:pPr>
          </w:p>
        </w:tc>
        <w:tc>
          <w:tcPr>
            <w:tcW w:w="740" w:type="dxa"/>
            <w:vAlign w:val="bottom"/>
            <w:tcBorders>
              <w:right w:val="single" w:sz="8" w:color="auto"/>
            </w:tcBorders>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780" w:type="dxa"/>
            <w:vAlign w:val="bottom"/>
            <w:tcBorders>
              <w:right w:val="single" w:sz="8" w:color="auto"/>
            </w:tcBorders>
            <w:shd w:val="clear" w:color="auto" w:fill="CCEEFF"/>
          </w:tcPr>
          <w:p>
            <w:pPr>
              <w:spacing w:after="0"/>
              <w:rPr>
                <w:sz w:val="8"/>
                <w:szCs w:val="8"/>
                <w:color w:val="auto"/>
              </w:rPr>
            </w:pPr>
          </w:p>
        </w:tc>
        <w:tc>
          <w:tcPr>
            <w:tcW w:w="900" w:type="dxa"/>
            <w:vAlign w:val="bottom"/>
            <w:tcBorders>
              <w:right w:val="single" w:sz="8" w:color="auto"/>
            </w:tcBorders>
            <w:vMerge w:val="continue"/>
            <w:shd w:val="clear" w:color="auto" w:fill="CCEEFF"/>
          </w:tcPr>
          <w:p>
            <w:pPr>
              <w:spacing w:after="0"/>
              <w:rPr>
                <w:sz w:val="8"/>
                <w:szCs w:val="8"/>
                <w:color w:val="auto"/>
              </w:rPr>
            </w:pP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$400,000,000</w:t>
            </w:r>
          </w:p>
        </w:tc>
        <w:tc>
          <w:tcPr>
            <w:tcW w:w="18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400,000,000(2)</w:t>
            </w: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0.0001531</w:t>
            </w:r>
          </w:p>
        </w:tc>
        <w:tc>
          <w:tcPr>
            <w:tcW w:w="40" w:type="dxa"/>
            <w:vAlign w:val="bottom"/>
            <w:shd w:val="clear" w:color="auto" w:fill="CCEEFF"/>
          </w:tcPr>
          <w:p>
            <w:pPr>
              <w:spacing w:after="0"/>
              <w:rPr>
                <w:sz w:val="8"/>
                <w:szCs w:val="8"/>
                <w:color w:val="auto"/>
              </w:rPr>
            </w:pPr>
          </w:p>
        </w:tc>
        <w:tc>
          <w:tcPr>
            <w:tcW w:w="20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auto"/>
            </w:tcBorders>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61,240</w:t>
            </w:r>
          </w:p>
        </w:tc>
        <w:tc>
          <w:tcPr>
            <w:tcW w:w="680" w:type="dxa"/>
            <w:vAlign w:val="bottom"/>
            <w:tcBorders>
              <w:right w:val="single" w:sz="8" w:color="auto"/>
            </w:tcBorders>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vMerge w:val="restart"/>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vMerge w:val="restart"/>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vMerge w:val="restart"/>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01"/>
        </w:trPr>
        <w:tc>
          <w:tcPr>
            <w:tcW w:w="780" w:type="dxa"/>
            <w:vAlign w:val="bottom"/>
            <w:tcBorders>
              <w:left w:val="single" w:sz="8" w:color="auto"/>
              <w:right w:val="single" w:sz="8" w:color="auto"/>
            </w:tcBorders>
            <w:shd w:val="clear" w:color="auto" w:fill="CCEEFF"/>
          </w:tcPr>
          <w:p>
            <w:pPr>
              <w:spacing w:after="0"/>
              <w:rPr>
                <w:sz w:val="8"/>
                <w:szCs w:val="8"/>
                <w:color w:val="auto"/>
              </w:rPr>
            </w:pPr>
          </w:p>
        </w:tc>
        <w:tc>
          <w:tcPr>
            <w:tcW w:w="960" w:type="dxa"/>
            <w:vAlign w:val="bottom"/>
            <w:tcBorders>
              <w:right w:val="single" w:sz="8" w:color="auto"/>
            </w:tcBorders>
            <w:vMerge w:val="continue"/>
            <w:shd w:val="clear" w:color="auto" w:fill="CCEEFF"/>
          </w:tcPr>
          <w:p>
            <w:pPr>
              <w:spacing w:after="0"/>
              <w:rPr>
                <w:sz w:val="8"/>
                <w:szCs w:val="8"/>
                <w:color w:val="auto"/>
              </w:rPr>
            </w:pPr>
          </w:p>
        </w:tc>
        <w:tc>
          <w:tcPr>
            <w:tcW w:w="780" w:type="dxa"/>
            <w:vAlign w:val="bottom"/>
            <w:tcBorders>
              <w:right w:val="single" w:sz="8" w:color="auto"/>
            </w:tcBorders>
            <w:shd w:val="clear" w:color="auto" w:fill="CCEEFF"/>
          </w:tcPr>
          <w:p>
            <w:pPr>
              <w:spacing w:after="0"/>
              <w:rPr>
                <w:sz w:val="8"/>
                <w:szCs w:val="8"/>
                <w:color w:val="auto"/>
              </w:rPr>
            </w:pPr>
          </w:p>
        </w:tc>
        <w:tc>
          <w:tcPr>
            <w:tcW w:w="9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457(o)</w:t>
            </w: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tcBorders>
              <w:right w:val="single" w:sz="8" w:color="auto"/>
            </w:tcBorders>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1080" w:type="dxa"/>
            <w:vAlign w:val="bottom"/>
            <w:tcBorders>
              <w:right w:val="single" w:sz="8" w:color="auto"/>
            </w:tcBorders>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tcBorders>
              <w:right w:val="single" w:sz="8" w:color="auto"/>
            </w:tcBorders>
            <w:vMerge w:val="continue"/>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720" w:type="dxa"/>
            <w:vAlign w:val="bottom"/>
            <w:tcBorders>
              <w:right w:val="single" w:sz="8" w:color="auto"/>
            </w:tcBorders>
            <w:gridSpan w:val="2"/>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700" w:type="dxa"/>
            <w:vAlign w:val="bottom"/>
            <w:tcBorders>
              <w:right w:val="single" w:sz="8" w:color="auto"/>
            </w:tcBorders>
            <w:vMerge w:val="continue"/>
            <w:shd w:val="clear" w:color="auto" w:fill="CCEEFF"/>
          </w:tcPr>
          <w:p>
            <w:pPr>
              <w:spacing w:after="0"/>
              <w:rPr>
                <w:sz w:val="8"/>
                <w:szCs w:val="8"/>
                <w:color w:val="auto"/>
              </w:rPr>
            </w:pPr>
          </w:p>
        </w:tc>
        <w:tc>
          <w:tcPr>
            <w:tcW w:w="740" w:type="dxa"/>
            <w:vAlign w:val="bottom"/>
            <w:tcBorders>
              <w:right w:val="single" w:sz="8" w:color="auto"/>
            </w:tcBorders>
            <w:vMerge w:val="continue"/>
            <w:shd w:val="clear" w:color="auto" w:fill="CCEEFF"/>
          </w:tcPr>
          <w:p>
            <w:pPr>
              <w:spacing w:after="0"/>
              <w:rPr>
                <w:sz w:val="8"/>
                <w:szCs w:val="8"/>
                <w:color w:val="auto"/>
              </w:rPr>
            </w:pPr>
          </w:p>
        </w:tc>
        <w:tc>
          <w:tcPr>
            <w:tcW w:w="84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780" w:type="dxa"/>
            <w:vAlign w:val="bottom"/>
            <w:tcBorders>
              <w:left w:val="single" w:sz="8" w:color="auto"/>
              <w:right w:val="single" w:sz="8" w:color="auto"/>
            </w:tcBorders>
            <w:shd w:val="clear" w:color="auto" w:fill="CCEEFF"/>
          </w:tcPr>
          <w:p>
            <w:pPr>
              <w:spacing w:after="0"/>
              <w:rPr>
                <w:sz w:val="10"/>
                <w:szCs w:val="10"/>
                <w:color w:val="auto"/>
              </w:rPr>
            </w:pPr>
          </w:p>
        </w:tc>
        <w:tc>
          <w:tcPr>
            <w:tcW w:w="9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4"/>
              </w:rPr>
              <w:t>Shelf</w:t>
            </w:r>
          </w:p>
        </w:tc>
        <w:tc>
          <w:tcPr>
            <w:tcW w:w="780" w:type="dxa"/>
            <w:vAlign w:val="bottom"/>
            <w:tcBorders>
              <w:right w:val="single" w:sz="8" w:color="auto"/>
            </w:tcBorders>
            <w:vMerge w:val="restart"/>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right w:val="single" w:sz="8" w:color="auto"/>
            </w:tcBorders>
            <w:vMerge w:val="continue"/>
            <w:shd w:val="clear" w:color="auto" w:fill="CCEEFF"/>
          </w:tcPr>
          <w:p>
            <w:pPr>
              <w:spacing w:after="0"/>
              <w:rPr>
                <w:sz w:val="10"/>
                <w:szCs w:val="10"/>
                <w:color w:val="auto"/>
              </w:rPr>
            </w:pPr>
          </w:p>
        </w:tc>
        <w:tc>
          <w:tcPr>
            <w:tcW w:w="10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80" w:type="dxa"/>
            <w:vAlign w:val="bottom"/>
            <w:tcBorders>
              <w:right w:val="single" w:sz="8" w:color="auto"/>
            </w:tcBorders>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740" w:type="dxa"/>
            <w:vAlign w:val="bottom"/>
            <w:tcBorders>
              <w:right w:val="single" w:sz="8" w:color="auto"/>
            </w:tcBorders>
            <w:shd w:val="clear" w:color="auto" w:fill="CCEEFF"/>
          </w:tcPr>
          <w:p>
            <w:pPr>
              <w:spacing w:after="0"/>
              <w:rPr>
                <w:sz w:val="10"/>
                <w:szCs w:val="10"/>
                <w:color w:val="auto"/>
              </w:rPr>
            </w:pPr>
          </w:p>
        </w:tc>
        <w:tc>
          <w:tcPr>
            <w:tcW w:w="84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780" w:type="dxa"/>
            <w:vAlign w:val="bottom"/>
            <w:tcBorders>
              <w:left w:val="single" w:sz="8" w:color="auto"/>
              <w:bottom w:val="single" w:sz="8" w:color="auto"/>
              <w:right w:val="single" w:sz="8" w:color="auto"/>
            </w:tcBorders>
            <w:shd w:val="clear" w:color="auto" w:fill="CCEEFF"/>
          </w:tcPr>
          <w:p>
            <w:pPr>
              <w:spacing w:after="0"/>
              <w:rPr>
                <w:sz w:val="9"/>
                <w:szCs w:val="9"/>
                <w:color w:val="auto"/>
              </w:rPr>
            </w:pPr>
          </w:p>
        </w:tc>
        <w:tc>
          <w:tcPr>
            <w:tcW w:w="96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780" w:type="dxa"/>
            <w:vAlign w:val="bottom"/>
            <w:tcBorders>
              <w:bottom w:val="single" w:sz="8" w:color="auto"/>
              <w:right w:val="single" w:sz="8" w:color="auto"/>
            </w:tcBorders>
            <w:vMerge w:val="continue"/>
            <w:shd w:val="clear" w:color="auto" w:fill="CCEEFF"/>
          </w:tcPr>
          <w:p>
            <w:pPr>
              <w:spacing w:after="0"/>
              <w:rPr>
                <w:sz w:val="9"/>
                <w:szCs w:val="9"/>
                <w:color w:val="auto"/>
              </w:rPr>
            </w:pPr>
          </w:p>
        </w:tc>
        <w:tc>
          <w:tcPr>
            <w:tcW w:w="900" w:type="dxa"/>
            <w:vAlign w:val="bottom"/>
            <w:tcBorders>
              <w:bottom w:val="single" w:sz="8" w:color="auto"/>
              <w:right w:val="single" w:sz="8" w:color="auto"/>
            </w:tcBorders>
            <w:shd w:val="clear" w:color="auto" w:fill="CCEEFF"/>
          </w:tcPr>
          <w:p>
            <w:pPr>
              <w:spacing w:after="0"/>
              <w:rPr>
                <w:sz w:val="9"/>
                <w:szCs w:val="9"/>
                <w:color w:val="auto"/>
              </w:rPr>
            </w:pPr>
          </w:p>
        </w:tc>
        <w:tc>
          <w:tcPr>
            <w:tcW w:w="1060" w:type="dxa"/>
            <w:vAlign w:val="bottom"/>
            <w:tcBorders>
              <w:bottom w:val="single" w:sz="8" w:color="auto"/>
              <w:right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4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auto"/>
              <w:right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right w:val="single" w:sz="8" w:color="auto"/>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right w:val="single" w:sz="8" w:color="auto"/>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right w:val="single" w:sz="8" w:color="auto"/>
            </w:tcBorders>
            <w:shd w:val="clear" w:color="auto" w:fill="CCEEFF"/>
          </w:tcPr>
          <w:p>
            <w:pPr>
              <w:spacing w:after="0"/>
              <w:rPr>
                <w:sz w:val="9"/>
                <w:szCs w:val="9"/>
                <w:color w:val="auto"/>
              </w:rPr>
            </w:pPr>
          </w:p>
        </w:tc>
        <w:tc>
          <w:tcPr>
            <w:tcW w:w="680" w:type="dxa"/>
            <w:vAlign w:val="bottom"/>
            <w:tcBorders>
              <w:bottom w:val="single" w:sz="8" w:color="auto"/>
              <w:right w:val="single" w:sz="8" w:color="auto"/>
            </w:tcBorders>
            <w:shd w:val="clear" w:color="auto" w:fill="CCEEFF"/>
          </w:tcPr>
          <w:p>
            <w:pPr>
              <w:spacing w:after="0"/>
              <w:rPr>
                <w:sz w:val="9"/>
                <w:szCs w:val="9"/>
                <w:color w:val="auto"/>
              </w:rPr>
            </w:pPr>
          </w:p>
        </w:tc>
        <w:tc>
          <w:tcPr>
            <w:tcW w:w="700" w:type="dxa"/>
            <w:vAlign w:val="bottom"/>
            <w:tcBorders>
              <w:bottom w:val="single" w:sz="8" w:color="auto"/>
              <w:right w:val="single" w:sz="8" w:color="auto"/>
            </w:tcBorders>
            <w:shd w:val="clear" w:color="auto" w:fill="CCEEFF"/>
          </w:tcPr>
          <w:p>
            <w:pPr>
              <w:spacing w:after="0"/>
              <w:rPr>
                <w:sz w:val="9"/>
                <w:szCs w:val="9"/>
                <w:color w:val="auto"/>
              </w:rPr>
            </w:pPr>
          </w:p>
        </w:tc>
        <w:tc>
          <w:tcPr>
            <w:tcW w:w="740" w:type="dxa"/>
            <w:vAlign w:val="bottom"/>
            <w:tcBorders>
              <w:bottom w:val="single" w:sz="8" w:color="auto"/>
              <w:right w:val="single" w:sz="8" w:color="auto"/>
            </w:tcBorders>
            <w:shd w:val="clear" w:color="auto" w:fill="CCEEFF"/>
          </w:tcPr>
          <w:p>
            <w:pPr>
              <w:spacing w:after="0"/>
              <w:rPr>
                <w:sz w:val="9"/>
                <w:szCs w:val="9"/>
                <w:color w:val="auto"/>
              </w:rPr>
            </w:pPr>
          </w:p>
        </w:tc>
        <w:tc>
          <w:tcPr>
            <w:tcW w:w="840" w:type="dxa"/>
            <w:vAlign w:val="bottom"/>
            <w:tcBorders>
              <w:bottom w:val="single" w:sz="8" w:color="auto"/>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80" w:type="dxa"/>
            <w:vAlign w:val="bottom"/>
            <w:tcBorders>
              <w:left w:val="single" w:sz="8" w:color="auto"/>
              <w:right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color w:val="auto"/>
                <w:w w:val="96"/>
              </w:rPr>
              <w:t>Fees</w:t>
            </w:r>
          </w:p>
        </w:tc>
        <w:tc>
          <w:tcPr>
            <w:tcW w:w="9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10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Previously</w:t>
            </w:r>
          </w:p>
        </w:tc>
        <w:tc>
          <w:tcPr>
            <w:tcW w:w="9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N/A</w:t>
            </w:r>
          </w:p>
        </w:tc>
        <w:tc>
          <w:tcPr>
            <w:tcW w:w="7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N/A</w:t>
            </w:r>
          </w:p>
        </w:tc>
        <w:tc>
          <w:tcPr>
            <w:tcW w:w="90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5"/>
              </w:rPr>
              <w:t>N/A</w:t>
            </w:r>
          </w:p>
        </w:tc>
        <w:tc>
          <w:tcPr>
            <w:tcW w:w="180" w:type="dxa"/>
            <w:vAlign w:val="bottom"/>
          </w:tcPr>
          <w:p>
            <w:pPr>
              <w:spacing w:after="0"/>
              <w:rPr>
                <w:sz w:val="17"/>
                <w:szCs w:val="17"/>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Borders>
              <w:right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rPr>
              <w:t>N/A</w:t>
            </w:r>
          </w:p>
        </w:tc>
        <w:tc>
          <w:tcPr>
            <w:tcW w:w="80" w:type="dxa"/>
            <w:vAlign w:val="bottom"/>
          </w:tcPr>
          <w:p>
            <w:pPr>
              <w:spacing w:after="0"/>
              <w:rPr>
                <w:sz w:val="17"/>
                <w:szCs w:val="17"/>
                <w:color w:val="auto"/>
              </w:rPr>
            </w:pPr>
          </w:p>
        </w:tc>
        <w:tc>
          <w:tcPr>
            <w:tcW w:w="8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N/A</w:t>
            </w:r>
          </w:p>
        </w:tc>
        <w:tc>
          <w:tcPr>
            <w:tcW w:w="6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N/A</w:t>
            </w:r>
          </w:p>
        </w:tc>
        <w:tc>
          <w:tcPr>
            <w:tcW w:w="70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N/A</w:t>
            </w:r>
          </w:p>
        </w:tc>
        <w:tc>
          <w:tcPr>
            <w:tcW w:w="740" w:type="dxa"/>
            <w:vAlign w:val="bottom"/>
            <w:tcBorders>
              <w:right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rPr>
              <w:t>N/A</w:t>
            </w:r>
          </w:p>
        </w:tc>
        <w:tc>
          <w:tcPr>
            <w:tcW w:w="84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4"/>
        </w:trPr>
        <w:tc>
          <w:tcPr>
            <w:tcW w:w="7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Paid</w:t>
            </w:r>
          </w:p>
        </w:tc>
        <w:tc>
          <w:tcPr>
            <w:tcW w:w="96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right w:val="single" w:sz="8" w:color="auto"/>
            </w:tcBorders>
          </w:tcPr>
          <w:p>
            <w:pPr>
              <w:spacing w:after="0"/>
              <w:rPr>
                <w:sz w:val="19"/>
                <w:szCs w:val="19"/>
                <w:color w:val="auto"/>
              </w:rPr>
            </w:pPr>
          </w:p>
        </w:tc>
        <w:tc>
          <w:tcPr>
            <w:tcW w:w="8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spacing w:after="0"/>
              <w:rPr>
                <w:sz w:val="18"/>
                <w:szCs w:val="18"/>
                <w:color w:val="auto"/>
              </w:rPr>
            </w:pPr>
          </w:p>
        </w:tc>
        <w:tc>
          <w:tcPr>
            <w:tcW w:w="2740" w:type="dxa"/>
            <w:vAlign w:val="bottom"/>
            <w:tcBorders>
              <w:bottom w:val="single" w:sz="8" w:color="auto"/>
              <w:right w:val="single" w:sz="8" w:color="auto"/>
            </w:tcBorders>
            <w:gridSpan w:val="3"/>
            <w:shd w:val="clear" w:color="auto" w:fill="CCEEFF"/>
          </w:tcPr>
          <w:p>
            <w:pPr>
              <w:jc w:val="center"/>
              <w:ind w:right="897"/>
              <w:spacing w:after="0"/>
              <w:rPr>
                <w:sz w:val="20"/>
                <w:szCs w:val="20"/>
                <w:color w:val="auto"/>
              </w:rPr>
            </w:pPr>
            <w:r>
              <w:rPr>
                <w:rFonts w:ascii="Times New Roman" w:cs="Times New Roman" w:eastAsia="Times New Roman" w:hAnsi="Times New Roman"/>
                <w:sz w:val="17"/>
                <w:szCs w:val="17"/>
                <w:b w:val="1"/>
                <w:bCs w:val="1"/>
                <w:color w:val="auto"/>
                <w:w w:val="97"/>
              </w:rPr>
              <w:t>Total Offering Amounts</w:t>
            </w: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right w:val="single" w:sz="8" w:color="auto"/>
            </w:tcBorders>
            <w:shd w:val="clear" w:color="auto" w:fill="CCEEFF"/>
          </w:tcPr>
          <w:p>
            <w:pPr>
              <w:jc w:val="center"/>
              <w:ind w:right="136"/>
              <w:spacing w:after="0"/>
              <w:rPr>
                <w:sz w:val="20"/>
                <w:szCs w:val="20"/>
                <w:color w:val="auto"/>
              </w:rPr>
            </w:pPr>
            <w:r>
              <w:rPr>
                <w:rFonts w:ascii="Times New Roman" w:cs="Times New Roman" w:eastAsia="Times New Roman" w:hAnsi="Times New Roman"/>
                <w:sz w:val="17"/>
                <w:szCs w:val="17"/>
                <w:color w:val="auto"/>
              </w:rPr>
              <w:t>400,000,000</w:t>
            </w: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61,240</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740" w:type="dxa"/>
            <w:vAlign w:val="bottom"/>
            <w:tcBorders>
              <w:bottom w:val="single" w:sz="8" w:color="auto"/>
              <w:right w:val="single" w:sz="8" w:color="auto"/>
            </w:tcBorders>
            <w:gridSpan w:val="3"/>
          </w:tcPr>
          <w:p>
            <w:pPr>
              <w:jc w:val="center"/>
              <w:ind w:right="817"/>
              <w:spacing w:after="0"/>
              <w:rPr>
                <w:sz w:val="20"/>
                <w:szCs w:val="20"/>
                <w:color w:val="auto"/>
              </w:rPr>
            </w:pPr>
            <w:r>
              <w:rPr>
                <w:rFonts w:ascii="Times New Roman" w:cs="Times New Roman" w:eastAsia="Times New Roman" w:hAnsi="Times New Roman"/>
                <w:sz w:val="17"/>
                <w:szCs w:val="17"/>
                <w:b w:val="1"/>
                <w:bCs w:val="1"/>
                <w:color w:val="auto"/>
                <w:w w:val="95"/>
              </w:rPr>
              <w:t>Total Fees Previously Paid</w:t>
            </w: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960" w:type="dxa"/>
            <w:vAlign w:val="bottom"/>
            <w:tcBorders>
              <w:bottom w:val="single" w:sz="8" w:color="auto"/>
              <w:right w:val="single" w:sz="8" w:color="CCEEFF"/>
            </w:tcBorders>
            <w:shd w:val="clear" w:color="auto" w:fill="CCEEFF"/>
          </w:tcPr>
          <w:p>
            <w:pPr>
              <w:spacing w:after="0"/>
              <w:rPr>
                <w:sz w:val="18"/>
                <w:szCs w:val="18"/>
                <w:color w:val="auto"/>
              </w:rPr>
            </w:pPr>
          </w:p>
        </w:tc>
        <w:tc>
          <w:tcPr>
            <w:tcW w:w="1680" w:type="dxa"/>
            <w:vAlign w:val="bottom"/>
            <w:tcBorders>
              <w:bottom w:val="single" w:sz="8" w:color="auto"/>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Total Fee Offsets</w:t>
            </w:r>
          </w:p>
        </w:tc>
        <w:tc>
          <w:tcPr>
            <w:tcW w:w="106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right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0" w:type="dxa"/>
            <w:vAlign w:val="bottom"/>
            <w:tcBorders>
              <w:left w:val="single" w:sz="8" w:color="auto"/>
              <w:bottom w:val="single" w:sz="8" w:color="auto"/>
              <w:right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Net Fee Due</w:t>
            </w:r>
          </w:p>
        </w:tc>
        <w:tc>
          <w:tcPr>
            <w:tcW w:w="106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61,240</w:t>
            </w:r>
          </w:p>
        </w:tc>
        <w:tc>
          <w:tcPr>
            <w:tcW w:w="680" w:type="dxa"/>
            <w:vAlign w:val="bottom"/>
            <w:tcBorders>
              <w:bottom w:val="single" w:sz="8" w:color="auto"/>
              <w:right w:val="single" w:sz="8" w:color="auto"/>
            </w:tcBorders>
          </w:tcPr>
          <w:p>
            <w:pPr>
              <w:spacing w:after="0"/>
              <w:rPr>
                <w:sz w:val="18"/>
                <w:szCs w:val="18"/>
                <w:color w:val="auto"/>
              </w:rPr>
            </w:pPr>
          </w:p>
        </w:tc>
        <w:tc>
          <w:tcPr>
            <w:tcW w:w="70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right="140" w:hanging="299"/>
        <w:spacing w:after="0" w:line="254" w:lineRule="auto"/>
        <w:tabs>
          <w:tab w:leader="none" w:pos="30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indeterminate number or aggregate principal amount, as applicable, of securities of each identified class is being registered as may from time to time be offered on a primary basis at indeterminate prices, including an indeterminate number or amount of securities that may be issued upon the exercise, settlement, exchange or conversion of securities offered hereunder, which together shall have an aggregate initial offering price not to exceed $400,000,000. Separate consideration may or may not be received for securities that are issuable upon conversion of, or in exchange for, or upon exercise of, convertible or exchangeable securities. Pursuant to Rule 416 under the Securities Act of 1933, as amended, or the Securities Act, this registration statement shall also cover any additional securities of the registrant that become issuable by reason of any splits, dividends or similar transactions or anti-dilution adjustments.</w:t>
      </w:r>
    </w:p>
    <w:p>
      <w:pPr>
        <w:spacing w:after="0" w:line="177" w:lineRule="exact"/>
        <w:rPr>
          <w:rFonts w:ascii="Times New Roman" w:cs="Times New Roman" w:eastAsia="Times New Roman" w:hAnsi="Times New Roman"/>
          <w:sz w:val="17"/>
          <w:szCs w:val="17"/>
          <w:color w:val="auto"/>
        </w:rPr>
      </w:pPr>
    </w:p>
    <w:p>
      <w:pPr>
        <w:ind w:left="300" w:right="520" w:hanging="299"/>
        <w:spacing w:after="0" w:line="276" w:lineRule="auto"/>
        <w:tabs>
          <w:tab w:leader="none" w:pos="30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Subject to Rule 462(b) under the Securities Act, the aggregate initial offering price of all securities issued by the registrant pursuant to this registration statement will not exceed $400,000,000.</w:t>
      </w:r>
    </w:p>
    <w:p>
      <w:pPr>
        <w:spacing w:after="0" w:line="158" w:lineRule="exact"/>
        <w:rPr>
          <w:rFonts w:ascii="Times New Roman" w:cs="Times New Roman" w:eastAsia="Times New Roman" w:hAnsi="Times New Roman"/>
          <w:sz w:val="17"/>
          <w:szCs w:val="17"/>
          <w:color w:val="auto"/>
        </w:rPr>
      </w:pPr>
    </w:p>
    <w:p>
      <w:pPr>
        <w:ind w:left="300" w:right="440" w:hanging="299"/>
        <w:spacing w:after="0" w:line="276" w:lineRule="auto"/>
        <w:tabs>
          <w:tab w:leader="none" w:pos="300"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debt securities are issued at an original issue discount, the offering price of such debt securities shall be in such greater principal amount at maturity as shall result in an aggregate offering price not to exceed $400,000,000, less the aggregate dollar amount of all securities previously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287655</wp:posOffset>
            </wp:positionV>
            <wp:extent cx="7140575"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7140575" cy="15875"/>
                    </a:xfrm>
                    <a:prstGeom prst="rect">
                      <a:avLst/>
                    </a:prstGeom>
                    <a:noFill/>
                  </pic:spPr>
                </pic:pic>
              </a:graphicData>
            </a:graphic>
          </wp:anchor>
        </w:drawing>
      </w:r>
    </w:p>
    <w:sectPr>
      <w:pgSz w:w="11900" w:h="16838" w:orient="portrait"/>
      <w:cols w:equalWidth="0" w:num="1">
        <w:col w:w="11340"/>
      </w:cols>
      <w:pgMar w:left="320" w:top="2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1)"/>
      <w:numFmt w:val="lowerLetter"/>
      <w:start w:val="4"/>
    </w:lvl>
  </w:abstractNum>
  <w:abstractNum w:abstractNumId="6">
    <w:nsid w:val="A0382C5"/>
    <w:multiLevelType w:val="hybridMultilevel"/>
    <w:lvl w:ilvl="0">
      <w:lvlJc w:val="left"/>
      <w:lvlText w:val="(%1)"/>
      <w:numFmt w:val="lowerRoman"/>
      <w:start w:val="3"/>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
      <w:numFmt w:val="bullet"/>
      <w:start w:val="1"/>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
      <w:numFmt w:val="bullet"/>
      <w:start w:val="1"/>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1)"/>
      <w:numFmt w:val="lowerRoman"/>
      <w:start w:val="3"/>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1"/>
      <w:numFmt w:val="decimal"/>
      <w:start w:val="107"/>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CC1016F"/>
    <w:multiLevelType w:val="hybridMultilevel"/>
    <w:lvl w:ilvl="0">
      <w:lvlJc w:val="left"/>
      <w:lvlText w:val="(%1)"/>
      <w:numFmt w:val="decimal"/>
      <w:start w:val="2"/>
    </w:lvl>
  </w:abstractNum>
  <w:abstractNum w:abstractNumId="37">
    <w:nsid w:val="43F18422"/>
    <w:multiLevelType w:val="hybridMultilevel"/>
    <w:lvl w:ilvl="0">
      <w:lvlJc w:val="left"/>
      <w:lvlText w:val="(%1)"/>
      <w:numFmt w:val="decimal"/>
      <w:start w:val="5"/>
    </w:lvl>
    <w:lvl w:ilvl="1">
      <w:lvlJc w:val="left"/>
      <w:lvlText w:val="(%2)"/>
      <w:numFmt w:val="upperLetter"/>
      <w:start w:val="1"/>
    </w:lvl>
  </w:abstractNum>
  <w:abstractNum w:abstractNumId="38">
    <w:nsid w:val="60EF0119"/>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9">
    <w:nsid w:val="26F324BA"/>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40">
    <w:nsid w:val="7F01579B"/>
    <w:multiLevelType w:val="hybridMultilevel"/>
    <w:lvl w:ilvl="0">
      <w:lvlJc w:val="left"/>
      <w:lvlText w:val="(%1)"/>
      <w:numFmt w:val="lowerLetter"/>
      <w:start w:val="8"/>
    </w:lvl>
  </w:abstractNum>
  <w:abstractNum w:abstractNumId="41">
    <w:nsid w:val="49DA307D"/>
    <w:multiLevelType w:val="hybridMultilevel"/>
    <w:lvl w:ilvl="0">
      <w:lvlJc w:val="left"/>
      <w:lvlText w:val="(%1)"/>
      <w:numFmt w:val="lowerLetter"/>
      <w:start w:val="10"/>
    </w:lvl>
  </w:abstractNum>
  <w:abstractNum w:abstractNumId="42">
    <w:nsid w:val="7055A5F5"/>
    <w:multiLevelType w:val="hybridMultilevel"/>
    <w:lvl w:ilvl="0">
      <w:lvlJc w:val="left"/>
      <w:lvlText w:val="%1."/>
      <w:numFmt w:val="decimal"/>
      <w:start w:val="1"/>
    </w:lvl>
  </w:abstractNum>
  <w:abstractNum w:abstractNumId="43">
    <w:nsid w:val="5FB8370B"/>
    <w:multiLevelType w:val="hybridMultilevel"/>
    <w:lvl w:ilvl="0">
      <w:lvlJc w:val="left"/>
      <w:lvlText w:val="%1."/>
      <w:numFmt w:val="decimal"/>
      <w:start w:val="2"/>
    </w:lvl>
  </w:abstractNum>
  <w:abstractNum w:abstractNumId="44">
    <w:nsid w:val="50801EE1"/>
    <w:multiLevelType w:val="hybridMultilevel"/>
    <w:lvl w:ilvl="0">
      <w:lvlJc w:val="left"/>
      <w:lvlText w:val="%1."/>
      <w:numFmt w:val="decimal"/>
      <w:start w:val="3"/>
    </w:lvl>
  </w:abstractNum>
  <w:abstractNum w:abstractNumId="45">
    <w:nsid w:val="488AC1A"/>
    <w:multiLevelType w:val="hybridMultilevel"/>
    <w:lvl w:ilvl="0">
      <w:lvlJc w:val="left"/>
      <w:lvlText w:val="%1."/>
      <w:numFmt w:val="decimal"/>
      <w:start w:val="4"/>
    </w:lvl>
  </w:abstractNum>
  <w:abstractNum w:abstractNumId="46">
    <w:nsid w:val="5FB8011C"/>
    <w:multiLevelType w:val="hybridMultilevel"/>
    <w:lvl w:ilvl="0">
      <w:lvlJc w:val="left"/>
      <w:lvlText w:val="(%1)"/>
      <w:numFmt w:val="lowerLetter"/>
      <w:start w:val="1"/>
    </w:lvl>
  </w:abstractNum>
  <w:abstractNum w:abstractNumId="47">
    <w:nsid w:val="6AA78F7F"/>
    <w:multiLevelType w:val="hybridMultilevel"/>
    <w:lvl w:ilvl="0">
      <w:lvlJc w:val="left"/>
      <w:lvlText w:val="%1."/>
      <w:numFmt w:val="decimal"/>
      <w:start w:val="5"/>
    </w:lvl>
  </w:abstractNum>
  <w:abstractNum w:abstractNumId="48">
    <w:nsid w:val="7672BD23"/>
    <w:multiLevelType w:val="hybridMultilevel"/>
    <w:lvl w:ilvl="0">
      <w:lvlJc w:val="left"/>
      <w:lvlText w:val="(%1)"/>
      <w:numFmt w:val="lowerLetter"/>
      <w:start w:val="1"/>
    </w:lvl>
  </w:abstractNum>
  <w:abstractNum w:abstractNumId="49">
    <w:nsid w:val="6FC75AF8"/>
    <w:multiLevelType w:val="hybridMultilevel"/>
    <w:lvl w:ilvl="0">
      <w:lvlJc w:val="left"/>
      <w:lvlText w:val="(%1)"/>
      <w:numFmt w:val="lowerLetter"/>
      <w:start w:val="3"/>
    </w:lvl>
  </w:abstractNum>
  <w:abstractNum w:abstractNumId="50">
    <w:nsid w:val="6A5F7029"/>
    <w:multiLevelType w:val="hybridMultilevel"/>
    <w:lvl w:ilvl="0">
      <w:lvlJc w:val="left"/>
      <w:lvlText w:val="%1."/>
      <w:numFmt w:val="decimal"/>
      <w:start w:val="6"/>
    </w:lvl>
  </w:abstractNum>
  <w:abstractNum w:abstractNumId="51">
    <w:nsid w:val="7D5E18F8"/>
    <w:multiLevelType w:val="hybridMultilevel"/>
    <w:lvl w:ilvl="0">
      <w:lvlJc w:val="left"/>
      <w:lvlText w:val="(%1)"/>
      <w:numFmt w:val="lowerLetter"/>
      <w:start w:val="1"/>
    </w:lvl>
  </w:abstractNum>
  <w:abstractNum w:abstractNumId="52">
    <w:nsid w:val="5F3534A4"/>
    <w:multiLevelType w:val="hybridMultilevel"/>
    <w:lvl w:ilvl="0">
      <w:lvlJc w:val="left"/>
      <w:lvlText w:val="(%1)"/>
      <w:numFmt w:val="lowerLetter"/>
      <w:start w:val="2"/>
    </w:lvl>
  </w:abstractNum>
  <w:abstractNum w:abstractNumId="53">
    <w:nsid w:val="73A1821B"/>
    <w:multiLevelType w:val="hybridMultilevel"/>
    <w:lvl w:ilvl="0">
      <w:lvlJc w:val="left"/>
      <w:lvlText w:val="(%1)"/>
      <w:numFmt w:val="lowerLetter"/>
      <w:start w:val="6"/>
    </w:lvl>
  </w:abstractNum>
  <w:abstractNum w:abstractNumId="54">
    <w:nsid w:val="7DE67713"/>
    <w:multiLevelType w:val="hybridMultilevel"/>
    <w:lvl w:ilvl="0">
      <w:lvlJc w:val="left"/>
      <w:lvlText w:val="(%1)"/>
      <w:numFmt w:val="lowerLetter"/>
      <w:start w:val="10"/>
    </w:lvl>
  </w:abstractNum>
  <w:abstractNum w:abstractNumId="55">
    <w:nsid w:val="555C55B5"/>
    <w:multiLevelType w:val="hybridMultilevel"/>
    <w:lvl w:ilvl="0">
      <w:lvlJc w:val="left"/>
      <w:lvlText w:val="(%1)"/>
      <w:numFmt w:val="lowerLetter"/>
      <w:start w:val="12"/>
    </w:lvl>
  </w:abstractNum>
  <w:abstractNum w:abstractNumId="56">
    <w:nsid w:val="3FA62ACA"/>
    <w:multiLevelType w:val="hybridMultilevel"/>
    <w:lvl w:ilvl="0">
      <w:lvlJc w:val="left"/>
      <w:lvlText w:val="%1"/>
      <w:numFmt w:val="upperLetter"/>
      <w:start w:val="1"/>
    </w:lvl>
    <w:lvl w:ilvl="1">
      <w:lvlJc w:val="left"/>
      <w:lvlText w:val="(%2)"/>
      <w:numFmt w:val="lowerLetter"/>
      <w:start w:val="17"/>
    </w:lvl>
  </w:abstractNum>
  <w:abstractNum w:abstractNumId="57">
    <w:nsid w:val="14FCE74E"/>
    <w:multiLevelType w:val="hybridMultilevel"/>
    <w:lvl w:ilvl="0">
      <w:lvlJc w:val="left"/>
      <w:lvlText w:val="(%1)"/>
      <w:numFmt w:val="upperLetter"/>
      <w:start w:val="3"/>
    </w:lvl>
    <w:lvl w:ilvl="1">
      <w:lvlJc w:val="left"/>
      <w:lvlText w:val="(%2)"/>
      <w:numFmt w:val="lowerLetter"/>
      <w:start w:val="18"/>
    </w:lvl>
  </w:abstractNum>
  <w:abstractNum w:abstractNumId="58">
    <w:nsid w:val="6A3DD3E8"/>
    <w:multiLevelType w:val="hybridMultilevel"/>
    <w:lvl w:ilvl="0">
      <w:lvlJc w:val="left"/>
      <w:lvlText w:val="(%1)"/>
      <w:numFmt w:val="lowerLetter"/>
      <w:start w:val="20"/>
    </w:lvl>
  </w:abstractNum>
  <w:abstractNum w:abstractNumId="59">
    <w:nsid w:val="71C91298"/>
    <w:multiLevelType w:val="hybridMultilevel"/>
    <w:lvl w:ilvl="0">
      <w:lvlJc w:val="left"/>
      <w:lvlText w:val="(%1)"/>
      <w:numFmt w:val="lowerLetter"/>
      <w:start w:val="25"/>
    </w:lvl>
  </w:abstractNum>
  <w:abstractNum w:abstractNumId="60">
    <w:nsid w:val="9DAF632"/>
    <w:multiLevelType w:val="hybridMultilevel"/>
    <w:lvl w:ilvl="0">
      <w:lvlJc w:val="left"/>
      <w:lvlText w:val="(%1)"/>
      <w:numFmt w:val="lowerLetter"/>
      <w:start w:val="27"/>
    </w:lvl>
  </w:abstractNum>
  <w:abstractNum w:abstractNumId="61">
    <w:nsid w:val="53299938"/>
    <w:multiLevelType w:val="hybridMultilevel"/>
    <w:lvl w:ilvl="0">
      <w:lvlJc w:val="left"/>
      <w:lvlText w:val="(%1)"/>
      <w:numFmt w:val="lowerLetter"/>
      <w:start w:val="29"/>
    </w:lvl>
  </w:abstractNum>
  <w:abstractNum w:abstractNumId="62">
    <w:nsid w:val="1FBFE8E0"/>
    <w:multiLevelType w:val="hybridMultilevel"/>
    <w:lvl w:ilvl="0">
      <w:lvlJc w:val="left"/>
      <w:lvlText w:val="(%1)"/>
      <w:numFmt w:val="lowerLetter"/>
      <w:start w:val="33"/>
    </w:lvl>
  </w:abstractNum>
  <w:abstractNum w:abstractNumId="63">
    <w:nsid w:val="5092CA79"/>
    <w:multiLevelType w:val="hybridMultilevel"/>
    <w:lvl w:ilvl="0">
      <w:lvlJc w:val="left"/>
      <w:lvlText w:val="(%1)"/>
      <w:numFmt w:val="lowerLetter"/>
      <w:start w:val="37"/>
    </w:lvl>
  </w:abstractNum>
  <w:abstractNum w:abstractNumId="64">
    <w:nsid w:val="1D545C4D"/>
    <w:multiLevelType w:val="hybridMultilevel"/>
    <w:lvl w:ilvl="0">
      <w:lvlJc w:val="left"/>
      <w:lvlText w:val="(%1)"/>
      <w:numFmt w:val="lowerLetter"/>
      <w:start w:val="39"/>
    </w:lvl>
  </w:abstractNum>
  <w:abstractNum w:abstractNumId="65">
    <w:nsid w:val="59ADEA3D"/>
    <w:multiLevelType w:val="hybridMultilevel"/>
    <w:lvl w:ilvl="0">
      <w:lvlJc w:val="left"/>
      <w:lvlText w:val="(%1)"/>
      <w:numFmt w:val="lowerLetter"/>
      <w:start w:val="40"/>
    </w:lvl>
  </w:abstractNum>
  <w:abstractNum w:abstractNumId="66">
    <w:nsid w:val="288F1A34"/>
    <w:multiLevelType w:val="hybridMultilevel"/>
    <w:lvl w:ilvl="0">
      <w:lvlJc w:val="left"/>
      <w:lvlText w:val="(%1)"/>
      <w:numFmt w:val="lowerLetter"/>
      <w:start w:val="42"/>
    </w:lvl>
  </w:abstractNum>
  <w:abstractNum w:abstractNumId="67">
    <w:nsid w:val="2A155DBC"/>
    <w:multiLevelType w:val="hybridMultilevel"/>
    <w:lvl w:ilvl="0">
      <w:lvlJc w:val="left"/>
      <w:lvlText w:val="(%1)"/>
      <w:numFmt w:val="lowerLetter"/>
      <w:start w:val="48"/>
    </w:lvl>
  </w:abstractNum>
  <w:abstractNum w:abstractNumId="68">
    <w:nsid w:val="1D9F6E5F"/>
    <w:multiLevelType w:val="hybridMultilevel"/>
    <w:lvl w:ilvl="0">
      <w:lvlJc w:val="left"/>
      <w:lvlText w:val="%1."/>
      <w:numFmt w:val="decimal"/>
      <w:start w:val="7"/>
    </w:lvl>
  </w:abstractNum>
  <w:abstractNum w:abstractNumId="69">
    <w:nsid w:val="97E1B4E"/>
    <w:multiLevelType w:val="hybridMultilevel"/>
    <w:lvl w:ilvl="0">
      <w:lvlJc w:val="left"/>
      <w:lvlText w:val="(%1)"/>
      <w:numFmt w:val="lowerLetter"/>
      <w:start w:val="1"/>
    </w:lvl>
  </w:abstractNum>
  <w:abstractNum w:abstractNumId="70">
    <w:nsid w:val="51088277"/>
    <w:multiLevelType w:val="hybridMultilevel"/>
    <w:lvl w:ilvl="0">
      <w:lvlJc w:val="left"/>
      <w:lvlText w:val="(%1)"/>
      <w:numFmt w:val="lowerLetter"/>
      <w:start w:val="3"/>
    </w:lvl>
  </w:abstractNum>
  <w:abstractNum w:abstractNumId="71">
    <w:nsid w:val="1CA0C5FA"/>
    <w:multiLevelType w:val="hybridMultilevel"/>
    <w:lvl w:ilvl="0">
      <w:lvlJc w:val="left"/>
      <w:lvlText w:val="(%1)"/>
      <w:numFmt w:val="lowerLetter"/>
      <w:start w:val="7"/>
    </w:lvl>
  </w:abstractNum>
  <w:abstractNum w:abstractNumId="72">
    <w:nsid w:val="53584BCB"/>
    <w:multiLevelType w:val="hybridMultilevel"/>
    <w:lvl w:ilvl="0">
      <w:lvlJc w:val="left"/>
      <w:lvlText w:val="(%1)"/>
      <w:numFmt w:val="lowerLetter"/>
      <w:start w:val="10"/>
    </w:lvl>
  </w:abstractNum>
  <w:abstractNum w:abstractNumId="73">
    <w:nsid w:val="415E286C"/>
    <w:multiLevelType w:val="hybridMultilevel"/>
    <w:lvl w:ilvl="0">
      <w:lvlJc w:val="left"/>
      <w:lvlText w:val="(%1)"/>
      <w:numFmt w:val="lowerRoman"/>
      <w:start w:val="1"/>
    </w:lvl>
  </w:abstractNum>
  <w:abstractNum w:abstractNumId="74">
    <w:nsid w:val="7C58FD05"/>
    <w:multiLevelType w:val="hybridMultilevel"/>
    <w:lvl w:ilvl="0">
      <w:lvlJc w:val="left"/>
      <w:lvlText w:val="(%1)"/>
      <w:numFmt w:val="lowerRoman"/>
      <w:start w:val="4"/>
    </w:lvl>
  </w:abstractNum>
  <w:abstractNum w:abstractNumId="75">
    <w:nsid w:val="23D86AAC"/>
    <w:multiLevelType w:val="hybridMultilevel"/>
    <w:lvl w:ilvl="0">
      <w:lvlJc w:val="left"/>
      <w:lvlText w:val="&amp;"/>
      <w:numFmt w:val="bullet"/>
      <w:start w:val="1"/>
    </w:lvl>
    <w:lvl w:ilvl="1">
      <w:lvlJc w:val="left"/>
      <w:lvlText w:val="(%2)"/>
      <w:numFmt w:val="lowerLetter"/>
      <w:start w:val="14"/>
    </w:lvl>
  </w:abstractNum>
  <w:abstractNum w:abstractNumId="76">
    <w:nsid w:val="45E6D486"/>
    <w:multiLevelType w:val="hybridMultilevel"/>
    <w:lvl w:ilvl="0">
      <w:lvlJc w:val="left"/>
      <w:lvlText w:val="&amp;"/>
      <w:numFmt w:val="bullet"/>
      <w:start w:val="1"/>
    </w:lvl>
    <w:lvl w:ilvl="1">
      <w:lvlJc w:val="left"/>
      <w:lvlText w:val="(%2)"/>
      <w:numFmt w:val="lowerLetter"/>
      <w:start w:val="15"/>
    </w:lvl>
  </w:abstractNum>
  <w:abstractNum w:abstractNumId="77">
    <w:nsid w:val="5C10FE21"/>
    <w:multiLevelType w:val="hybridMultilevel"/>
    <w:lvl w:ilvl="0">
      <w:lvlJc w:val="left"/>
      <w:lvlText w:val="(%1)"/>
      <w:numFmt w:val="lowerLetter"/>
      <w:start w:val="16"/>
    </w:lvl>
  </w:abstractNum>
  <w:abstractNum w:abstractNumId="78">
    <w:nsid w:val="E7FFA2B"/>
    <w:multiLevelType w:val="hybridMultilevel"/>
    <w:lvl w:ilvl="0">
      <w:lvlJc w:val="left"/>
      <w:lvlText w:val="(%1)"/>
      <w:numFmt w:val="lowerLetter"/>
      <w:start w:val="21"/>
    </w:lvl>
  </w:abstractNum>
  <w:abstractNum w:abstractNumId="79">
    <w:nsid w:val="3C5991AA"/>
    <w:multiLevelType w:val="hybridMultilevel"/>
    <w:lvl w:ilvl="0">
      <w:lvlJc w:val="left"/>
      <w:lvlText w:val="(%1)"/>
      <w:numFmt w:val="lowerLetter"/>
      <w:start w:val="24"/>
    </w:lvl>
  </w:abstractNum>
  <w:abstractNum w:abstractNumId="80">
    <w:nsid w:val="4BD8591A"/>
    <w:multiLevelType w:val="hybridMultilevel"/>
    <w:lvl w:ilvl="0">
      <w:lvlJc w:val="left"/>
      <w:lvlText w:val="%1."/>
      <w:numFmt w:val="decimal"/>
      <w:start w:val="8"/>
    </w:lvl>
  </w:abstractNum>
  <w:abstractNum w:abstractNumId="81">
    <w:nsid w:val="78DF6A55"/>
    <w:multiLevelType w:val="hybridMultilevel"/>
    <w:lvl w:ilvl="0">
      <w:lvlJc w:val="left"/>
      <w:lvlText w:val="(%1)"/>
      <w:numFmt w:val="lowerLetter"/>
      <w:start w:val="1"/>
    </w:lvl>
  </w:abstractNum>
  <w:abstractNum w:abstractNumId="82">
    <w:nsid w:val="39B7AAA2"/>
    <w:multiLevelType w:val="hybridMultilevel"/>
    <w:lvl w:ilvl="0">
      <w:lvlJc w:val="left"/>
      <w:lvlText w:val="(%1)"/>
      <w:numFmt w:val="lowerLetter"/>
      <w:start w:val="4"/>
    </w:lvl>
  </w:abstractNum>
  <w:abstractNum w:abstractNumId="83">
    <w:nsid w:val="2B0D8DBE"/>
    <w:multiLevelType w:val="hybridMultilevel"/>
    <w:lvl w:ilvl="0">
      <w:lvlJc w:val="left"/>
      <w:lvlText w:val="(%1)"/>
      <w:numFmt w:val="lowerLetter"/>
      <w:start w:val="12"/>
    </w:lvl>
  </w:abstractNum>
  <w:abstractNum w:abstractNumId="84">
    <w:nsid w:val="6C80EC70"/>
    <w:multiLevelType w:val="hybridMultilevel"/>
    <w:lvl w:ilvl="0">
      <w:lvlJc w:val="left"/>
      <w:lvlText w:val="%1."/>
      <w:numFmt w:val="decimal"/>
      <w:start w:val="9"/>
    </w:lvl>
  </w:abstractNum>
  <w:abstractNum w:abstractNumId="85">
    <w:nsid w:val="379E21B5"/>
    <w:multiLevelType w:val="hybridMultilevel"/>
    <w:lvl w:ilvl="0">
      <w:lvlJc w:val="left"/>
      <w:lvlText w:val="(%1)"/>
      <w:numFmt w:val="lowerLetter"/>
      <w:start w:val="1"/>
    </w:lvl>
  </w:abstractNum>
  <w:abstractNum w:abstractNumId="86">
    <w:nsid w:val="69E373"/>
    <w:multiLevelType w:val="hybridMultilevel"/>
    <w:lvl w:ilvl="0">
      <w:lvlJc w:val="left"/>
      <w:lvlText w:val="%1"/>
      <w:numFmt w:val="decimal"/>
      <w:start w:val="1"/>
    </w:lvl>
    <w:lvl w:ilvl="1">
      <w:lvlJc w:val="left"/>
      <w:lvlText w:val="(%2)"/>
      <w:numFmt w:val="lowerLetter"/>
      <w:start w:val="2"/>
    </w:lvl>
  </w:abstractNum>
  <w:abstractNum w:abstractNumId="87">
    <w:nsid w:val="2C27173B"/>
    <w:multiLevelType w:val="hybridMultilevel"/>
    <w:lvl w:ilvl="0">
      <w:lvlJc w:val="left"/>
      <w:lvlText w:val="(%1)"/>
      <w:numFmt w:val="decimal"/>
      <w:start w:val="3"/>
    </w:lvl>
    <w:lvl w:ilvl="1">
      <w:lvlJc w:val="left"/>
      <w:lvlText w:val="%2"/>
      <w:numFmt w:val="lowerLetter"/>
      <w:start w:val="1"/>
    </w:lvl>
  </w:abstractNum>
  <w:abstractNum w:abstractNumId="88">
    <w:nsid w:val="4C9B0904"/>
    <w:multiLevelType w:val="hybridMultilevel"/>
    <w:lvl w:ilvl="0">
      <w:lvlJc w:val="left"/>
      <w:lvlText w:val="(%1)"/>
      <w:numFmt w:val="lowerLetter"/>
      <w:start w:val="4"/>
    </w:lvl>
  </w:abstractNum>
  <w:abstractNum w:abstractNumId="89">
    <w:nsid w:val="6AA7B75C"/>
    <w:multiLevelType w:val="hybridMultilevel"/>
    <w:lvl w:ilvl="0">
      <w:lvlJc w:val="left"/>
      <w:lvlText w:val="%1."/>
      <w:numFmt w:val="decimal"/>
      <w:start w:val="10"/>
    </w:lvl>
  </w:abstractNum>
  <w:abstractNum w:abstractNumId="90">
    <w:nsid w:val="1DF029D3"/>
    <w:multiLevelType w:val="hybridMultilevel"/>
    <w:lvl w:ilvl="0">
      <w:lvlJc w:val="left"/>
      <w:lvlText w:val="(%1)"/>
      <w:numFmt w:val="lowerLetter"/>
      <w:start w:val="1"/>
    </w:lvl>
  </w:abstractNum>
  <w:abstractNum w:abstractNumId="91">
    <w:nsid w:val="5675FF36"/>
    <w:multiLevelType w:val="hybridMultilevel"/>
    <w:lvl w:ilvl="0">
      <w:lvlJc w:val="left"/>
      <w:lvlText w:val="(%1)"/>
      <w:numFmt w:val="lowerLetter"/>
      <w:start w:val="2"/>
    </w:lvl>
  </w:abstractNum>
  <w:abstractNum w:abstractNumId="92">
    <w:nsid w:val="3DD15094"/>
    <w:multiLevelType w:val="hybridMultilevel"/>
    <w:lvl w:ilvl="0">
      <w:lvlJc w:val="left"/>
      <w:lvlText w:val="%1."/>
      <w:numFmt w:val="decimal"/>
      <w:start w:val="12"/>
    </w:lvl>
  </w:abstractNum>
  <w:abstractNum w:abstractNumId="93">
    <w:nsid w:val="3DB012B3"/>
    <w:multiLevelType w:val="hybridMultilevel"/>
    <w:lvl w:ilvl="0">
      <w:lvlJc w:val="left"/>
      <w:lvlText w:val="%1."/>
      <w:numFmt w:val="decimal"/>
      <w:start w:val="13"/>
    </w:lvl>
  </w:abstractNum>
  <w:abstractNum w:abstractNumId="94">
    <w:nsid w:val="2708C9AF"/>
    <w:multiLevelType w:val="hybridMultilevel"/>
    <w:lvl w:ilvl="0">
      <w:lvlJc w:val="left"/>
      <w:lvlText w:val="%1."/>
      <w:numFmt w:val="decimal"/>
      <w:start w:val="14"/>
    </w:lvl>
  </w:abstractNum>
  <w:abstractNum w:abstractNumId="95">
    <w:nsid w:val="5B25ACE2"/>
    <w:multiLevelType w:val="hybridMultilevel"/>
    <w:lvl w:ilvl="0">
      <w:lvlJc w:val="left"/>
      <w:lvlText w:val="%1."/>
      <w:numFmt w:val="decimal"/>
      <w:start w:val="18"/>
    </w:lvl>
  </w:abstractNum>
  <w:abstractNum w:abstractNumId="96">
    <w:nsid w:val="175DFCF0"/>
    <w:multiLevelType w:val="hybridMultilevel"/>
    <w:lvl w:ilvl="0">
      <w:lvlJc w:val="left"/>
      <w:lvlText w:val="(%1)"/>
      <w:numFmt w:val="lowerLetter"/>
      <w:start w:val="1"/>
    </w:lvl>
  </w:abstractNum>
  <w:abstractNum w:abstractNumId="97">
    <w:nsid w:val="4F97E3E4"/>
    <w:multiLevelType w:val="hybridMultilevel"/>
    <w:lvl w:ilvl="0">
      <w:lvlJc w:val="left"/>
      <w:lvlText w:val="%1."/>
      <w:numFmt w:val="decimal"/>
      <w:start w:val="19"/>
    </w:lvl>
  </w:abstractNum>
  <w:abstractNum w:abstractNumId="98">
    <w:nsid w:val="53B0A9E"/>
    <w:multiLevelType w:val="hybridMultilevel"/>
    <w:lvl w:ilvl="0">
      <w:lvlJc w:val="left"/>
      <w:lvlText w:val="(%1)"/>
      <w:numFmt w:val="lowerLetter"/>
      <w:start w:val="1"/>
    </w:lvl>
  </w:abstractNum>
  <w:abstractNum w:abstractNumId="99">
    <w:nsid w:val="34FD6B4F"/>
    <w:multiLevelType w:val="hybridMultilevel"/>
    <w:lvl w:ilvl="0">
      <w:lvlJc w:val="left"/>
      <w:lvlText w:val="(%1)"/>
      <w:numFmt w:val="lowerLetter"/>
      <w:start w:val="4"/>
    </w:lvl>
  </w:abstractNum>
  <w:abstractNum w:abstractNumId="100">
    <w:nsid w:val="5915FF32"/>
    <w:multiLevelType w:val="hybridMultilevel"/>
    <w:lvl w:ilvl="0">
      <w:lvlJc w:val="left"/>
      <w:lvlText w:val="%1."/>
      <w:numFmt w:val="decimal"/>
      <w:start w:val="21"/>
    </w:lvl>
  </w:abstractNum>
  <w:abstractNum w:abstractNumId="101">
    <w:nsid w:val="56438D15"/>
    <w:multiLevelType w:val="hybridMultilevel"/>
    <w:lvl w:ilvl="0">
      <w:lvlJc w:val="left"/>
      <w:lvlText w:val="%1."/>
      <w:numFmt w:val="decimal"/>
      <w:start w:val="22"/>
    </w:lvl>
  </w:abstractNum>
  <w:abstractNum w:abstractNumId="102">
    <w:nsid w:val="519E3149"/>
    <w:multiLevelType w:val="hybridMultilevel"/>
    <w:lvl w:ilvl="0">
      <w:lvlJc w:val="left"/>
      <w:lvlText w:val="%1."/>
      <w:numFmt w:val="decimal"/>
      <w:start w:val="24"/>
    </w:lvl>
  </w:abstractNum>
  <w:abstractNum w:abstractNumId="103">
    <w:nsid w:val="2C6E4AFD"/>
    <w:multiLevelType w:val="hybridMultilevel"/>
    <w:lvl w:ilvl="0">
      <w:lvlJc w:val="left"/>
      <w:lvlText w:val="(%1)"/>
      <w:numFmt w:val="lowerRoman"/>
      <w:start w:val="1"/>
    </w:lvl>
  </w:abstractNum>
  <w:abstractNum w:abstractNumId="104">
    <w:nsid w:val="17A1B582"/>
    <w:multiLevelType w:val="hybridMultilevel"/>
    <w:lvl w:ilvl="0">
      <w:lvlJc w:val="left"/>
      <w:lvlText w:val="(%1)"/>
      <w:numFmt w:val="lowerLetter"/>
      <w:start w:val="1"/>
    </w:lvl>
  </w:abstractNum>
  <w:abstractNum w:abstractNumId="105">
    <w:nsid w:val="4DF72E4E"/>
    <w:multiLevelType w:val="hybridMultilevel"/>
    <w:lvl w:ilvl="0">
      <w:lvlJc w:val="left"/>
      <w:lvlText w:val="(%1)"/>
      <w:numFmt w:val="lowerLetter"/>
      <w:start w:val="1"/>
    </w:lvl>
  </w:abstractNum>
  <w:abstractNum w:abstractNumId="106">
    <w:nsid w:val="5046B5A9"/>
    <w:multiLevelType w:val="hybridMultilevel"/>
    <w:lvl w:ilvl="0">
      <w:lvlJc w:val="left"/>
      <w:lvlText w:val="(%1)"/>
      <w:numFmt w:val="lowerLetter"/>
      <w:start w:val="6"/>
    </w:lvl>
  </w:abstractNum>
  <w:abstractNum w:abstractNumId="107">
    <w:nsid w:val="5D888A08"/>
    <w:multiLevelType w:val="hybridMultilevel"/>
    <w:lvl w:ilvl="0">
      <w:lvlJc w:val="left"/>
      <w:lvlText w:val="(%1)"/>
      <w:numFmt w:val="lowerLetter"/>
      <w:start w:val="1"/>
    </w:lvl>
  </w:abstractNum>
  <w:abstractNum w:abstractNumId="108">
    <w:nsid w:val="2A082C70"/>
    <w:multiLevelType w:val="hybridMultilevel"/>
    <w:lvl w:ilvl="0">
      <w:lvlJc w:val="left"/>
      <w:lvlText w:val="(%1)"/>
      <w:numFmt w:val="lowerLetter"/>
      <w:start w:val="1"/>
    </w:lvl>
  </w:abstractNum>
  <w:abstractNum w:abstractNumId="109">
    <w:nsid w:val="5EC6AFD4"/>
    <w:multiLevelType w:val="hybridMultilevel"/>
    <w:lvl w:ilvl="0">
      <w:lvlJc w:val="left"/>
      <w:lvlText w:val="(%1)"/>
      <w:numFmt w:val="lowerLetter"/>
      <w:start w:val="2"/>
    </w:lvl>
  </w:abstractNum>
  <w:abstractNum w:abstractNumId="110">
    <w:nsid w:val="19E21BB2"/>
    <w:multiLevelType w:val="hybridMultilevel"/>
    <w:lvl w:ilvl="0">
      <w:lvlJc w:val="left"/>
      <w:lvlText w:val="(%1)"/>
      <w:numFmt w:val="lowerRoman"/>
      <w:start w:val="1"/>
    </w:lvl>
  </w:abstractNum>
  <w:abstractNum w:abstractNumId="111">
    <w:nsid w:val="75E0858A"/>
    <w:multiLevelType w:val="hybridMultilevel"/>
    <w:lvl w:ilvl="0">
      <w:lvlJc w:val="left"/>
      <w:lvlText w:val="(%1)"/>
      <w:numFmt w:val="lowerLetter"/>
      <w:start w:val="5"/>
    </w:lvl>
  </w:abstractNum>
  <w:abstractNum w:abstractNumId="112">
    <w:nsid w:val="57A61A29"/>
    <w:multiLevelType w:val="hybridMultilevel"/>
    <w:lvl w:ilvl="0">
      <w:lvlJc w:val="left"/>
      <w:lvlText w:val="(%1)"/>
      <w:numFmt w:val="lowerLetter"/>
      <w:start w:val="9"/>
    </w:lvl>
  </w:abstractNum>
  <w:abstractNum w:abstractNumId="113">
    <w:nsid w:val="5399C654"/>
    <w:multiLevelType w:val="hybridMultilevel"/>
    <w:lvl w:ilvl="0">
      <w:lvlJc w:val="left"/>
      <w:lvlText w:val="(%1)"/>
      <w:numFmt w:val="lowerLetter"/>
      <w:start w:val="35"/>
    </w:lvl>
  </w:abstractNum>
  <w:abstractNum w:abstractNumId="114">
    <w:nsid w:val="20EE1348"/>
    <w:multiLevelType w:val="hybridMultilevel"/>
    <w:lvl w:ilvl="0">
      <w:lvlJc w:val="left"/>
      <w:lvlText w:val="(%1)"/>
      <w:numFmt w:val="lowerLetter"/>
      <w:start w:val="61"/>
    </w:lvl>
  </w:abstractNum>
  <w:abstractNum w:abstractNumId="115">
    <w:nsid w:val="4427069A"/>
    <w:multiLevelType w:val="hybridMultilevel"/>
    <w:lvl w:ilvl="0">
      <w:lvlJc w:val="left"/>
      <w:lvlText w:val="(%1)"/>
      <w:numFmt w:val="lowerLetter"/>
      <w:start w:val="6"/>
    </w:lvl>
  </w:abstractNum>
  <w:abstractNum w:abstractNumId="116">
    <w:nsid w:val="B37E80A"/>
    <w:multiLevelType w:val="hybridMultilevel"/>
    <w:lvl w:ilvl="0">
      <w:lvlJc w:val="left"/>
      <w:lvlText w:val="(%1)"/>
      <w:numFmt w:val="lowerLetter"/>
      <w:start w:val="1"/>
    </w:lvl>
  </w:abstractNum>
  <w:abstractNum w:abstractNumId="117">
    <w:nsid w:val="2157F6BC"/>
    <w:multiLevelType w:val="hybridMultilevel"/>
    <w:lvl w:ilvl="0">
      <w:lvlJc w:val="left"/>
      <w:lvlText w:val="(%1)"/>
      <w:numFmt w:val="lowerLetter"/>
      <w:start w:val="1"/>
    </w:lvl>
  </w:abstractNum>
  <w:abstractNum w:abstractNumId="118">
    <w:nsid w:val="704E1DD5"/>
    <w:multiLevelType w:val="hybridMultilevel"/>
    <w:lvl w:ilvl="0">
      <w:lvlJc w:val="left"/>
      <w:lvlText w:val="(%1)"/>
      <w:numFmt w:val="lowerLetter"/>
      <w:start w:val="2"/>
    </w:lvl>
  </w:abstractNum>
  <w:abstractNum w:abstractNumId="119">
    <w:nsid w:val="57D2F10E"/>
    <w:multiLevelType w:val="hybridMultilevel"/>
    <w:lvl w:ilvl="0">
      <w:lvlJc w:val="left"/>
      <w:lvlText w:val="(%1)"/>
      <w:numFmt w:val="lowerLetter"/>
      <w:start w:val="1"/>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lowerRoman"/>
      <w:start w:val="1"/>
    </w:lvl>
  </w:abstractNum>
  <w:abstractNum w:abstractNumId="122">
    <w:nsid w:val="2E48F044"/>
    <w:multiLevelType w:val="hybridMultilevel"/>
    <w:lvl w:ilvl="0">
      <w:lvlJc w:val="left"/>
      <w:lvlText w:val="(%1)"/>
      <w:numFmt w:val="lowerLetter"/>
      <w:start w:val="3"/>
    </w:lvl>
  </w:abstractNum>
  <w:abstractNum w:abstractNumId="123">
    <w:nsid w:val="49D0FEAC"/>
    <w:multiLevelType w:val="hybridMultilevel"/>
    <w:lvl w:ilvl="0">
      <w:lvlJc w:val="left"/>
      <w:lvlText w:val="(%1)"/>
      <w:numFmt w:val="lowerLetter"/>
      <w:start w:val="9"/>
    </w:lvl>
  </w:abstractNum>
  <w:abstractNum w:abstractNumId="124">
    <w:nsid w:val="4BEE5A5B"/>
    <w:multiLevelType w:val="hybridMultilevel"/>
    <w:lvl w:ilvl="0">
      <w:lvlJc w:val="left"/>
      <w:lvlText w:val="(%1)"/>
      <w:numFmt w:val="lowerRoman"/>
      <w:start w:val="2"/>
    </w:lvl>
  </w:abstractNum>
  <w:abstractNum w:abstractNumId="125">
    <w:nsid w:val="5551B9F3"/>
    <w:multiLevelType w:val="hybridMultilevel"/>
    <w:lvl w:ilvl="0">
      <w:lvlJc w:val="left"/>
      <w:lvlText w:val="(%1)"/>
      <w:numFmt w:val="lowerLetter"/>
      <w:start w:val="4"/>
    </w:lvl>
  </w:abstractNum>
  <w:abstractNum w:abstractNumId="126">
    <w:nsid w:val="24F6AB8E"/>
    <w:multiLevelType w:val="hybridMultilevel"/>
    <w:lvl w:ilvl="0">
      <w:lvlJc w:val="left"/>
      <w:lvlText w:val="(%1)"/>
      <w:numFmt w:val="lowerLetter"/>
      <w:start w:val="1"/>
    </w:lvl>
  </w:abstractNum>
  <w:abstractNum w:abstractNumId="127">
    <w:nsid w:val="634C574C"/>
    <w:multiLevelType w:val="hybridMultilevel"/>
    <w:lvl w:ilvl="0">
      <w:lvlJc w:val="left"/>
      <w:lvlText w:val="(%1)"/>
      <w:numFmt w:val="lowerLetter"/>
      <w:start w:val="4"/>
    </w:lvl>
  </w:abstractNum>
  <w:abstractNum w:abstractNumId="128">
    <w:nsid w:val="24E99DD7"/>
    <w:multiLevelType w:val="hybridMultilevel"/>
    <w:lvl w:ilvl="0">
      <w:lvlJc w:val="left"/>
      <w:lvlText w:val="(%1)"/>
      <w:numFmt w:val="lowerLetter"/>
      <w:start w:val="1"/>
    </w:lvl>
  </w:abstractNum>
  <w:abstractNum w:abstractNumId="129">
    <w:nsid w:val="2A31B62D"/>
    <w:multiLevelType w:val="hybridMultilevel"/>
    <w:lvl w:ilvl="0">
      <w:lvlJc w:val="left"/>
      <w:lvlText w:val="(%1)"/>
      <w:numFmt w:val="lowerRoman"/>
      <w:start w:val="1"/>
    </w:lvl>
  </w:abstractNum>
  <w:abstractNum w:abstractNumId="130">
    <w:nsid w:val="1849C29B"/>
    <w:multiLevelType w:val="hybridMultilevel"/>
    <w:lvl w:ilvl="0">
      <w:lvlJc w:val="left"/>
      <w:lvlText w:val="(%1)"/>
      <w:numFmt w:val="decimal"/>
      <w:start w:val="1"/>
    </w:lvl>
  </w:abstractNum>
  <w:abstractNum w:abstractNumId="131">
    <w:nsid w:val="7DFF9D09"/>
    <w:multiLevelType w:val="hybridMultilevel"/>
    <w:lvl w:ilvl="0">
      <w:lvlJc w:val="left"/>
      <w:lvlText w:val="(%1)"/>
      <w:numFmt w:val="lowerLetter"/>
      <w:start w:val="2"/>
    </w:lvl>
  </w:abstractNum>
  <w:abstractNum w:abstractNumId="132">
    <w:nsid w:val="754342"/>
    <w:multiLevelType w:val="hybridMultilevel"/>
    <w:lvl w:ilvl="0">
      <w:lvlJc w:val="left"/>
      <w:lvlText w:val="(%1)"/>
      <w:numFmt w:val="lowerLetter"/>
      <w:start w:val="1"/>
    </w:lvl>
  </w:abstractNum>
  <w:abstractNum w:abstractNumId="133">
    <w:nsid w:val="69E7F3E5"/>
    <w:multiLevelType w:val="hybridMultilevel"/>
    <w:lvl w:ilvl="0">
      <w:lvlJc w:val="left"/>
      <w:lvlText w:val="(%1)"/>
      <w:numFmt w:val="lowerLetter"/>
      <w:start w:val="1"/>
    </w:lvl>
  </w:abstractNum>
  <w:abstractNum w:abstractNumId="134">
    <w:nsid w:val="2A6DE806"/>
    <w:multiLevelType w:val="hybridMultilevel"/>
    <w:lvl w:ilvl="0">
      <w:lvlJc w:val="left"/>
      <w:lvlText w:val="(%1)"/>
      <w:numFmt w:val="lowerLetter"/>
      <w:start w:val="4"/>
    </w:lvl>
  </w:abstractNum>
  <w:abstractNum w:abstractNumId="135">
    <w:nsid w:val="1816F8C4"/>
    <w:multiLevelType w:val="hybridMultilevel"/>
    <w:lvl w:ilvl="0">
      <w:lvlJc w:val="left"/>
      <w:lvlText w:val="(%1)"/>
      <w:numFmt w:val="lowerLetter"/>
      <w:start w:val="1"/>
    </w:lvl>
  </w:abstractNum>
  <w:abstractNum w:abstractNumId="136">
    <w:nsid w:val="37DF2233"/>
    <w:multiLevelType w:val="hybridMultilevel"/>
    <w:lvl w:ilvl="0">
      <w:lvlJc w:val="left"/>
      <w:lvlText w:val="(%1)"/>
      <w:numFmt w:val="lowerLetter"/>
      <w:start w:val="2"/>
    </w:lvl>
  </w:abstractNum>
  <w:abstractNum w:abstractNumId="137">
    <w:nsid w:val="7AB49DAF"/>
    <w:multiLevelType w:val="hybridMultilevel"/>
    <w:lvl w:ilvl="0">
      <w:lvlJc w:val="left"/>
      <w:lvlText w:val="(%1)"/>
      <w:numFmt w:val="lowerLetter"/>
      <w:start w:val="2"/>
    </w:lvl>
  </w:abstractNum>
  <w:abstractNum w:abstractNumId="138">
    <w:nsid w:val="759F82CD"/>
    <w:multiLevelType w:val="hybridMultilevel"/>
    <w:lvl w:ilvl="0">
      <w:lvlJc w:val="left"/>
      <w:lvlText w:val="(%1)"/>
      <w:numFmt w:val="lowerLetter"/>
      <w:start w:val="1"/>
    </w:lvl>
  </w:abstractNum>
  <w:abstractNum w:abstractNumId="139">
    <w:nsid w:val="61E74EA3"/>
    <w:multiLevelType w:val="hybridMultilevel"/>
    <w:lvl w:ilvl="0">
      <w:lvlJc w:val="left"/>
      <w:lvlText w:val="(%1)"/>
      <w:numFmt w:val="lowerLetter"/>
      <w:start w:val="6"/>
    </w:lvl>
  </w:abstractNum>
  <w:abstractNum w:abstractNumId="140">
    <w:nsid w:val="597B4D84"/>
    <w:multiLevelType w:val="hybridMultilevel"/>
    <w:lvl w:ilvl="0">
      <w:lvlJc w:val="left"/>
      <w:lvlText w:val="(%1)"/>
      <w:numFmt w:val="lowerLetter"/>
      <w:start w:val="1"/>
    </w:lvl>
  </w:abstractNum>
  <w:abstractNum w:abstractNumId="141">
    <w:nsid w:val="F819E7F"/>
    <w:multiLevelType w:val="hybridMultilevel"/>
    <w:lvl w:ilvl="0">
      <w:lvlJc w:val="left"/>
      <w:lvlText w:val="(%1)"/>
      <w:numFmt w:val="lowerLetter"/>
      <w:start w:val="1"/>
    </w:lvl>
  </w:abstractNum>
  <w:abstractNum w:abstractNumId="142">
    <w:nsid w:val="57C7D42D"/>
    <w:multiLevelType w:val="hybridMultilevel"/>
    <w:lvl w:ilvl="0">
      <w:lvlJc w:val="left"/>
      <w:lvlText w:val="(%1)"/>
      <w:numFmt w:val="lowerRoman"/>
      <w:start w:val="1"/>
    </w:lvl>
  </w:abstractNum>
  <w:abstractNum w:abstractNumId="143">
    <w:nsid w:val="312167AD"/>
    <w:multiLevelType w:val="hybridMultilevel"/>
    <w:lvl w:ilvl="0">
      <w:lvlJc w:val="left"/>
      <w:lvlText w:val="(%1)"/>
      <w:numFmt w:val="lowerRoman"/>
      <w:start w:val="2"/>
    </w:lvl>
  </w:abstractNum>
  <w:abstractNum w:abstractNumId="144">
    <w:nsid w:val="631B64D4"/>
    <w:multiLevelType w:val="hybridMultilevel"/>
    <w:lvl w:ilvl="0">
      <w:lvlJc w:val="left"/>
      <w:lvlText w:val="%1"/>
      <w:numFmt w:val="lowerRoman"/>
      <w:start w:val="1"/>
    </w:lvl>
    <w:lvl w:ilvl="1">
      <w:lvlJc w:val="left"/>
      <w:lvlText w:val="%2."/>
      <w:numFmt w:val="decimal"/>
      <w:start w:val="1"/>
    </w:lvl>
  </w:abstractNum>
  <w:abstractNum w:abstractNumId="145">
    <w:nsid w:val="78B5E776"/>
    <w:multiLevelType w:val="hybridMultilevel"/>
    <w:lvl w:ilvl="0">
      <w:lvlJc w:val="left"/>
      <w:lvlText w:val="(%1)"/>
      <w:numFmt w:val="lowerRoman"/>
      <w:start w:val="2"/>
    </w:lvl>
    <w:lvl w:ilvl="1">
      <w:lvlJc w:val="left"/>
      <w:lvlText w:val="%2."/>
      <w:numFmt w:val="decimal"/>
      <w:start w:val="2"/>
    </w:lvl>
  </w:abstractNum>
  <w:abstractNum w:abstractNumId="146">
    <w:nsid w:val="75486E47"/>
    <w:multiLevelType w:val="hybridMultilevel"/>
    <w:lvl w:ilvl="0">
      <w:lvlJc w:val="left"/>
      <w:lvlText w:val="%1."/>
      <w:numFmt w:val="decimal"/>
      <w:start w:val="4"/>
    </w:lvl>
  </w:abstractNum>
  <w:abstractNum w:abstractNumId="147">
    <w:nsid w:val="6E534CDE"/>
    <w:multiLevelType w:val="hybridMultilevel"/>
    <w:lvl w:ilvl="0">
      <w:lvlJc w:val="left"/>
      <w:lvlText w:val="%1."/>
      <w:numFmt w:val="decimal"/>
      <w:start w:val="5"/>
    </w:lvl>
  </w:abstractNum>
  <w:abstractNum w:abstractNumId="148">
    <w:nsid w:val="1A0DDE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png"/><Relationship Id="rId55" Type="http://schemas.openxmlformats.org/officeDocument/2006/relationships/image" Target="media/image28.pn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image" Target="media/image34.png"/><Relationship Id="rId62" Type="http://schemas.openxmlformats.org/officeDocument/2006/relationships/image" Target="media/image35.png"/><Relationship Id="rId63" Type="http://schemas.openxmlformats.org/officeDocument/2006/relationships/image" Target="media/image36.png"/><Relationship Id="rId64" Type="http://schemas.openxmlformats.org/officeDocument/2006/relationships/image" Target="media/image37.png"/><Relationship Id="rId65" Type="http://schemas.openxmlformats.org/officeDocument/2006/relationships/image" Target="media/image38.png"/><Relationship Id="rId66" Type="http://schemas.openxmlformats.org/officeDocument/2006/relationships/image" Target="media/image39.png"/><Relationship Id="rId67" Type="http://schemas.openxmlformats.org/officeDocument/2006/relationships/image" Target="media/image40.png"/><Relationship Id="rId68" Type="http://schemas.openxmlformats.org/officeDocument/2006/relationships/image" Target="media/image41.png"/><Relationship Id="rId69" Type="http://schemas.openxmlformats.org/officeDocument/2006/relationships/image" Target="media/image42.png"/><Relationship Id="rId70" Type="http://schemas.openxmlformats.org/officeDocument/2006/relationships/image" Target="media/image43.png"/><Relationship Id="rId71" Type="http://schemas.openxmlformats.org/officeDocument/2006/relationships/image" Target="media/image44.png"/><Relationship Id="rId7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png"/><Relationship Id="rId77" Type="http://schemas.openxmlformats.org/officeDocument/2006/relationships/image" Target="media/image50.jpe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84" Type="http://schemas.openxmlformats.org/officeDocument/2006/relationships/image" Target="media/image57.png"/><Relationship Id="rId85" Type="http://schemas.openxmlformats.org/officeDocument/2006/relationships/image" Target="media/image58.png"/><Relationship Id="rId86" Type="http://schemas.openxmlformats.org/officeDocument/2006/relationships/image" Target="media/image59.png"/><Relationship Id="rId8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jpe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jpe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8" Type="http://schemas.openxmlformats.org/officeDocument/2006/relationships/hyperlink" Target="https://www.sec.gov/ix?doc=/Archives/edgar/data/1453687/000145368724000036/rnac-20231231.htm" TargetMode="External"/><Relationship Id="rId29" Type="http://schemas.openxmlformats.org/officeDocument/2006/relationships/hyperlink" Target="https://www.sec.gov/ix?doc=/Archives/edgar/data/1453687/000145368724000076/rnac-20240426.htm" TargetMode="External"/><Relationship Id="rId30" Type="http://schemas.openxmlformats.org/officeDocument/2006/relationships/hyperlink" Target="https://www.sec.gov/ix?doc=/Archives/edgar/data/1453687/000145368724000082/rnac-20240331.htm" TargetMode="External"/><Relationship Id="rId31" Type="http://schemas.openxmlformats.org/officeDocument/2006/relationships/hyperlink" Target="https://www.sec.gov/ix?doc=/Archives/edgar/data/1453687/000145368724000102/rnac-20240630.htm" TargetMode="External"/><Relationship Id="rId32" Type="http://schemas.openxmlformats.org/officeDocument/2006/relationships/hyperlink" Target="https://www.sec.gov/ix?doc=/Archives/edgar/data/1453687/000145368724000124/rnac-20240930.htm" TargetMode="External"/><Relationship Id="rId33" Type="http://schemas.openxmlformats.org/officeDocument/2006/relationships/hyperlink" Target="https://www.sec.gov/ix?doc=/Archives/edgar/data/1453687/000145368724000030/rnac-20240117.htm" TargetMode="External"/><Relationship Id="rId34" Type="http://schemas.openxmlformats.org/officeDocument/2006/relationships/hyperlink" Target="https://www.sec.gov/ix?doc=/Archives/edgar/data/1453687/000114036124003407/ny20014884x4_8ka.htm" TargetMode="External"/><Relationship Id="rId35" Type="http://schemas.openxmlformats.org/officeDocument/2006/relationships/hyperlink" Target="https://www.sec.gov/ix?doc=/Archives/edgar/data/1453687/000114036124011282/ef20023144_8k.htm" TargetMode="External"/><Relationship Id="rId36" Type="http://schemas.openxmlformats.org/officeDocument/2006/relationships/hyperlink" Target="https://www.sec.gov/ix?doc=/Archives/edgar/data/1453687/000145368724000039/rnac-20240308.htm" TargetMode="External"/><Relationship Id="rId37" Type="http://schemas.openxmlformats.org/officeDocument/2006/relationships/hyperlink" Target="https://www.sec.gov/ix?doc=/Archives/edgar/data/1453687/000145368724000048/rnac-20240326.htm" TargetMode="External"/><Relationship Id="rId38" Type="http://schemas.openxmlformats.org/officeDocument/2006/relationships/hyperlink" Target="https://www.sec.gov/ix?doc=/Archives/edgar/data/1453687/000145368724000052/rnac-20240326.htm" TargetMode="External"/><Relationship Id="rId39" Type="http://schemas.openxmlformats.org/officeDocument/2006/relationships/hyperlink" Target="https://www.sec.gov/ix?doc=/Archives/edgar/data/1453687/000145368724000055/rnac-20240408.htm" TargetMode="External"/><Relationship Id="rId40" Type="http://schemas.openxmlformats.org/officeDocument/2006/relationships/hyperlink" Target="https://www.sec.gov/ix?doc=/Archives/edgar/data/1453687/000145368724000072/rnac-20240419.htm" TargetMode="External"/><Relationship Id="rId41" Type="http://schemas.openxmlformats.org/officeDocument/2006/relationships/hyperlink" Target="https://www.sec.gov/ix?doc=/Archives/edgar/data/1453687/000145368724000084/rnac-20240522.htm" TargetMode="External"/><Relationship Id="rId42" Type="http://schemas.openxmlformats.org/officeDocument/2006/relationships/hyperlink" Target="https://www.sec.gov/ix?doc=/Archives/edgar/data/1453687/000145368724000088/rnac-20240614.htm" TargetMode="External"/><Relationship Id="rId43" Type="http://schemas.openxmlformats.org/officeDocument/2006/relationships/hyperlink" Target="https://www.sec.gov/ix?doc=/Archives/edgar/data/1453687/000114036124032080/ef20031962_8k.htm" TargetMode="External"/><Relationship Id="rId44" Type="http://schemas.openxmlformats.org/officeDocument/2006/relationships/hyperlink" Target="https://www.sec.gov/ix?doc=/Archives/edgar/data/1453687/000145368724000108/rnac-20240920.htm" TargetMode="External"/><Relationship Id="rId45" Type="http://schemas.openxmlformats.org/officeDocument/2006/relationships/hyperlink" Target="https://www.sec.gov/ix?doc=/Archives/edgar/data/1453687/000145368724000110/rnac-20240925.htm" TargetMode="External"/><Relationship Id="rId46" Type="http://schemas.openxmlformats.org/officeDocument/2006/relationships/hyperlink" Target="https://www.sec.gov/ix?doc=/Archives/edgar/data/1453687/000145368724000143/rnac-20241203.htm" TargetMode="External"/><Relationship Id="rId47" Type="http://schemas.openxmlformats.org/officeDocument/2006/relationships/hyperlink" Target="https://www.sec.gov/Archives/edgar/data/1453687/000145368724000036/exhibit414descriptionofsec.htm" TargetMode="External"/><Relationship Id="rId116" Type="http://schemas.openxmlformats.org/officeDocument/2006/relationships/hyperlink" Target="https://www.sec.gov/Archives/edgar/data/1453687/000110465916129891/a16-14002_1ex3d1.htm" TargetMode="External"/><Relationship Id="rId117" Type="http://schemas.openxmlformats.org/officeDocument/2006/relationships/hyperlink" Target="https://www.sec.gov/Archives/edgar/data/1453687/000145368722000109/exhibit31_charteramendment.htm" TargetMode="External"/><Relationship Id="rId118" Type="http://schemas.openxmlformats.org/officeDocument/2006/relationships/hyperlink" Target="https://www.sec.gov/Archives/edgar/data/1453687/000119312523275461/d869185dex33.htm" TargetMode="External"/><Relationship Id="rId119" Type="http://schemas.openxmlformats.org/officeDocument/2006/relationships/hyperlink" Target="https://www.sec.gov/Archives/edgar/data/1453687/000145368724000048/exhibit32certificateofamen.htm" TargetMode="External"/><Relationship Id="rId120" Type="http://schemas.openxmlformats.org/officeDocument/2006/relationships/hyperlink" Target="https://www.sec.gov/Archives/edgar/data/1453687/000119312523276086/d549858dex32.htm" TargetMode="External"/><Relationship Id="rId121" Type="http://schemas.openxmlformats.org/officeDocument/2006/relationships/hyperlink" Target="https://www.sec.gov/Archives/edgar/data/1453687/000119312523275461/d869185dex34.htm" TargetMode="External"/><Relationship Id="rId122" Type="http://schemas.openxmlformats.org/officeDocument/2006/relationships/hyperlink" Target="https://www.sec.gov/Archives/edgar/data/1453687/000145368724000048/exhibit31certificateofamen.htm" TargetMode="External"/><Relationship Id="rId123" Type="http://schemas.openxmlformats.org/officeDocument/2006/relationships/hyperlink" Target="https://www.sec.gov/Archives/edgar/data/1453687/000114036124032080/ef20031962_ex3-1.htm" TargetMode="External"/><Relationship Id="rId124" Type="http://schemas.openxmlformats.org/officeDocument/2006/relationships/hyperlink" Target="https://www.sec.gov/Archives/edgar/data/1453687/000104746916013398/a2228672z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2024-12-13T15:16:56Z</dcterms:created>
  <dcterms:modified xsi:type="dcterms:W3CDTF">2024-12-13T15:16:56Z</dcterms:modified>
</cp:coreProperties>
</file>