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July 12, 2017</w:t>
      </w:r>
    </w:p>
    <w:p>
      <w:pPr>
        <w:spacing w:after="0" w:line="82"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125095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S-3</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134620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SELECTA BIOSCIENCES,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125095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8" w:lineRule="exact"/>
        <w:rPr>
          <w:sz w:val="24"/>
          <w:szCs w:val="24"/>
          <w:color w:val="auto"/>
        </w:rPr>
      </w:pPr>
    </w:p>
    <w:tbl>
      <w:tblPr>
        <w:tblLayout w:type="fixed"/>
        <w:tblInd w:w="58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74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93"/>
              </w:rPr>
              <w:t>480 Arsenal Way</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6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4"/>
              </w:rPr>
              <w:t>Delaware</w:t>
            </w:r>
          </w:p>
        </w:tc>
        <w:tc>
          <w:tcPr>
            <w:tcW w:w="1640" w:type="dxa"/>
            <w:vAlign w:val="bottom"/>
          </w:tcPr>
          <w:p>
            <w:pPr>
              <w:spacing w:after="0"/>
              <w:rPr>
                <w:sz w:val="12"/>
                <w:szCs w:val="12"/>
                <w:color w:val="auto"/>
              </w:rPr>
            </w:pPr>
          </w:p>
        </w:tc>
        <w:tc>
          <w:tcPr>
            <w:tcW w:w="4740" w:type="dxa"/>
            <w:vAlign w:val="bottom"/>
            <w:gridSpan w:val="2"/>
          </w:tcPr>
          <w:p>
            <w:pPr>
              <w:jc w:val="center"/>
              <w:ind w:right="1500"/>
              <w:spacing w:after="0" w:line="149" w:lineRule="exact"/>
              <w:rPr>
                <w:sz w:val="20"/>
                <w:szCs w:val="20"/>
                <w:color w:val="auto"/>
              </w:rPr>
            </w:pPr>
            <w:r>
              <w:rPr>
                <w:rFonts w:ascii="Arial" w:cs="Arial" w:eastAsia="Arial" w:hAnsi="Arial"/>
                <w:sz w:val="14"/>
                <w:szCs w:val="14"/>
                <w:b w:val="1"/>
                <w:bCs w:val="1"/>
                <w:color w:val="auto"/>
                <w:w w:val="97"/>
              </w:rPr>
              <w:t>Watertown, MA 02472</w:t>
            </w:r>
          </w:p>
        </w:tc>
        <w:tc>
          <w:tcPr>
            <w:tcW w:w="172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90"/>
              </w:rPr>
              <w:t>26-1622110</w:t>
            </w:r>
          </w:p>
        </w:tc>
        <w:tc>
          <w:tcPr>
            <w:tcW w:w="0" w:type="dxa"/>
            <w:vAlign w:val="bottom"/>
          </w:tcPr>
          <w:p>
            <w:pPr>
              <w:spacing w:after="0"/>
              <w:rPr>
                <w:sz w:val="1"/>
                <w:szCs w:val="1"/>
                <w:color w:val="auto"/>
              </w:rPr>
            </w:pPr>
          </w:p>
        </w:tc>
      </w:tr>
      <w:tr>
        <w:trPr>
          <w:trHeight w:val="153"/>
        </w:trPr>
        <w:tc>
          <w:tcPr>
            <w:tcW w:w="2060" w:type="dxa"/>
            <w:vAlign w:val="bottom"/>
            <w:vMerge w:val="continue"/>
          </w:tcPr>
          <w:p>
            <w:pPr>
              <w:spacing w:after="0"/>
              <w:rPr>
                <w:sz w:val="13"/>
                <w:szCs w:val="13"/>
                <w:color w:val="auto"/>
              </w:rPr>
            </w:pPr>
          </w:p>
        </w:tc>
        <w:tc>
          <w:tcPr>
            <w:tcW w:w="4520" w:type="dxa"/>
            <w:vAlign w:val="bottom"/>
            <w:gridSpan w:val="2"/>
          </w:tcPr>
          <w:p>
            <w:pPr>
              <w:jc w:val="center"/>
              <w:ind w:left="1908"/>
              <w:spacing w:after="0" w:line="153" w:lineRule="exact"/>
              <w:rPr>
                <w:sz w:val="20"/>
                <w:szCs w:val="20"/>
                <w:color w:val="auto"/>
              </w:rPr>
            </w:pPr>
            <w:r>
              <w:rPr>
                <w:rFonts w:ascii="Arial" w:cs="Arial" w:eastAsia="Arial" w:hAnsi="Arial"/>
                <w:sz w:val="14"/>
                <w:szCs w:val="14"/>
                <w:b w:val="1"/>
                <w:bCs w:val="1"/>
                <w:color w:val="auto"/>
                <w:w w:val="93"/>
              </w:rPr>
              <w:t>(617) 923-1400</w:t>
            </w:r>
          </w:p>
        </w:tc>
        <w:tc>
          <w:tcPr>
            <w:tcW w:w="18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6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4"/>
              </w:rPr>
              <w:t>(State or other jurisdiction</w:t>
            </w:r>
          </w:p>
        </w:tc>
        <w:tc>
          <w:tcPr>
            <w:tcW w:w="6380" w:type="dxa"/>
            <w:vAlign w:val="bottom"/>
            <w:gridSpan w:val="3"/>
          </w:tcPr>
          <w:p>
            <w:pPr>
              <w:jc w:val="center"/>
              <w:ind w:left="28"/>
              <w:spacing w:after="0" w:line="149" w:lineRule="exact"/>
              <w:rPr>
                <w:sz w:val="20"/>
                <w:szCs w:val="20"/>
                <w:color w:val="auto"/>
              </w:rPr>
            </w:pPr>
            <w:r>
              <w:rPr>
                <w:rFonts w:ascii="Arial" w:cs="Arial" w:eastAsia="Arial" w:hAnsi="Arial"/>
                <w:sz w:val="14"/>
                <w:szCs w:val="14"/>
                <w:color w:val="auto"/>
                <w:w w:val="93"/>
              </w:rPr>
              <w:t>(Address, including zip code, and telephone number, including area code, of</w:t>
            </w:r>
          </w:p>
        </w:tc>
        <w:tc>
          <w:tcPr>
            <w:tcW w:w="1720" w:type="dxa"/>
            <w:vAlign w:val="bottom"/>
          </w:tcPr>
          <w:p>
            <w:pPr>
              <w:jc w:val="center"/>
              <w:ind w:left="308"/>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2060" w:type="dxa"/>
            <w:vAlign w:val="bottom"/>
          </w:tcPr>
          <w:p>
            <w:pPr>
              <w:jc w:val="center"/>
              <w:ind w:right="88"/>
              <w:spacing w:after="0"/>
              <w:rPr>
                <w:sz w:val="20"/>
                <w:szCs w:val="20"/>
                <w:color w:val="auto"/>
              </w:rPr>
            </w:pPr>
            <w:r>
              <w:rPr>
                <w:rFonts w:ascii="Arial" w:cs="Arial" w:eastAsia="Arial" w:hAnsi="Arial"/>
                <w:sz w:val="14"/>
                <w:szCs w:val="14"/>
                <w:color w:val="auto"/>
                <w:w w:val="96"/>
              </w:rPr>
              <w:t>of incorporation or organization)</w:t>
            </w:r>
          </w:p>
        </w:tc>
        <w:tc>
          <w:tcPr>
            <w:tcW w:w="1640" w:type="dxa"/>
            <w:vAlign w:val="bottom"/>
          </w:tcPr>
          <w:p>
            <w:pPr>
              <w:spacing w:after="0"/>
              <w:rPr>
                <w:sz w:val="15"/>
                <w:szCs w:val="15"/>
                <w:color w:val="auto"/>
              </w:rPr>
            </w:pPr>
          </w:p>
        </w:tc>
        <w:tc>
          <w:tcPr>
            <w:tcW w:w="4740" w:type="dxa"/>
            <w:vAlign w:val="bottom"/>
            <w:gridSpan w:val="2"/>
          </w:tcPr>
          <w:p>
            <w:pPr>
              <w:jc w:val="center"/>
              <w:ind w:right="1500"/>
              <w:spacing w:after="0"/>
              <w:rPr>
                <w:sz w:val="20"/>
                <w:szCs w:val="20"/>
                <w:color w:val="auto"/>
              </w:rPr>
            </w:pPr>
            <w:r>
              <w:rPr>
                <w:rFonts w:ascii="Arial" w:cs="Arial" w:eastAsia="Arial" w:hAnsi="Arial"/>
                <w:sz w:val="14"/>
                <w:szCs w:val="14"/>
                <w:color w:val="auto"/>
                <w:w w:val="94"/>
              </w:rPr>
              <w:t>registrant’s principal executive offices)</w:t>
            </w:r>
          </w:p>
        </w:tc>
        <w:tc>
          <w:tcPr>
            <w:tcW w:w="1720" w:type="dxa"/>
            <w:vAlign w:val="bottom"/>
          </w:tcPr>
          <w:p>
            <w:pPr>
              <w:jc w:val="center"/>
              <w:ind w:left="328"/>
              <w:spacing w:after="0"/>
              <w:rPr>
                <w:sz w:val="20"/>
                <w:szCs w:val="20"/>
                <w:color w:val="auto"/>
              </w:rPr>
            </w:pPr>
            <w:r>
              <w:rPr>
                <w:rFonts w:ascii="Arial" w:cs="Arial" w:eastAsia="Arial" w:hAnsi="Arial"/>
                <w:sz w:val="14"/>
                <w:szCs w:val="14"/>
                <w:color w:val="auto"/>
                <w:w w:val="96"/>
              </w:rPr>
              <w:t>Identification Number)</w:t>
            </w:r>
          </w:p>
        </w:tc>
        <w:tc>
          <w:tcPr>
            <w:tcW w:w="0" w:type="dxa"/>
            <w:vAlign w:val="bottom"/>
          </w:tcPr>
          <w:p>
            <w:pPr>
              <w:spacing w:after="0"/>
              <w:rPr>
                <w:sz w:val="1"/>
                <w:szCs w:val="1"/>
                <w:color w:val="auto"/>
              </w:rPr>
            </w:pPr>
          </w:p>
        </w:tc>
      </w:tr>
      <w:tr>
        <w:trPr>
          <w:trHeight w:val="205"/>
        </w:trPr>
        <w:tc>
          <w:tcPr>
            <w:tcW w:w="20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740" w:type="dxa"/>
            <w:vAlign w:val="bottom"/>
            <w:gridSpan w:val="2"/>
          </w:tcPr>
          <w:p>
            <w:pPr>
              <w:jc w:val="center"/>
              <w:ind w:right="1860"/>
              <w:spacing w:after="0"/>
              <w:rPr>
                <w:sz w:val="20"/>
                <w:szCs w:val="20"/>
                <w:color w:val="auto"/>
              </w:rPr>
            </w:pPr>
            <w:r>
              <w:rPr>
                <w:rFonts w:ascii="Arial" w:cs="Arial" w:eastAsia="Arial" w:hAnsi="Arial"/>
                <w:sz w:val="14"/>
                <w:szCs w:val="14"/>
                <w:b w:val="1"/>
                <w:bCs w:val="1"/>
                <w:color w:val="auto"/>
                <w:w w:val="95"/>
              </w:rPr>
              <w:t>Werner Cautreels, Ph.D.</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740" w:type="dxa"/>
            <w:vAlign w:val="bottom"/>
            <w:gridSpan w:val="2"/>
          </w:tcPr>
          <w:p>
            <w:pPr>
              <w:jc w:val="center"/>
              <w:ind w:right="1880"/>
              <w:spacing w:after="0" w:line="149" w:lineRule="exact"/>
              <w:rPr>
                <w:sz w:val="20"/>
                <w:szCs w:val="20"/>
                <w:color w:val="auto"/>
              </w:rPr>
            </w:pPr>
            <w:r>
              <w:rPr>
                <w:rFonts w:ascii="Arial" w:cs="Arial" w:eastAsia="Arial" w:hAnsi="Arial"/>
                <w:sz w:val="14"/>
                <w:szCs w:val="14"/>
                <w:b w:val="1"/>
                <w:bCs w:val="1"/>
                <w:color w:val="auto"/>
                <w:w w:val="87"/>
              </w:rPr>
              <w:t>Selecta Biosciences, Inc.</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740" w:type="dxa"/>
            <w:vAlign w:val="bottom"/>
            <w:gridSpan w:val="2"/>
          </w:tcPr>
          <w:p>
            <w:pPr>
              <w:jc w:val="center"/>
              <w:ind w:right="1860"/>
              <w:spacing w:after="0" w:line="149" w:lineRule="exact"/>
              <w:rPr>
                <w:sz w:val="20"/>
                <w:szCs w:val="20"/>
                <w:color w:val="auto"/>
              </w:rPr>
            </w:pPr>
            <w:r>
              <w:rPr>
                <w:rFonts w:ascii="Arial" w:cs="Arial" w:eastAsia="Arial" w:hAnsi="Arial"/>
                <w:sz w:val="14"/>
                <w:szCs w:val="14"/>
                <w:b w:val="1"/>
                <w:bCs w:val="1"/>
                <w:color w:val="auto"/>
                <w:w w:val="93"/>
              </w:rPr>
              <w:t>480 Arsenal Way</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740" w:type="dxa"/>
            <w:vAlign w:val="bottom"/>
            <w:gridSpan w:val="2"/>
          </w:tcPr>
          <w:p>
            <w:pPr>
              <w:jc w:val="center"/>
              <w:ind w:right="1860"/>
              <w:spacing w:after="0" w:line="149" w:lineRule="exact"/>
              <w:rPr>
                <w:sz w:val="20"/>
                <w:szCs w:val="20"/>
                <w:color w:val="auto"/>
              </w:rPr>
            </w:pPr>
            <w:r>
              <w:rPr>
                <w:rFonts w:ascii="Arial" w:cs="Arial" w:eastAsia="Arial" w:hAnsi="Arial"/>
                <w:sz w:val="14"/>
                <w:szCs w:val="14"/>
                <w:b w:val="1"/>
                <w:bCs w:val="1"/>
                <w:color w:val="auto"/>
                <w:w w:val="97"/>
              </w:rPr>
              <w:t>Watertown, MA 02472</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60" w:type="dxa"/>
            <w:vAlign w:val="bottom"/>
          </w:tcPr>
          <w:p>
            <w:pPr>
              <w:spacing w:after="0"/>
              <w:rPr>
                <w:sz w:val="13"/>
                <w:szCs w:val="13"/>
                <w:color w:val="auto"/>
              </w:rPr>
            </w:pPr>
          </w:p>
        </w:tc>
        <w:tc>
          <w:tcPr>
            <w:tcW w:w="4520" w:type="dxa"/>
            <w:vAlign w:val="bottom"/>
            <w:gridSpan w:val="2"/>
          </w:tcPr>
          <w:p>
            <w:pPr>
              <w:jc w:val="center"/>
              <w:ind w:left="1548"/>
              <w:spacing w:after="0" w:line="153" w:lineRule="exact"/>
              <w:rPr>
                <w:sz w:val="20"/>
                <w:szCs w:val="20"/>
                <w:color w:val="auto"/>
              </w:rPr>
            </w:pPr>
            <w:r>
              <w:rPr>
                <w:rFonts w:ascii="Arial" w:cs="Arial" w:eastAsia="Arial" w:hAnsi="Arial"/>
                <w:sz w:val="14"/>
                <w:szCs w:val="14"/>
                <w:b w:val="1"/>
                <w:bCs w:val="1"/>
                <w:color w:val="auto"/>
                <w:w w:val="93"/>
              </w:rPr>
              <w:t>(617) 923-1400</w:t>
            </w:r>
          </w:p>
        </w:tc>
        <w:tc>
          <w:tcPr>
            <w:tcW w:w="18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60" w:type="dxa"/>
            <w:vAlign w:val="bottom"/>
          </w:tcPr>
          <w:p>
            <w:pPr>
              <w:spacing w:after="0"/>
              <w:rPr>
                <w:sz w:val="15"/>
                <w:szCs w:val="15"/>
                <w:color w:val="auto"/>
              </w:rPr>
            </w:pPr>
          </w:p>
        </w:tc>
        <w:tc>
          <w:tcPr>
            <w:tcW w:w="6380" w:type="dxa"/>
            <w:vAlign w:val="bottom"/>
            <w:gridSpan w:val="3"/>
          </w:tcPr>
          <w:p>
            <w:pPr>
              <w:jc w:val="center"/>
              <w:ind w:right="240"/>
              <w:spacing w:after="0"/>
              <w:rPr>
                <w:sz w:val="20"/>
                <w:szCs w:val="20"/>
                <w:color w:val="auto"/>
              </w:rPr>
            </w:pPr>
            <w:r>
              <w:rPr>
                <w:rFonts w:ascii="Arial" w:cs="Arial" w:eastAsia="Arial" w:hAnsi="Arial"/>
                <w:sz w:val="14"/>
                <w:szCs w:val="14"/>
                <w:color w:val="auto"/>
                <w:w w:val="92"/>
              </w:rPr>
              <w:t>(Name, address, including zip code, and telephone number, including area code, of agent for service)</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80" w:type="dxa"/>
            <w:vAlign w:val="bottom"/>
            <w:tcBorders>
              <w:bottom w:val="single" w:sz="8" w:color="808080"/>
            </w:tcBorders>
          </w:tcPr>
          <w:p>
            <w:pPr>
              <w:spacing w:after="0"/>
              <w:rPr>
                <w:sz w:val="16"/>
                <w:szCs w:val="16"/>
                <w:color w:val="auto"/>
              </w:rPr>
            </w:pPr>
          </w:p>
        </w:tc>
        <w:tc>
          <w:tcPr>
            <w:tcW w:w="18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0"/>
        </w:trPr>
        <w:tc>
          <w:tcPr>
            <w:tcW w:w="2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740" w:type="dxa"/>
            <w:vAlign w:val="bottom"/>
            <w:gridSpan w:val="2"/>
          </w:tcPr>
          <w:p>
            <w:pPr>
              <w:jc w:val="center"/>
              <w:ind w:right="1880"/>
              <w:spacing w:after="0"/>
              <w:rPr>
                <w:sz w:val="20"/>
                <w:szCs w:val="20"/>
                <w:color w:val="auto"/>
              </w:rPr>
            </w:pPr>
            <w:r>
              <w:rPr>
                <w:rFonts w:ascii="Arial" w:cs="Arial" w:eastAsia="Arial" w:hAnsi="Arial"/>
                <w:sz w:val="14"/>
                <w:szCs w:val="14"/>
                <w:b w:val="1"/>
                <w:bCs w:val="1"/>
                <w:color w:val="auto"/>
                <w:w w:val="90"/>
              </w:rPr>
              <w:t>Copies to:</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740" w:type="dxa"/>
            <w:vAlign w:val="bottom"/>
            <w:gridSpan w:val="2"/>
          </w:tcPr>
          <w:p>
            <w:pPr>
              <w:jc w:val="center"/>
              <w:ind w:right="1860"/>
              <w:spacing w:after="0"/>
              <w:rPr>
                <w:sz w:val="20"/>
                <w:szCs w:val="20"/>
                <w:color w:val="auto"/>
              </w:rPr>
            </w:pPr>
            <w:r>
              <w:rPr>
                <w:rFonts w:ascii="Arial" w:cs="Arial" w:eastAsia="Arial" w:hAnsi="Arial"/>
                <w:sz w:val="14"/>
                <w:szCs w:val="14"/>
                <w:b w:val="1"/>
                <w:bCs w:val="1"/>
                <w:color w:val="auto"/>
                <w:w w:val="95"/>
              </w:rPr>
              <w:t>Peter N. Handrinos</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740" w:type="dxa"/>
            <w:vAlign w:val="bottom"/>
            <w:gridSpan w:val="2"/>
          </w:tcPr>
          <w:p>
            <w:pPr>
              <w:jc w:val="center"/>
              <w:ind w:right="1880"/>
              <w:spacing w:after="0" w:line="149" w:lineRule="exact"/>
              <w:rPr>
                <w:sz w:val="20"/>
                <w:szCs w:val="20"/>
                <w:color w:val="auto"/>
              </w:rPr>
            </w:pPr>
            <w:r>
              <w:rPr>
                <w:rFonts w:ascii="Arial" w:cs="Arial" w:eastAsia="Arial" w:hAnsi="Arial"/>
                <w:sz w:val="14"/>
                <w:szCs w:val="14"/>
                <w:b w:val="1"/>
                <w:bCs w:val="1"/>
                <w:color w:val="auto"/>
                <w:w w:val="95"/>
              </w:rPr>
              <w:t>Brandon J. Bortner</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740" w:type="dxa"/>
            <w:vAlign w:val="bottom"/>
            <w:gridSpan w:val="2"/>
          </w:tcPr>
          <w:p>
            <w:pPr>
              <w:jc w:val="center"/>
              <w:ind w:right="1880"/>
              <w:spacing w:after="0" w:line="153" w:lineRule="exact"/>
              <w:rPr>
                <w:sz w:val="20"/>
                <w:szCs w:val="20"/>
                <w:color w:val="auto"/>
              </w:rPr>
            </w:pPr>
            <w:r>
              <w:rPr>
                <w:rFonts w:ascii="Arial" w:cs="Arial" w:eastAsia="Arial" w:hAnsi="Arial"/>
                <w:sz w:val="14"/>
                <w:szCs w:val="14"/>
                <w:b w:val="1"/>
                <w:bCs w:val="1"/>
                <w:color w:val="auto"/>
                <w:w w:val="98"/>
              </w:rPr>
              <w:t>Latham &amp; Watkins LLP</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740" w:type="dxa"/>
            <w:vAlign w:val="bottom"/>
            <w:gridSpan w:val="2"/>
          </w:tcPr>
          <w:p>
            <w:pPr>
              <w:jc w:val="center"/>
              <w:ind w:right="1880"/>
              <w:spacing w:after="0" w:line="149" w:lineRule="exact"/>
              <w:rPr>
                <w:sz w:val="20"/>
                <w:szCs w:val="20"/>
                <w:color w:val="auto"/>
              </w:rPr>
            </w:pPr>
            <w:r>
              <w:rPr>
                <w:rFonts w:ascii="Arial" w:cs="Arial" w:eastAsia="Arial" w:hAnsi="Arial"/>
                <w:sz w:val="14"/>
                <w:szCs w:val="14"/>
                <w:color w:val="auto"/>
                <w:w w:val="91"/>
              </w:rPr>
              <w:t>200 Clarendon Street</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740" w:type="dxa"/>
            <w:vAlign w:val="bottom"/>
            <w:gridSpan w:val="2"/>
          </w:tcPr>
          <w:p>
            <w:pPr>
              <w:jc w:val="center"/>
              <w:ind w:right="1880"/>
              <w:spacing w:after="0" w:line="149" w:lineRule="exact"/>
              <w:rPr>
                <w:sz w:val="20"/>
                <w:szCs w:val="20"/>
                <w:color w:val="auto"/>
              </w:rPr>
            </w:pPr>
            <w:r>
              <w:rPr>
                <w:rFonts w:ascii="Arial" w:cs="Arial" w:eastAsia="Arial" w:hAnsi="Arial"/>
                <w:sz w:val="14"/>
                <w:szCs w:val="14"/>
                <w:color w:val="auto"/>
                <w:w w:val="95"/>
              </w:rPr>
              <w:t>Boston, MA 02116</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60" w:type="dxa"/>
            <w:vAlign w:val="bottom"/>
          </w:tcPr>
          <w:p>
            <w:pPr>
              <w:spacing w:after="0"/>
              <w:rPr>
                <w:sz w:val="15"/>
                <w:szCs w:val="15"/>
                <w:color w:val="auto"/>
              </w:rPr>
            </w:pPr>
          </w:p>
        </w:tc>
        <w:tc>
          <w:tcPr>
            <w:tcW w:w="4520" w:type="dxa"/>
            <w:vAlign w:val="bottom"/>
            <w:gridSpan w:val="2"/>
          </w:tcPr>
          <w:p>
            <w:pPr>
              <w:jc w:val="right"/>
              <w:ind w:right="868"/>
              <w:spacing w:after="0"/>
              <w:rPr>
                <w:sz w:val="20"/>
                <w:szCs w:val="20"/>
                <w:color w:val="auto"/>
              </w:rPr>
            </w:pPr>
            <w:r>
              <w:rPr>
                <w:rFonts w:ascii="Arial" w:cs="Arial" w:eastAsia="Arial" w:hAnsi="Arial"/>
                <w:sz w:val="14"/>
                <w:szCs w:val="14"/>
                <w:color w:val="auto"/>
              </w:rPr>
              <w:t>(617) 948-6000</w:t>
            </w:r>
          </w:p>
        </w:tc>
        <w:tc>
          <w:tcPr>
            <w:tcW w:w="1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119380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Approximate date of commencement of proposed sale to the public: From time to time after this registration statement becomes effective.</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If the only securities being registered on this Form are being offered pursuant to dividend or interest reinvestment plans, please check the following box. o</w:t>
      </w:r>
    </w:p>
    <w:p>
      <w:pPr>
        <w:spacing w:after="0" w:line="82" w:lineRule="exact"/>
        <w:rPr>
          <w:sz w:val="24"/>
          <w:szCs w:val="24"/>
          <w:color w:val="auto"/>
        </w:rPr>
      </w:pPr>
    </w:p>
    <w:p>
      <w:pPr>
        <w:ind w:right="240"/>
        <w:spacing w:after="0" w:line="253"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52" w:lineRule="exact"/>
        <w:rPr>
          <w:sz w:val="24"/>
          <w:szCs w:val="24"/>
          <w:color w:val="auto"/>
        </w:rPr>
      </w:pPr>
    </w:p>
    <w:p>
      <w:pPr>
        <w:ind w:right="120"/>
        <w:spacing w:after="0" w:line="25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52" w:lineRule="exact"/>
        <w:rPr>
          <w:sz w:val="24"/>
          <w:szCs w:val="24"/>
          <w:color w:val="auto"/>
        </w:rPr>
      </w:pPr>
    </w:p>
    <w:p>
      <w:pPr>
        <w:ind w:right="340"/>
        <w:spacing w:after="0" w:line="25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52" w:lineRule="exact"/>
        <w:rPr>
          <w:sz w:val="24"/>
          <w:szCs w:val="24"/>
          <w:color w:val="auto"/>
        </w:rPr>
      </w:pPr>
    </w:p>
    <w:p>
      <w:pPr>
        <w:ind w:right="700"/>
        <w:spacing w:after="0" w:line="253"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52" w:lineRule="exact"/>
        <w:rPr>
          <w:sz w:val="24"/>
          <w:szCs w:val="24"/>
          <w:color w:val="auto"/>
        </w:rPr>
      </w:pPr>
    </w:p>
    <w:p>
      <w:pPr>
        <w:ind w:right="320"/>
        <w:spacing w:after="0" w:line="253"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52" w:lineRule="exact"/>
        <w:rPr>
          <w:sz w:val="24"/>
          <w:szCs w:val="24"/>
          <w:color w:val="auto"/>
        </w:rPr>
      </w:pPr>
    </w:p>
    <w:p>
      <w:pPr>
        <w:ind w:right="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1040" w:type="dxa"/>
        <w:tblCellMar>
          <w:top w:w="0" w:type="dxa"/>
          <w:left w:w="0" w:type="dxa"/>
          <w:bottom w:w="0" w:type="dxa"/>
          <w:right w:w="0" w:type="dxa"/>
        </w:tblCellMar>
      </w:tblPr>
      <w:tr>
        <w:trPr>
          <w:trHeight w:val="161"/>
        </w:trPr>
        <w:tc>
          <w:tcPr>
            <w:tcW w:w="3720" w:type="dxa"/>
            <w:vAlign w:val="bottom"/>
          </w:tcPr>
          <w:p>
            <w:pPr>
              <w:spacing w:after="0"/>
              <w:rPr>
                <w:sz w:val="20"/>
                <w:szCs w:val="20"/>
                <w:color w:val="auto"/>
              </w:rPr>
            </w:pPr>
            <w:r>
              <w:rPr>
                <w:rFonts w:ascii="Arial" w:cs="Arial" w:eastAsia="Arial" w:hAnsi="Arial"/>
                <w:sz w:val="14"/>
                <w:szCs w:val="14"/>
                <w:color w:val="auto"/>
              </w:rPr>
              <w:t>Large accelerated filer o</w:t>
            </w:r>
          </w:p>
        </w:tc>
        <w:tc>
          <w:tcPr>
            <w:tcW w:w="2720" w:type="dxa"/>
            <w:vAlign w:val="bottom"/>
          </w:tcPr>
          <w:p>
            <w:pPr>
              <w:ind w:left="1040"/>
              <w:spacing w:after="0"/>
              <w:rPr>
                <w:sz w:val="20"/>
                <w:szCs w:val="20"/>
                <w:color w:val="auto"/>
              </w:rPr>
            </w:pPr>
            <w:r>
              <w:rPr>
                <w:rFonts w:ascii="Arial" w:cs="Arial" w:eastAsia="Arial" w:hAnsi="Arial"/>
                <w:sz w:val="14"/>
                <w:szCs w:val="14"/>
                <w:color w:val="auto"/>
              </w:rPr>
              <w:t>Accelerated filer o</w:t>
            </w: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Non-accelerated filer x</w:t>
            </w:r>
          </w:p>
        </w:tc>
        <w:tc>
          <w:tcPr>
            <w:tcW w:w="2720" w:type="dxa"/>
            <w:vAlign w:val="bottom"/>
            <w:vMerge w:val="restart"/>
          </w:tcPr>
          <w:p>
            <w:pPr>
              <w:ind w:left="1040"/>
              <w:spacing w:after="0"/>
              <w:rPr>
                <w:sz w:val="20"/>
                <w:szCs w:val="20"/>
                <w:color w:val="auto"/>
              </w:rPr>
            </w:pPr>
            <w:r>
              <w:rPr>
                <w:rFonts w:ascii="Arial" w:cs="Arial" w:eastAsia="Arial" w:hAnsi="Arial"/>
                <w:sz w:val="14"/>
                <w:szCs w:val="14"/>
                <w:color w:val="auto"/>
                <w:w w:val="92"/>
              </w:rPr>
              <w:t>Smaller reporting company o</w:t>
            </w:r>
          </w:p>
        </w:tc>
        <w:tc>
          <w:tcPr>
            <w:tcW w:w="0" w:type="dxa"/>
            <w:vAlign w:val="bottom"/>
          </w:tcPr>
          <w:p>
            <w:pPr>
              <w:spacing w:after="0"/>
              <w:rPr>
                <w:sz w:val="1"/>
                <w:szCs w:val="1"/>
                <w:color w:val="auto"/>
              </w:rPr>
            </w:pPr>
          </w:p>
        </w:tc>
      </w:tr>
      <w:tr>
        <w:trPr>
          <w:trHeight w:val="101"/>
        </w:trPr>
        <w:tc>
          <w:tcPr>
            <w:tcW w:w="3720" w:type="dxa"/>
            <w:vAlign w:val="bottom"/>
            <w:vMerge w:val="restart"/>
          </w:tcPr>
          <w:p>
            <w:pPr>
              <w:spacing w:after="0"/>
              <w:rPr>
                <w:sz w:val="20"/>
                <w:szCs w:val="20"/>
                <w:color w:val="auto"/>
              </w:rPr>
            </w:pPr>
            <w:r>
              <w:rPr>
                <w:rFonts w:ascii="Arial" w:cs="Arial" w:eastAsia="Arial" w:hAnsi="Arial"/>
                <w:sz w:val="14"/>
                <w:szCs w:val="14"/>
                <w:color w:val="auto"/>
              </w:rPr>
              <w:t>(Do not check if a smaller reporting company)</w:t>
            </w:r>
          </w:p>
        </w:tc>
        <w:tc>
          <w:tcPr>
            <w:tcW w:w="2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720" w:type="dxa"/>
            <w:vAlign w:val="bottom"/>
            <w:vMerge w:val="continue"/>
          </w:tcPr>
          <w:p>
            <w:pPr>
              <w:spacing w:after="0"/>
              <w:rPr>
                <w:sz w:val="7"/>
                <w:szCs w:val="7"/>
                <w:color w:val="auto"/>
              </w:rPr>
            </w:pPr>
          </w:p>
        </w:tc>
        <w:tc>
          <w:tcPr>
            <w:tcW w:w="2720" w:type="dxa"/>
            <w:vAlign w:val="bottom"/>
            <w:vMerge w:val="restart"/>
          </w:tcPr>
          <w:p>
            <w:pPr>
              <w:ind w:left="1040"/>
              <w:spacing w:after="0"/>
              <w:rPr>
                <w:sz w:val="20"/>
                <w:szCs w:val="20"/>
                <w:color w:val="auto"/>
              </w:rPr>
            </w:pPr>
            <w:r>
              <w:rPr>
                <w:rFonts w:ascii="Arial" w:cs="Arial" w:eastAsia="Arial" w:hAnsi="Arial"/>
                <w:sz w:val="14"/>
                <w:szCs w:val="14"/>
                <w:color w:val="auto"/>
                <w:w w:val="93"/>
              </w:rPr>
              <w:t>Emerging growth company x</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ind w:right="36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 with any new or revised financial accounting standards provided pursuant to Section 7(a)(2)(B) of Securities Act. x</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740" w:type="dxa"/>
            <w:vAlign w:val="bottom"/>
            <w:tcBorders>
              <w:top w:val="single" w:sz="8" w:color="auto"/>
              <w:bottom w:val="single" w:sz="8" w:color="auto"/>
            </w:tcBorders>
          </w:tcPr>
          <w:p>
            <w:pPr>
              <w:spacing w:after="0"/>
              <w:rPr>
                <w:sz w:val="3"/>
                <w:szCs w:val="3"/>
                <w:color w:val="auto"/>
              </w:rPr>
            </w:pPr>
          </w:p>
        </w:tc>
        <w:tc>
          <w:tcPr>
            <w:tcW w:w="250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240" w:type="dxa"/>
            <w:vAlign w:val="bottom"/>
            <w:tcBorders>
              <w:top w:val="single" w:sz="8" w:color="auto"/>
              <w:bottom w:val="single" w:sz="8" w:color="auto"/>
            </w:tcBorders>
          </w:tcPr>
          <w:p>
            <w:pPr>
              <w:spacing w:after="0"/>
              <w:rPr>
                <w:sz w:val="3"/>
                <w:szCs w:val="3"/>
                <w:color w:val="auto"/>
              </w:rPr>
            </w:pPr>
          </w:p>
        </w:tc>
      </w:tr>
      <w:tr>
        <w:trPr>
          <w:trHeight w:val="88"/>
        </w:trPr>
        <w:tc>
          <w:tcPr>
            <w:tcW w:w="20" w:type="dxa"/>
            <w:vAlign w:val="bottom"/>
          </w:tcPr>
          <w:p>
            <w:pPr>
              <w:spacing w:after="0"/>
              <w:rPr>
                <w:sz w:val="7"/>
                <w:szCs w:val="7"/>
                <w:color w:val="auto"/>
              </w:rPr>
            </w:pPr>
          </w:p>
        </w:tc>
        <w:tc>
          <w:tcPr>
            <w:tcW w:w="374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700" w:type="dxa"/>
            <w:vAlign w:val="bottom"/>
          </w:tcPr>
          <w:p>
            <w:pPr>
              <w:jc w:val="center"/>
              <w:ind w:right="343"/>
              <w:spacing w:after="0" w:line="89" w:lineRule="exact"/>
              <w:rPr>
                <w:sz w:val="20"/>
                <w:szCs w:val="20"/>
                <w:color w:val="auto"/>
              </w:rPr>
            </w:pPr>
            <w:r>
              <w:rPr>
                <w:rFonts w:ascii="Arial" w:cs="Arial" w:eastAsia="Arial" w:hAnsi="Arial"/>
                <w:sz w:val="10"/>
                <w:szCs w:val="10"/>
                <w:b w:val="1"/>
                <w:bCs w:val="1"/>
                <w:color w:val="auto"/>
                <w:w w:val="98"/>
              </w:rPr>
              <w:t>Proposed Maximum</w:t>
            </w:r>
          </w:p>
        </w:tc>
        <w:tc>
          <w:tcPr>
            <w:tcW w:w="380" w:type="dxa"/>
            <w:vAlign w:val="bottom"/>
          </w:tcPr>
          <w:p>
            <w:pPr>
              <w:spacing w:after="0"/>
              <w:rPr>
                <w:sz w:val="7"/>
                <w:szCs w:val="7"/>
                <w:color w:val="auto"/>
              </w:rPr>
            </w:pPr>
          </w:p>
        </w:tc>
        <w:tc>
          <w:tcPr>
            <w:tcW w:w="1240" w:type="dxa"/>
            <w:vAlign w:val="bottom"/>
          </w:tcPr>
          <w:p>
            <w:pPr>
              <w:jc w:val="center"/>
              <w:ind w:right="283"/>
              <w:spacing w:after="0" w:line="89" w:lineRule="exact"/>
              <w:rPr>
                <w:sz w:val="20"/>
                <w:szCs w:val="20"/>
                <w:color w:val="auto"/>
              </w:rPr>
            </w:pPr>
            <w:r>
              <w:rPr>
                <w:rFonts w:ascii="Arial" w:cs="Arial" w:eastAsia="Arial" w:hAnsi="Arial"/>
                <w:sz w:val="10"/>
                <w:szCs w:val="10"/>
                <w:b w:val="1"/>
                <w:bCs w:val="1"/>
                <w:color w:val="auto"/>
                <w:w w:val="99"/>
              </w:rPr>
              <w:t>Amount of</w:t>
            </w:r>
          </w:p>
        </w:tc>
      </w:tr>
      <w:tr>
        <w:trPr>
          <w:trHeight w:val="122"/>
        </w:trPr>
        <w:tc>
          <w:tcPr>
            <w:tcW w:w="20" w:type="dxa"/>
            <w:vAlign w:val="bottom"/>
          </w:tcPr>
          <w:p>
            <w:pPr>
              <w:spacing w:after="0"/>
              <w:rPr>
                <w:sz w:val="10"/>
                <w:szCs w:val="10"/>
                <w:color w:val="auto"/>
              </w:rPr>
            </w:pPr>
          </w:p>
        </w:tc>
        <w:tc>
          <w:tcPr>
            <w:tcW w:w="3740" w:type="dxa"/>
            <w:vAlign w:val="bottom"/>
          </w:tcPr>
          <w:p>
            <w:pPr>
              <w:jc w:val="center"/>
              <w:ind w:left="120"/>
              <w:spacing w:after="0" w:line="122" w:lineRule="exact"/>
              <w:rPr>
                <w:sz w:val="20"/>
                <w:szCs w:val="20"/>
                <w:color w:val="auto"/>
              </w:rPr>
            </w:pPr>
            <w:r>
              <w:rPr>
                <w:rFonts w:ascii="Arial" w:cs="Arial" w:eastAsia="Arial" w:hAnsi="Arial"/>
                <w:sz w:val="11"/>
                <w:szCs w:val="11"/>
                <w:b w:val="1"/>
                <w:bCs w:val="1"/>
                <w:color w:val="auto"/>
                <w:w w:val="87"/>
              </w:rPr>
              <w:t>Title of Each Class of Securities to be</w:t>
            </w:r>
          </w:p>
        </w:tc>
        <w:tc>
          <w:tcPr>
            <w:tcW w:w="2500" w:type="dxa"/>
            <w:vAlign w:val="bottom"/>
          </w:tcPr>
          <w:p>
            <w:pPr>
              <w:ind w:left="920"/>
              <w:spacing w:after="0" w:line="122" w:lineRule="exact"/>
              <w:rPr>
                <w:sz w:val="20"/>
                <w:szCs w:val="20"/>
                <w:color w:val="auto"/>
              </w:rPr>
            </w:pPr>
            <w:r>
              <w:rPr>
                <w:rFonts w:ascii="Arial" w:cs="Arial" w:eastAsia="Arial" w:hAnsi="Arial"/>
                <w:sz w:val="11"/>
                <w:szCs w:val="11"/>
                <w:b w:val="1"/>
                <w:bCs w:val="1"/>
                <w:color w:val="auto"/>
              </w:rPr>
              <w:t>Amount to be</w:t>
            </w:r>
          </w:p>
        </w:tc>
        <w:tc>
          <w:tcPr>
            <w:tcW w:w="1480" w:type="dxa"/>
            <w:vAlign w:val="bottom"/>
          </w:tcPr>
          <w:p>
            <w:pPr>
              <w:jc w:val="center"/>
              <w:ind w:right="260"/>
              <w:spacing w:after="0" w:line="122" w:lineRule="exact"/>
              <w:rPr>
                <w:sz w:val="20"/>
                <w:szCs w:val="20"/>
                <w:color w:val="auto"/>
              </w:rPr>
            </w:pPr>
            <w:r>
              <w:rPr>
                <w:rFonts w:ascii="Arial" w:cs="Arial" w:eastAsia="Arial" w:hAnsi="Arial"/>
                <w:sz w:val="11"/>
                <w:szCs w:val="11"/>
                <w:b w:val="1"/>
                <w:bCs w:val="1"/>
                <w:color w:val="auto"/>
                <w:w w:val="93"/>
              </w:rPr>
              <w:t>Offering</w:t>
            </w:r>
          </w:p>
        </w:tc>
        <w:tc>
          <w:tcPr>
            <w:tcW w:w="360" w:type="dxa"/>
            <w:vAlign w:val="bottom"/>
          </w:tcPr>
          <w:p>
            <w:pPr>
              <w:spacing w:after="0"/>
              <w:rPr>
                <w:sz w:val="10"/>
                <w:szCs w:val="10"/>
                <w:color w:val="auto"/>
              </w:rPr>
            </w:pPr>
          </w:p>
        </w:tc>
        <w:tc>
          <w:tcPr>
            <w:tcW w:w="1700" w:type="dxa"/>
            <w:vAlign w:val="bottom"/>
          </w:tcPr>
          <w:p>
            <w:pPr>
              <w:jc w:val="center"/>
              <w:ind w:right="343"/>
              <w:spacing w:after="0" w:line="122" w:lineRule="exact"/>
              <w:rPr>
                <w:sz w:val="20"/>
                <w:szCs w:val="20"/>
                <w:color w:val="auto"/>
              </w:rPr>
            </w:pPr>
            <w:r>
              <w:rPr>
                <w:rFonts w:ascii="Arial" w:cs="Arial" w:eastAsia="Arial" w:hAnsi="Arial"/>
                <w:sz w:val="11"/>
                <w:szCs w:val="11"/>
                <w:b w:val="1"/>
                <w:bCs w:val="1"/>
                <w:color w:val="auto"/>
                <w:w w:val="89"/>
              </w:rPr>
              <w:t>Aggregate Offering</w:t>
            </w:r>
          </w:p>
        </w:tc>
        <w:tc>
          <w:tcPr>
            <w:tcW w:w="380" w:type="dxa"/>
            <w:vAlign w:val="bottom"/>
          </w:tcPr>
          <w:p>
            <w:pPr>
              <w:spacing w:after="0"/>
              <w:rPr>
                <w:sz w:val="10"/>
                <w:szCs w:val="10"/>
                <w:color w:val="auto"/>
              </w:rPr>
            </w:pPr>
          </w:p>
        </w:tc>
        <w:tc>
          <w:tcPr>
            <w:tcW w:w="1240" w:type="dxa"/>
            <w:vAlign w:val="bottom"/>
          </w:tcPr>
          <w:p>
            <w:pPr>
              <w:jc w:val="center"/>
              <w:ind w:right="283"/>
              <w:spacing w:after="0" w:line="122" w:lineRule="exact"/>
              <w:rPr>
                <w:sz w:val="20"/>
                <w:szCs w:val="20"/>
                <w:color w:val="auto"/>
              </w:rPr>
            </w:pPr>
            <w:r>
              <w:rPr>
                <w:rFonts w:ascii="Arial" w:cs="Arial" w:eastAsia="Arial" w:hAnsi="Arial"/>
                <w:sz w:val="11"/>
                <w:szCs w:val="11"/>
                <w:b w:val="1"/>
                <w:bCs w:val="1"/>
                <w:color w:val="auto"/>
                <w:w w:val="90"/>
              </w:rPr>
              <w:t>Registration</w:t>
            </w:r>
          </w:p>
        </w:tc>
      </w:tr>
      <w:tr>
        <w:trPr>
          <w:trHeight w:val="135"/>
        </w:trPr>
        <w:tc>
          <w:tcPr>
            <w:tcW w:w="20" w:type="dxa"/>
            <w:vAlign w:val="bottom"/>
          </w:tcPr>
          <w:p>
            <w:pPr>
              <w:spacing w:after="0"/>
              <w:rPr>
                <w:sz w:val="11"/>
                <w:szCs w:val="11"/>
                <w:color w:val="auto"/>
              </w:rPr>
            </w:pPr>
          </w:p>
        </w:tc>
        <w:tc>
          <w:tcPr>
            <w:tcW w:w="3740" w:type="dxa"/>
            <w:vAlign w:val="bottom"/>
            <w:tcBorders>
              <w:bottom w:val="single" w:sz="8" w:color="auto"/>
            </w:tcBorders>
          </w:tcPr>
          <w:p>
            <w:pPr>
              <w:jc w:val="center"/>
              <w:ind w:left="120"/>
              <w:spacing w:after="0"/>
              <w:rPr>
                <w:sz w:val="20"/>
                <w:szCs w:val="20"/>
                <w:color w:val="auto"/>
              </w:rPr>
            </w:pPr>
            <w:r>
              <w:rPr>
                <w:rFonts w:ascii="Arial" w:cs="Arial" w:eastAsia="Arial" w:hAnsi="Arial"/>
                <w:sz w:val="11"/>
                <w:szCs w:val="11"/>
                <w:b w:val="1"/>
                <w:bCs w:val="1"/>
                <w:color w:val="auto"/>
                <w:w w:val="84"/>
              </w:rPr>
              <w:t>Registered</w:t>
            </w:r>
          </w:p>
        </w:tc>
        <w:tc>
          <w:tcPr>
            <w:tcW w:w="2500" w:type="dxa"/>
            <w:vAlign w:val="bottom"/>
            <w:tcBorders>
              <w:bottom w:val="single" w:sz="8" w:color="auto"/>
            </w:tcBorders>
          </w:tcPr>
          <w:p>
            <w:pPr>
              <w:ind w:left="900"/>
              <w:spacing w:after="0"/>
              <w:rPr>
                <w:sz w:val="20"/>
                <w:szCs w:val="20"/>
                <w:color w:val="auto"/>
              </w:rPr>
            </w:pPr>
            <w:r>
              <w:rPr>
                <w:rFonts w:ascii="Arial" w:cs="Arial" w:eastAsia="Arial" w:hAnsi="Arial"/>
                <w:sz w:val="11"/>
                <w:szCs w:val="11"/>
                <w:b w:val="1"/>
                <w:bCs w:val="1"/>
                <w:color w:val="auto"/>
              </w:rPr>
              <w:t>Registered (1)</w:t>
            </w:r>
          </w:p>
        </w:tc>
        <w:tc>
          <w:tcPr>
            <w:tcW w:w="1480" w:type="dxa"/>
            <w:vAlign w:val="bottom"/>
            <w:tcBorders>
              <w:bottom w:val="single" w:sz="8" w:color="auto"/>
            </w:tcBorders>
          </w:tcPr>
          <w:p>
            <w:pPr>
              <w:jc w:val="center"/>
              <w:ind w:right="260"/>
              <w:spacing w:after="0"/>
              <w:rPr>
                <w:sz w:val="20"/>
                <w:szCs w:val="20"/>
                <w:color w:val="auto"/>
              </w:rPr>
            </w:pPr>
            <w:r>
              <w:rPr>
                <w:rFonts w:ascii="Arial" w:cs="Arial" w:eastAsia="Arial" w:hAnsi="Arial"/>
                <w:sz w:val="11"/>
                <w:szCs w:val="11"/>
                <w:b w:val="1"/>
                <w:bCs w:val="1"/>
                <w:color w:val="auto"/>
                <w:w w:val="89"/>
              </w:rPr>
              <w:t>Price Per Share (2)</w:t>
            </w:r>
          </w:p>
        </w:tc>
        <w:tc>
          <w:tcPr>
            <w:tcW w:w="36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center"/>
              <w:ind w:right="323"/>
              <w:spacing w:after="0"/>
              <w:rPr>
                <w:sz w:val="20"/>
                <w:szCs w:val="20"/>
                <w:color w:val="auto"/>
              </w:rPr>
            </w:pPr>
            <w:r>
              <w:rPr>
                <w:rFonts w:ascii="Arial" w:cs="Arial" w:eastAsia="Arial" w:hAnsi="Arial"/>
                <w:sz w:val="11"/>
                <w:szCs w:val="11"/>
                <w:b w:val="1"/>
                <w:bCs w:val="1"/>
                <w:color w:val="auto"/>
                <w:w w:val="89"/>
              </w:rPr>
              <w:t>Price</w:t>
            </w:r>
          </w:p>
        </w:tc>
        <w:tc>
          <w:tcPr>
            <w:tcW w:w="3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283"/>
              <w:spacing w:after="0"/>
              <w:rPr>
                <w:sz w:val="20"/>
                <w:szCs w:val="20"/>
                <w:color w:val="auto"/>
              </w:rPr>
            </w:pPr>
            <w:r>
              <w:rPr>
                <w:rFonts w:ascii="Arial" w:cs="Arial" w:eastAsia="Arial" w:hAnsi="Arial"/>
                <w:sz w:val="11"/>
                <w:szCs w:val="11"/>
                <w:b w:val="1"/>
                <w:bCs w:val="1"/>
                <w:color w:val="auto"/>
                <w:w w:val="94"/>
              </w:rPr>
              <w:t>Fee</w:t>
            </w:r>
          </w:p>
        </w:tc>
      </w:tr>
      <w:tr>
        <w:trPr>
          <w:trHeight w:val="142"/>
        </w:trPr>
        <w:tc>
          <w:tcPr>
            <w:tcW w:w="20" w:type="dxa"/>
            <w:vAlign w:val="bottom"/>
            <w:tcBorders>
              <w:bottom w:val="single" w:sz="8" w:color="auto"/>
            </w:tcBorders>
          </w:tcPr>
          <w:p>
            <w:pPr>
              <w:spacing w:after="0"/>
              <w:rPr>
                <w:sz w:val="12"/>
                <w:szCs w:val="12"/>
                <w:color w:val="auto"/>
              </w:rPr>
            </w:pPr>
          </w:p>
        </w:tc>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Common Stock, $0.0001 par value per share</w:t>
            </w:r>
          </w:p>
        </w:tc>
        <w:tc>
          <w:tcPr>
            <w:tcW w:w="2500" w:type="dxa"/>
            <w:vAlign w:val="bottom"/>
            <w:tcBorders>
              <w:bottom w:val="single" w:sz="8" w:color="auto"/>
            </w:tcBorders>
          </w:tcPr>
          <w:p>
            <w:pPr>
              <w:ind w:left="1120"/>
              <w:spacing w:after="0" w:line="142" w:lineRule="exact"/>
              <w:rPr>
                <w:sz w:val="20"/>
                <w:szCs w:val="20"/>
                <w:color w:val="auto"/>
              </w:rPr>
            </w:pPr>
            <w:r>
              <w:rPr>
                <w:rFonts w:ascii="Arial" w:cs="Arial" w:eastAsia="Arial" w:hAnsi="Arial"/>
                <w:sz w:val="14"/>
                <w:szCs w:val="14"/>
                <w:color w:val="auto"/>
              </w:rPr>
              <w:t>3,167,921 shares   $</w:t>
            </w:r>
          </w:p>
        </w:tc>
        <w:tc>
          <w:tcPr>
            <w:tcW w:w="148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color w:val="auto"/>
              </w:rPr>
              <w:t>19.12</w:t>
            </w:r>
          </w:p>
        </w:tc>
        <w:tc>
          <w:tcPr>
            <w:tcW w:w="3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83"/>
              <w:spacing w:after="0" w:line="142" w:lineRule="exact"/>
              <w:rPr>
                <w:sz w:val="20"/>
                <w:szCs w:val="20"/>
                <w:color w:val="auto"/>
              </w:rPr>
            </w:pPr>
            <w:r>
              <w:rPr>
                <w:rFonts w:ascii="Arial" w:cs="Arial" w:eastAsia="Arial" w:hAnsi="Arial"/>
                <w:sz w:val="14"/>
                <w:szCs w:val="14"/>
                <w:color w:val="auto"/>
              </w:rPr>
              <w:t>60,570,650.00</w:t>
            </w:r>
          </w:p>
        </w:tc>
        <w:tc>
          <w:tcPr>
            <w:tcW w:w="3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3"/>
              <w:spacing w:after="0" w:line="142" w:lineRule="exact"/>
              <w:rPr>
                <w:sz w:val="20"/>
                <w:szCs w:val="20"/>
                <w:color w:val="auto"/>
              </w:rPr>
            </w:pPr>
            <w:r>
              <w:rPr>
                <w:rFonts w:ascii="Arial" w:cs="Arial" w:eastAsia="Arial" w:hAnsi="Arial"/>
                <w:sz w:val="14"/>
                <w:szCs w:val="14"/>
                <w:color w:val="auto"/>
              </w:rPr>
              <w:t>7,021.00</w:t>
            </w:r>
          </w:p>
        </w:tc>
      </w:tr>
    </w:tbl>
    <w:p>
      <w:pPr>
        <w:spacing w:after="0" w:line="8" w:lineRule="exact"/>
        <w:rPr>
          <w:sz w:val="24"/>
          <w:szCs w:val="24"/>
          <w:color w:val="auto"/>
        </w:rPr>
      </w:pPr>
    </w:p>
    <w:p>
      <w:pPr>
        <w:ind w:left="280" w:right="440" w:hanging="272"/>
        <w:spacing w:after="0" w:line="227" w:lineRule="auto"/>
        <w:tabs>
          <w:tab w:leader="none" w:pos="261" w:val="left"/>
        </w:tabs>
        <w:numPr>
          <w:ilvl w:val="0"/>
          <w:numId w:val="1"/>
        </w:numPr>
        <w:rPr>
          <w:rFonts w:ascii="Arial" w:cs="Arial" w:eastAsia="Arial" w:hAnsi="Arial"/>
          <w:sz w:val="14"/>
          <w:szCs w:val="14"/>
          <w:color w:val="auto"/>
        </w:rPr>
      </w:pPr>
      <w:r>
        <w:rPr>
          <w:rFonts w:ascii="Arial" w:cs="Arial" w:eastAsia="Arial" w:hAnsi="Arial"/>
          <w:sz w:val="14"/>
          <w:szCs w:val="14"/>
          <w:color w:val="auto"/>
        </w:rPr>
        <w:t>Consists of (a) 3,088,791 outstanding shares of the registrant’s common stock and (b) 79,130 shares of the registrant’s common stock issuable upon exercise of common stock purchase warrants. Pursuant to Rule 416(a) of the Securities Act of 1933, as amended, this registration statement also covers such additional shares as may hereafter be offered or issued to prevent dilution resulting from stock splits, stock dividends, recapitalizations or certain other capital adjustments.</w:t>
      </w:r>
    </w:p>
    <w:p>
      <w:pPr>
        <w:ind w:left="280" w:right="20" w:hanging="272"/>
        <w:spacing w:after="0" w:line="237" w:lineRule="auto"/>
        <w:tabs>
          <w:tab w:leader="none" w:pos="261"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457(c) under the Securities Act of 1933, as amended. The price per share and aggregate offering price are based on the average of the high and low prices of the registrant’s common stock on July 10, 2017, as reported on The NASDAQ Global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 w:lineRule="exact"/>
        <w:rPr>
          <w:sz w:val="24"/>
          <w:szCs w:val="24"/>
          <w:color w:val="auto"/>
        </w:rPr>
      </w:pPr>
    </w:p>
    <w:p>
      <w:pPr>
        <w:ind w:right="260"/>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right="460"/>
        <w:spacing w:after="0" w:line="286" w:lineRule="auto"/>
        <w:rPr>
          <w:sz w:val="20"/>
          <w:szCs w:val="20"/>
          <w:color w:val="auto"/>
        </w:rPr>
      </w:pPr>
      <w:r>
        <w:rPr>
          <w:rFonts w:ascii="Arial" w:cs="Arial" w:eastAsia="Arial" w:hAnsi="Arial"/>
          <w:sz w:val="17"/>
          <w:szCs w:val="17"/>
          <w:color w:val="FF4040"/>
        </w:rPr>
        <w:t>The information contained in this prospectus is not complete and may be changed. The selling stockholders named in this prospectus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July 12, 2017</w:t>
      </w:r>
    </w:p>
    <w:p>
      <w:pPr>
        <w:sectPr>
          <w:pgSz w:w="11900" w:h="16838" w:orient="portrait"/>
          <w:cols w:equalWidth="0" w:num="1">
            <w:col w:w="11420"/>
          </w:cols>
          <w:pgMar w:left="240" w:top="319" w:right="239" w:bottom="0" w:gutter="0" w:footer="0" w:header="0"/>
        </w:sectPr>
      </w:pPr>
    </w:p>
    <w:bookmarkStart w:id="1" w:name="page2"/>
    <w:bookmarkEnd w:id="1"/>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4546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479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3,167,921 </w:t>
      </w:r>
      <w:r>
        <w:rPr>
          <w:rFonts w:ascii="Arial" w:cs="Arial" w:eastAsia="Arial" w:hAnsi="Arial"/>
          <w:sz w:val="17"/>
          <w:szCs w:val="17"/>
          <w:b w:val="1"/>
          <w:bCs w:val="1"/>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This prospectus relates to the proposed offering and resale by the selling stockholders identified in this prospectus of up to an aggregate of </w:t>
      </w:r>
      <w:r>
        <w:rPr>
          <w:rFonts w:ascii="Arial" w:cs="Arial" w:eastAsia="Arial" w:hAnsi="Arial"/>
          <w:sz w:val="15"/>
          <w:szCs w:val="15"/>
          <w:color w:val="auto"/>
        </w:rPr>
        <w:t>3,167,921</w:t>
      </w:r>
      <w:r>
        <w:rPr>
          <w:rFonts w:ascii="Arial" w:cs="Arial" w:eastAsia="Arial" w:hAnsi="Arial"/>
          <w:sz w:val="16"/>
          <w:szCs w:val="16"/>
          <w:color w:val="auto"/>
        </w:rPr>
        <w:t xml:space="preserve"> shares of common stock, par value $0.0001 per share, of Selecta Biosciences, Inc., of which 3,088,791 shares are presently issued and outstanding and 79,130 shares are issuable upon exercise of a warrant to purchase shares of common stock. The shares being offered were issued and sold to accredited investors in a private placement, or the 2017 Private Placement, which closed on June 27, 2017. We are not selling any shares of common stock under this prospectus and will not receive any of the proceeds from the sale or other disposition of common stock by the selling stockholders.</w:t>
      </w:r>
    </w:p>
    <w:p>
      <w:pPr>
        <w:spacing w:after="0" w:line="15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selling stockholders may sell the shares of common stock on any national securities exchange or quotation service on which the securities may be listed or quoted at the time of sale, in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the disclosure under the heading “Plan of Distribution” elsewhere in this prospectus for more information about how the selling stockholders may sell or otherwise dispose of their shares of common stock hereunder.</w:t>
      </w:r>
    </w:p>
    <w:p>
      <w:pPr>
        <w:spacing w:after="0" w:line="173" w:lineRule="exact"/>
        <w:rPr>
          <w:sz w:val="20"/>
          <w:szCs w:val="20"/>
          <w:color w:val="auto"/>
        </w:rPr>
      </w:pPr>
    </w:p>
    <w:p>
      <w:pPr>
        <w:jc w:val="both"/>
        <w:ind w:right="60" w:firstLine="648"/>
        <w:spacing w:after="0" w:line="342" w:lineRule="auto"/>
        <w:rPr>
          <w:sz w:val="20"/>
          <w:szCs w:val="20"/>
          <w:color w:val="auto"/>
        </w:rPr>
      </w:pPr>
      <w:r>
        <w:rPr>
          <w:rFonts w:ascii="Arial" w:cs="Arial" w:eastAsia="Arial" w:hAnsi="Arial"/>
          <w:sz w:val="16"/>
          <w:szCs w:val="16"/>
          <w:color w:val="auto"/>
        </w:rPr>
        <w:t>The selling stockholders may sell any, all or none of the securities offered by this prospectus and we do not know when or in what amount the selling stockholders may sell their shares of common stock hereunder following the effective date of the registration statement of which this prospectus forms a part.</w:t>
      </w:r>
    </w:p>
    <w:p>
      <w:pPr>
        <w:spacing w:after="0" w:line="12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Our common stock is listed on The NASDAQ Global Market under the symbol “SELB”. On July 12, 2017, the last reported sale price of our common stock on The NASDAQ Global Market was $19.05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186055</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80" w:firstLine="648"/>
        <w:spacing w:after="0" w:line="243" w:lineRule="auto"/>
        <w:rPr>
          <w:sz w:val="20"/>
          <w:szCs w:val="20"/>
          <w:color w:val="auto"/>
        </w:rPr>
      </w:pPr>
      <w:r>
        <w:rPr>
          <w:rFonts w:ascii="Arial" w:cs="Arial" w:eastAsia="Arial" w:hAnsi="Arial"/>
          <w:sz w:val="22"/>
          <w:szCs w:val="22"/>
          <w:b w:val="1"/>
          <w:bCs w:val="1"/>
          <w:color w:val="auto"/>
        </w:rPr>
        <w:t>Investing in our common stock involves a high degree of risk. Before making an investment decision, please read the information under the heading “</w:t>
      </w:r>
      <w:r>
        <w:rPr>
          <w:rFonts w:ascii="Arial" w:cs="Arial" w:eastAsia="Arial" w:hAnsi="Arial"/>
          <w:sz w:val="22"/>
          <w:szCs w:val="22"/>
          <w:b w:val="1"/>
          <w:bCs w:val="1"/>
          <w:u w:val="single" w:color="auto"/>
          <w:color w:val="auto"/>
        </w:rPr>
        <w:t>Risk Factors</w:t>
      </w:r>
      <w:r>
        <w:rPr>
          <w:rFonts w:ascii="Arial" w:cs="Arial" w:eastAsia="Arial" w:hAnsi="Arial"/>
          <w:sz w:val="22"/>
          <w:szCs w:val="22"/>
          <w:b w:val="1"/>
          <w:bCs w:val="1"/>
          <w:color w:val="auto"/>
        </w:rPr>
        <w:t>” beginning on page 3 of this prospectus and in the documents incorporated by reference into this prospectus.</w:t>
      </w:r>
    </w:p>
    <w:p>
      <w:pPr>
        <w:spacing w:after="0" w:line="186" w:lineRule="exact"/>
        <w:rPr>
          <w:sz w:val="20"/>
          <w:szCs w:val="20"/>
          <w:color w:val="auto"/>
        </w:rPr>
      </w:pPr>
    </w:p>
    <w:p>
      <w:pPr>
        <w:ind w:right="380" w:firstLine="648"/>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168275</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ind w:left="3820"/>
              <w:spacing w:after="0"/>
              <w:rPr>
                <w:sz w:val="20"/>
                <w:szCs w:val="20"/>
                <w:color w:val="auto"/>
              </w:rPr>
            </w:pPr>
            <w:r>
              <w:rPr>
                <w:rFonts w:ascii="Arial" w:cs="Arial" w:eastAsia="Arial" w:hAnsi="Arial"/>
                <w:sz w:val="18"/>
                <w:szCs w:val="18"/>
                <w:b w:val="1"/>
                <w:bCs w:val="1"/>
                <w:color w:val="auto"/>
              </w:rPr>
              <w:t>The date of this prospectus is</w:t>
            </w:r>
          </w:p>
        </w:tc>
        <w:tc>
          <w:tcPr>
            <w:tcW w:w="4880" w:type="dxa"/>
            <w:vAlign w:val="bottom"/>
          </w:tcPr>
          <w:p>
            <w:pPr>
              <w:jc w:val="right"/>
              <w:ind w:right="3750"/>
              <w:spacing w:after="0"/>
              <w:rPr>
                <w:sz w:val="20"/>
                <w:szCs w:val="20"/>
                <w:color w:val="auto"/>
              </w:rPr>
            </w:pPr>
            <w:r>
              <w:rPr>
                <w:rFonts w:ascii="Arial" w:cs="Arial" w:eastAsia="Arial" w:hAnsi="Arial"/>
                <w:sz w:val="18"/>
                <w:szCs w:val="18"/>
                <w:b w:val="1"/>
                <w:bCs w:val="1"/>
                <w:color w:val="auto"/>
              </w:rPr>
              <w:t>, 2017.</w:t>
            </w:r>
          </w:p>
        </w:tc>
      </w:tr>
      <w:tr>
        <w:trPr>
          <w:trHeight w:val="348"/>
        </w:trPr>
        <w:tc>
          <w:tcPr>
            <w:tcW w:w="6580" w:type="dxa"/>
            <w:vAlign w:val="bottom"/>
            <w:tcBorders>
              <w:bottom w:val="single" w:sz="8" w:color="808080"/>
            </w:tcBorders>
          </w:tcPr>
          <w:p>
            <w:pPr>
              <w:spacing w:after="0"/>
              <w:rPr>
                <w:sz w:val="24"/>
                <w:szCs w:val="24"/>
                <w:color w:val="auto"/>
              </w:rPr>
            </w:pPr>
          </w:p>
        </w:tc>
        <w:tc>
          <w:tcPr>
            <w:tcW w:w="4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7140" w:type="dxa"/>
            <w:vAlign w:val="bottom"/>
          </w:tcPr>
          <w:p>
            <w:pPr>
              <w:jc w:val="right"/>
              <w:ind w:right="4690"/>
              <w:spacing w:after="0"/>
              <w:rPr>
                <w:sz w:val="20"/>
                <w:szCs w:val="20"/>
                <w:color w:val="auto"/>
              </w:rPr>
            </w:pPr>
            <w:r>
              <w:rPr>
                <w:rFonts w:ascii="Arial" w:cs="Arial" w:eastAsia="Arial" w:hAnsi="Arial"/>
                <w:sz w:val="18"/>
                <w:szCs w:val="18"/>
                <w:b w:val="1"/>
                <w:bCs w:val="1"/>
                <w:color w:val="auto"/>
              </w:rPr>
              <w:t>TABLE OF CONTENTS</w:t>
            </w:r>
          </w:p>
        </w:tc>
      </w:tr>
      <w:tr>
        <w:trPr>
          <w:trHeight w:val="418"/>
        </w:trPr>
        <w:tc>
          <w:tcPr>
            <w:tcW w:w="4320" w:type="dxa"/>
            <w:vAlign w:val="bottom"/>
          </w:tcPr>
          <w:p>
            <w:pPr>
              <w:spacing w:after="0"/>
              <w:rPr>
                <w:sz w:val="20"/>
                <w:szCs w:val="20"/>
                <w:color w:val="auto"/>
              </w:rPr>
            </w:pPr>
            <w:r>
              <w:rPr>
                <w:rFonts w:ascii="Arial" w:cs="Arial" w:eastAsia="Arial" w:hAnsi="Arial"/>
                <w:sz w:val="18"/>
                <w:szCs w:val="18"/>
                <w:color w:val="auto"/>
              </w:rPr>
              <w:t>About this Prospectus</w:t>
            </w:r>
          </w:p>
        </w:tc>
        <w:tc>
          <w:tcPr>
            <w:tcW w:w="71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Special Note Regarding Forward-Looking Statements</w:t>
            </w:r>
          </w:p>
        </w:tc>
        <w:tc>
          <w:tcPr>
            <w:tcW w:w="71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Prospectus Summary</w:t>
            </w:r>
          </w:p>
        </w:tc>
        <w:tc>
          <w:tcPr>
            <w:tcW w:w="7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Risk Factors</w:t>
            </w:r>
          </w:p>
        </w:tc>
        <w:tc>
          <w:tcPr>
            <w:tcW w:w="7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Use of Proceeds</w:t>
            </w:r>
          </w:p>
        </w:tc>
        <w:tc>
          <w:tcPr>
            <w:tcW w:w="7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Selling Stockholders</w:t>
            </w:r>
          </w:p>
        </w:tc>
        <w:tc>
          <w:tcPr>
            <w:tcW w:w="7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Plan of Distribution</w:t>
            </w:r>
          </w:p>
        </w:tc>
        <w:tc>
          <w:tcPr>
            <w:tcW w:w="7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Validity of the Common Stock</w:t>
            </w:r>
          </w:p>
        </w:tc>
        <w:tc>
          <w:tcPr>
            <w:tcW w:w="7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Experts</w:t>
            </w:r>
          </w:p>
        </w:tc>
        <w:tc>
          <w:tcPr>
            <w:tcW w:w="7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7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Incorporation of Certain Information by Reference</w:t>
            </w:r>
          </w:p>
        </w:tc>
        <w:tc>
          <w:tcPr>
            <w:tcW w:w="7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48"/>
        </w:trPr>
        <w:tc>
          <w:tcPr>
            <w:tcW w:w="4320" w:type="dxa"/>
            <w:vAlign w:val="bottom"/>
            <w:tcBorders>
              <w:bottom w:val="single" w:sz="8" w:color="808080"/>
            </w:tcBorders>
          </w:tcPr>
          <w:p>
            <w:pPr>
              <w:spacing w:after="0"/>
              <w:rPr>
                <w:sz w:val="24"/>
                <w:szCs w:val="24"/>
                <w:color w:val="auto"/>
              </w:rPr>
            </w:pPr>
          </w:p>
        </w:tc>
        <w:tc>
          <w:tcPr>
            <w:tcW w:w="7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This prospectus is a part of a registration statement that we filed with the Securities and Exchange Commission, or the SEC, utilizing a “shelf” registration process. Under this shelf registration process, the selling stockholders may from time to time sell the shares of common stock described in this prospectus in one or more offerings.</w:t>
      </w:r>
    </w:p>
    <w:p>
      <w:pPr>
        <w:spacing w:after="0" w:line="181"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We have not authorized anyone to give any information or to make any representation other than those contained or incorporated by reference in this prospectus. You must not rely upon any information or representation not contained or incorporated by reference in this prospectus. The selling stockholders are offering to sell, and seeking offers to buy, shares of our common stock only in jurisdictions where it is lawful to do so. This prospectus does not constitute an offer to sell or the solicitation of an offer to buy any shares other than the registered shares to which they relate, nor does this prospectus constitute an offer to sell or the solicitation of an offer to buy shares in any jurisdiction to any person to whom it is unlawful to make such offer or solicitation in such jurisdiction. You should not assume that the information contained in this prospectus is accurate on any date subsequent to the date set forth on the front of</w:t>
      </w:r>
    </w:p>
    <w:p>
      <w:pPr>
        <w:sectPr>
          <w:pgSz w:w="11900" w:h="16907" w:orient="portrait"/>
          <w:cols w:equalWidth="0" w:num="1">
            <w:col w:w="11460"/>
          </w:cols>
          <w:pgMar w:left="240" w:top="121" w:right="199" w:bottom="0" w:gutter="0" w:footer="0" w:header="0"/>
        </w:sectPr>
      </w:pPr>
    </w:p>
    <w:bookmarkStart w:id="2" w:name="page3"/>
    <w:bookmarkEnd w:id="2"/>
    <w:p>
      <w:pPr>
        <w:ind w:right="580"/>
        <w:spacing w:after="0" w:line="277" w:lineRule="auto"/>
        <w:rPr>
          <w:sz w:val="20"/>
          <w:szCs w:val="20"/>
          <w:color w:val="auto"/>
        </w:rPr>
      </w:pPr>
      <w:r>
        <w:rPr>
          <w:rFonts w:ascii="Arial" w:cs="Arial" w:eastAsia="Arial" w:hAnsi="Arial"/>
          <w:sz w:val="18"/>
          <w:szCs w:val="18"/>
          <w:color w:val="auto"/>
        </w:rPr>
        <w:t>the document or that any information we have incorporated by reference is correct on any date subsequent to the date of the document incorporated by reference, even though this prospectus is delivered or shares are sold on a later date.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This prospectus and the information incorporated by reference in this prospectus include “forward-looking statements” within the meaning of Section 27A of the Securities Act of 1933, as amended, or the Securities Act, and Section 21E of the Securities Exchange Act of 1934, as amended, or the Exchange Act. For this purpose, any statements contained or incorporated herein that relate to future events or conditions may be deemed to be forward-looking statements, including, but not limited to, statements regarding our future results of operations and financial position, business strategy, prospective products and product candidates, their expected performance and impact on healthcare costs, marketing approval from the U.S. Food and Drug Administration, or the FDA, regulatory approval, reimbursement for our product candidates, research and development costs, timing of regulatory filings, timing and likelihood of success, plans and objectives of management for future operations and future results of anticipated products.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We discuss many of these risks in greater detail in the documents incorporated by reference herein, including under the heading “Risk Factors” in any of our filings with the SEC pursuant to Sections 13(a), 13(c), 14 or 15(d) of the Exchange Act.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These important factors, among others, could cause actual results to differ materially from those indicated by forward-looking statements made herein and presented elsewhere by management from time to time. Any such forward-looking statements represent management’s estimates only as of the date of the relevant document.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such statements are made. We undertake no obligation to revise or update any forward-looking statements, except to the extent required by law.</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right="60" w:firstLine="311"/>
        <w:spacing w:after="0" w:line="297" w:lineRule="auto"/>
        <w:rPr>
          <w:sz w:val="20"/>
          <w:szCs w:val="20"/>
          <w:color w:val="auto"/>
        </w:rPr>
      </w:pPr>
      <w:r>
        <w:rPr>
          <w:rFonts w:ascii="Arial" w:cs="Arial" w:eastAsia="Arial" w:hAnsi="Arial"/>
          <w:sz w:val="16"/>
          <w:szCs w:val="16"/>
          <w:i w:val="1"/>
          <w:iCs w:val="1"/>
          <w:color w:val="auto"/>
        </w:rPr>
        <w:t>This summary highlights selected information appearing elsewhere in this prospectus or in documents incorporated herein by reference. This summary is not complete and does not contain all of the information that you should consider before making your investment decision. You should carefully read the entire prospectus, including the information set forth in the section entitled “Risk Factors” and the information that is incorporated by reference into this prospectus. See the sections entitled “Where You Can Find More Information” and “Incorporation of Certain Information by Reference” for a further discussion on incorporation by reference. References in this prospectus to “we,” “us,” “our,” “our company” or “Selecta” refer to Selecta Biosciences, Inc.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We are a clinical-stage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 Our proprietary SVP technology encapsulates an immunomodulator in biodegradable nanoparticles to induce antigen-specific immune tolerance to mitigate the formation of anti-drug antibodies in response to life-sustaining biologic drugs. We believe our SVP technology has the potential for broad applications to both enhance existing biologic drugs and enable novel therapies. Our lead product candidate, SEL-212, is a combination of a therapeutic enzyme and our SVP technology designed to be the first biologic treatment for gout that durably controls uric acid in refractory gout and dissolves and removes harmful deposits of uric acid crystals in chronic tophaceous gout, each a painful and debilitating disease with unmet medical need.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are an “emerging growth company,” as defined in the Jumpstart Our Business Startups Act of 2012. We will remain an emerging growth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until the earliest of (1) the last day of the fiscal year following the fifth anniversary of the completion of our initial public offering of common stock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27, 2016, (2) the last day of the fiscal year in which we have total annual gross revenue of at least $1.0 billion, (3) the last day of the fiscal year in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are deemed to be a large accelerated filer, which means the market value of our common stock that is held by non-affiliates exceeds $700.0 million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prior June 30th, and (4) the date on which we have issued more than $1.0 billion in non-convertible debt during the prior three-year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Information</w:t>
      </w:r>
    </w:p>
    <w:p>
      <w:pPr>
        <w:spacing w:after="0" w:line="229" w:lineRule="exact"/>
        <w:rPr>
          <w:sz w:val="20"/>
          <w:szCs w:val="20"/>
          <w:color w:val="auto"/>
        </w:rPr>
      </w:pPr>
    </w:p>
    <w:p>
      <w:pPr>
        <w:jc w:val="both"/>
        <w:ind w:right="160" w:firstLine="486"/>
        <w:spacing w:after="0" w:line="312" w:lineRule="auto"/>
        <w:rPr>
          <w:sz w:val="20"/>
          <w:szCs w:val="20"/>
          <w:color w:val="auto"/>
        </w:rPr>
      </w:pPr>
      <w:r>
        <w:rPr>
          <w:rFonts w:ascii="Arial" w:cs="Arial" w:eastAsia="Arial" w:hAnsi="Arial"/>
          <w:sz w:val="16"/>
          <w:szCs w:val="16"/>
          <w:color w:val="auto"/>
        </w:rPr>
        <w:t xml:space="preserve">We filed our certificate of incorporation with the Secretary of State of Delaware on December 10, 2007. Our principal executive offices are located at 480 Arsenal Way, Watertown, MA 02472, and our telephone number is (617) 923-1400. Our website address is </w:t>
      </w:r>
      <w:r>
        <w:rPr>
          <w:rFonts w:ascii="Arial" w:cs="Arial" w:eastAsia="Arial" w:hAnsi="Arial"/>
          <w:sz w:val="16"/>
          <w:szCs w:val="16"/>
          <w:i w:val="1"/>
          <w:iCs w:val="1"/>
          <w:color w:val="auto"/>
        </w:rPr>
        <w:t>www.selectabio.com</w:t>
      </w:r>
      <w:r>
        <w:rPr>
          <w:rFonts w:ascii="Arial" w:cs="Arial" w:eastAsia="Arial" w:hAnsi="Arial"/>
          <w:sz w:val="16"/>
          <w:szCs w:val="16"/>
          <w:color w:val="auto"/>
        </w:rPr>
        <w:t>. The information on, or that can be accessed through, our website is not part of this prospectus. We have included our website address as an inactive textual reference only.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w w:val="97"/>
              </w:rPr>
              <w:t>Common stock outstanding as of June 27, 2017</w:t>
            </w:r>
          </w:p>
        </w:tc>
        <w:tc>
          <w:tcPr>
            <w:tcW w:w="1100" w:type="dxa"/>
            <w:vAlign w:val="bottom"/>
          </w:tcPr>
          <w:p>
            <w:pPr>
              <w:jc w:val="right"/>
              <w:spacing w:after="0"/>
              <w:rPr>
                <w:sz w:val="20"/>
                <w:szCs w:val="20"/>
                <w:color w:val="auto"/>
              </w:rPr>
            </w:pPr>
            <w:r>
              <w:rPr>
                <w:rFonts w:ascii="Arial" w:cs="Arial" w:eastAsia="Arial" w:hAnsi="Arial"/>
                <w:sz w:val="18"/>
                <w:szCs w:val="18"/>
                <w:color w:val="auto"/>
              </w:rPr>
              <w:t>18,951,384</w:t>
            </w:r>
          </w:p>
        </w:tc>
      </w:tr>
    </w:tbl>
    <w:p>
      <w:pPr>
        <w:sectPr>
          <w:pgSz w:w="11900" w:h="16838"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3820" w:type="dxa"/>
            <w:vAlign w:val="bottom"/>
          </w:tcPr>
          <w:p>
            <w:pPr>
              <w:spacing w:after="0"/>
              <w:rPr>
                <w:sz w:val="20"/>
                <w:szCs w:val="20"/>
                <w:color w:val="auto"/>
              </w:rPr>
            </w:pPr>
            <w:r>
              <w:rPr>
                <w:rFonts w:ascii="Arial" w:cs="Arial" w:eastAsia="Arial" w:hAnsi="Arial"/>
                <w:sz w:val="18"/>
                <w:szCs w:val="18"/>
                <w:color w:val="auto"/>
                <w:w w:val="95"/>
              </w:rPr>
              <w:t>Common stock offered by the selling stockholders</w:t>
            </w:r>
          </w:p>
        </w:tc>
        <w:tc>
          <w:tcPr>
            <w:tcW w:w="7340" w:type="dxa"/>
            <w:vAlign w:val="bottom"/>
          </w:tcPr>
          <w:p>
            <w:pPr>
              <w:ind w:left="180"/>
              <w:spacing w:after="0"/>
              <w:rPr>
                <w:sz w:val="20"/>
                <w:szCs w:val="20"/>
                <w:color w:val="auto"/>
              </w:rPr>
            </w:pPr>
            <w:r>
              <w:rPr>
                <w:rFonts w:ascii="Arial" w:cs="Arial" w:eastAsia="Arial" w:hAnsi="Arial"/>
                <w:sz w:val="18"/>
                <w:szCs w:val="18"/>
                <w:color w:val="auto"/>
              </w:rPr>
              <w:t xml:space="preserve">Up to 3,167,921 shares </w:t>
            </w:r>
            <w:r>
              <w:rPr>
                <w:rFonts w:ascii="Arial" w:cs="Arial" w:eastAsia="Arial" w:hAnsi="Arial"/>
                <w:sz w:val="23"/>
                <w:szCs w:val="23"/>
                <w:color w:val="auto"/>
                <w:vertAlign w:val="superscript"/>
              </w:rPr>
              <w:t>(1)</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Common stock outstanding after this offering</w:t>
            </w:r>
          </w:p>
        </w:tc>
        <w:tc>
          <w:tcPr>
            <w:tcW w:w="7340" w:type="dxa"/>
            <w:vAlign w:val="bottom"/>
          </w:tcPr>
          <w:p>
            <w:pPr>
              <w:ind w:left="180"/>
              <w:spacing w:after="0"/>
              <w:rPr>
                <w:sz w:val="20"/>
                <w:szCs w:val="20"/>
                <w:color w:val="auto"/>
              </w:rPr>
            </w:pPr>
            <w:r>
              <w:rPr>
                <w:rFonts w:ascii="Arial" w:cs="Arial" w:eastAsia="Arial" w:hAnsi="Arial"/>
                <w:sz w:val="18"/>
                <w:szCs w:val="18"/>
                <w:color w:val="auto"/>
              </w:rPr>
              <w:t xml:space="preserve">18,951,384 shares </w:t>
            </w:r>
            <w:r>
              <w:rPr>
                <w:rFonts w:ascii="Arial" w:cs="Arial" w:eastAsia="Arial" w:hAnsi="Arial"/>
                <w:sz w:val="23"/>
                <w:szCs w:val="23"/>
                <w:color w:val="auto"/>
                <w:vertAlign w:val="superscript"/>
              </w:rPr>
              <w:t>(2)</w:t>
            </w:r>
          </w:p>
        </w:tc>
      </w:tr>
      <w:tr>
        <w:trPr>
          <w:trHeight w:val="336"/>
        </w:trPr>
        <w:tc>
          <w:tcPr>
            <w:tcW w:w="3820" w:type="dxa"/>
            <w:vAlign w:val="bottom"/>
          </w:tcPr>
          <w:p>
            <w:pPr>
              <w:spacing w:after="0"/>
              <w:rPr>
                <w:sz w:val="20"/>
                <w:szCs w:val="20"/>
                <w:color w:val="auto"/>
              </w:rPr>
            </w:pPr>
            <w:r>
              <w:rPr>
                <w:rFonts w:ascii="Arial" w:cs="Arial" w:eastAsia="Arial" w:hAnsi="Arial"/>
                <w:sz w:val="18"/>
                <w:szCs w:val="18"/>
                <w:color w:val="auto"/>
              </w:rPr>
              <w:t>Terms of the offering</w:t>
            </w:r>
          </w:p>
        </w:tc>
        <w:tc>
          <w:tcPr>
            <w:tcW w:w="7340" w:type="dxa"/>
            <w:vAlign w:val="bottom"/>
          </w:tcPr>
          <w:p>
            <w:pPr>
              <w:ind w:left="180"/>
              <w:spacing w:after="0"/>
              <w:rPr>
                <w:sz w:val="20"/>
                <w:szCs w:val="20"/>
                <w:color w:val="auto"/>
              </w:rPr>
            </w:pPr>
            <w:r>
              <w:rPr>
                <w:rFonts w:ascii="Arial" w:cs="Arial" w:eastAsia="Arial" w:hAnsi="Arial"/>
                <w:sz w:val="18"/>
                <w:szCs w:val="18"/>
                <w:color w:val="auto"/>
                <w:w w:val="93"/>
              </w:rPr>
              <w:t>The selling stockholders will determine when and how they sell the common stock offered in this</w:t>
            </w:r>
          </w:p>
        </w:tc>
      </w:tr>
      <w:tr>
        <w:trPr>
          <w:trHeight w:val="230"/>
        </w:trPr>
        <w:tc>
          <w:tcPr>
            <w:tcW w:w="3820" w:type="dxa"/>
            <w:vAlign w:val="bottom"/>
          </w:tcPr>
          <w:p>
            <w:pPr>
              <w:spacing w:after="0"/>
              <w:rPr>
                <w:sz w:val="20"/>
                <w:szCs w:val="20"/>
                <w:color w:val="auto"/>
              </w:rPr>
            </w:pPr>
          </w:p>
        </w:tc>
        <w:tc>
          <w:tcPr>
            <w:tcW w:w="7340" w:type="dxa"/>
            <w:vAlign w:val="bottom"/>
          </w:tcPr>
          <w:p>
            <w:pPr>
              <w:ind w:left="180"/>
              <w:spacing w:after="0"/>
              <w:rPr>
                <w:sz w:val="20"/>
                <w:szCs w:val="20"/>
                <w:color w:val="auto"/>
              </w:rPr>
            </w:pPr>
            <w:r>
              <w:rPr>
                <w:rFonts w:ascii="Arial" w:cs="Arial" w:eastAsia="Arial" w:hAnsi="Arial"/>
                <w:sz w:val="18"/>
                <w:szCs w:val="18"/>
                <w:color w:val="auto"/>
              </w:rPr>
              <w:t>prospectus, as described in “Plan of Distribution.”</w:t>
            </w:r>
          </w:p>
        </w:tc>
      </w:tr>
      <w:tr>
        <w:trPr>
          <w:trHeight w:val="418"/>
        </w:trPr>
        <w:tc>
          <w:tcPr>
            <w:tcW w:w="3820" w:type="dxa"/>
            <w:vAlign w:val="bottom"/>
          </w:tcPr>
          <w:p>
            <w:pPr>
              <w:spacing w:after="0"/>
              <w:rPr>
                <w:sz w:val="20"/>
                <w:szCs w:val="20"/>
                <w:color w:val="auto"/>
              </w:rPr>
            </w:pPr>
            <w:r>
              <w:rPr>
                <w:rFonts w:ascii="Arial" w:cs="Arial" w:eastAsia="Arial" w:hAnsi="Arial"/>
                <w:sz w:val="18"/>
                <w:szCs w:val="18"/>
                <w:color w:val="auto"/>
              </w:rPr>
              <w:t>Use of proceeds</w:t>
            </w:r>
          </w:p>
        </w:tc>
        <w:tc>
          <w:tcPr>
            <w:tcW w:w="7340" w:type="dxa"/>
            <w:vAlign w:val="bottom"/>
          </w:tcPr>
          <w:p>
            <w:pPr>
              <w:ind w:left="180"/>
              <w:spacing w:after="0"/>
              <w:rPr>
                <w:sz w:val="20"/>
                <w:szCs w:val="20"/>
                <w:color w:val="auto"/>
              </w:rPr>
            </w:pPr>
            <w:r>
              <w:rPr>
                <w:rFonts w:ascii="Arial" w:cs="Arial" w:eastAsia="Arial" w:hAnsi="Arial"/>
                <w:sz w:val="18"/>
                <w:szCs w:val="18"/>
                <w:color w:val="auto"/>
                <w:w w:val="91"/>
              </w:rPr>
              <w:t>We will not receive any of the proceeds from the sale of the shares of common stock being offered</w:t>
            </w:r>
          </w:p>
        </w:tc>
      </w:tr>
      <w:tr>
        <w:trPr>
          <w:trHeight w:val="216"/>
        </w:trPr>
        <w:tc>
          <w:tcPr>
            <w:tcW w:w="382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Arial" w:cs="Arial" w:eastAsia="Arial" w:hAnsi="Arial"/>
                <w:sz w:val="18"/>
                <w:szCs w:val="18"/>
                <w:color w:val="auto"/>
                <w:w w:val="92"/>
              </w:rPr>
              <w:t>under this prospectus. We may, however, receive proceeds from the warrant issued to one of the</w:t>
            </w:r>
          </w:p>
        </w:tc>
      </w:tr>
      <w:tr>
        <w:trPr>
          <w:trHeight w:val="230"/>
        </w:trPr>
        <w:tc>
          <w:tcPr>
            <w:tcW w:w="3820" w:type="dxa"/>
            <w:vAlign w:val="bottom"/>
          </w:tcPr>
          <w:p>
            <w:pPr>
              <w:spacing w:after="0"/>
              <w:rPr>
                <w:sz w:val="20"/>
                <w:szCs w:val="20"/>
                <w:color w:val="auto"/>
              </w:rPr>
            </w:pPr>
          </w:p>
        </w:tc>
        <w:tc>
          <w:tcPr>
            <w:tcW w:w="7340" w:type="dxa"/>
            <w:vAlign w:val="bottom"/>
          </w:tcPr>
          <w:p>
            <w:pPr>
              <w:ind w:left="180"/>
              <w:spacing w:after="0"/>
              <w:rPr>
                <w:sz w:val="20"/>
                <w:szCs w:val="20"/>
                <w:color w:val="auto"/>
              </w:rPr>
            </w:pPr>
            <w:r>
              <w:rPr>
                <w:rFonts w:ascii="Arial" w:cs="Arial" w:eastAsia="Arial" w:hAnsi="Arial"/>
                <w:sz w:val="18"/>
                <w:szCs w:val="18"/>
                <w:color w:val="auto"/>
                <w:w w:val="97"/>
              </w:rPr>
              <w:t>selling stockholders in the event such warrant is exercised for cash. See “Use of Proceeds.”</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NASDAQ symbol</w:t>
            </w:r>
          </w:p>
        </w:tc>
        <w:tc>
          <w:tcPr>
            <w:tcW w:w="7340" w:type="dxa"/>
            <w:vAlign w:val="bottom"/>
          </w:tcPr>
          <w:p>
            <w:pPr>
              <w:ind w:left="180"/>
              <w:spacing w:after="0"/>
              <w:rPr>
                <w:sz w:val="20"/>
                <w:szCs w:val="20"/>
                <w:color w:val="auto"/>
              </w:rPr>
            </w:pPr>
            <w:r>
              <w:rPr>
                <w:rFonts w:ascii="Arial" w:cs="Arial" w:eastAsia="Arial" w:hAnsi="Arial"/>
                <w:sz w:val="18"/>
                <w:szCs w:val="18"/>
                <w:color w:val="auto"/>
              </w:rPr>
              <w:t>Our common stock is listed on The NASDAQ Global Market under the symbol SELB.</w:t>
            </w:r>
          </w:p>
        </w:tc>
      </w:tr>
      <w:tr>
        <w:trPr>
          <w:trHeight w:val="418"/>
        </w:trPr>
        <w:tc>
          <w:tcPr>
            <w:tcW w:w="3820" w:type="dxa"/>
            <w:vAlign w:val="bottom"/>
          </w:tcPr>
          <w:p>
            <w:pPr>
              <w:spacing w:after="0"/>
              <w:rPr>
                <w:sz w:val="20"/>
                <w:szCs w:val="20"/>
                <w:color w:val="auto"/>
              </w:rPr>
            </w:pPr>
            <w:r>
              <w:rPr>
                <w:rFonts w:ascii="Arial" w:cs="Arial" w:eastAsia="Arial" w:hAnsi="Arial"/>
                <w:sz w:val="18"/>
                <w:szCs w:val="18"/>
                <w:color w:val="auto"/>
              </w:rPr>
              <w:t>Risk factors</w:t>
            </w:r>
          </w:p>
        </w:tc>
        <w:tc>
          <w:tcPr>
            <w:tcW w:w="7340" w:type="dxa"/>
            <w:vAlign w:val="bottom"/>
          </w:tcPr>
          <w:p>
            <w:pPr>
              <w:ind w:left="180"/>
              <w:spacing w:after="0"/>
              <w:rPr>
                <w:sz w:val="20"/>
                <w:szCs w:val="20"/>
                <w:color w:val="auto"/>
              </w:rPr>
            </w:pPr>
            <w:r>
              <w:rPr>
                <w:rFonts w:ascii="Arial" w:cs="Arial" w:eastAsia="Arial" w:hAnsi="Arial"/>
                <w:sz w:val="18"/>
                <w:szCs w:val="18"/>
                <w:color w:val="auto"/>
                <w:w w:val="90"/>
              </w:rPr>
              <w:t>You should read the “Risk Factors” section of this prospectus for a discussion of factors to consider</w:t>
            </w:r>
          </w:p>
        </w:tc>
      </w:tr>
      <w:tr>
        <w:trPr>
          <w:trHeight w:val="230"/>
        </w:trPr>
        <w:tc>
          <w:tcPr>
            <w:tcW w:w="3820" w:type="dxa"/>
            <w:vAlign w:val="bottom"/>
          </w:tcPr>
          <w:p>
            <w:pPr>
              <w:spacing w:after="0"/>
              <w:rPr>
                <w:sz w:val="20"/>
                <w:szCs w:val="20"/>
                <w:color w:val="auto"/>
              </w:rPr>
            </w:pPr>
          </w:p>
        </w:tc>
        <w:tc>
          <w:tcPr>
            <w:tcW w:w="7340" w:type="dxa"/>
            <w:vAlign w:val="bottom"/>
          </w:tcPr>
          <w:p>
            <w:pPr>
              <w:ind w:left="180"/>
              <w:spacing w:after="0"/>
              <w:rPr>
                <w:sz w:val="20"/>
                <w:szCs w:val="20"/>
                <w:color w:val="auto"/>
              </w:rPr>
            </w:pPr>
            <w:r>
              <w:rPr>
                <w:rFonts w:ascii="Arial" w:cs="Arial" w:eastAsia="Arial" w:hAnsi="Arial"/>
                <w:sz w:val="18"/>
                <w:szCs w:val="18"/>
                <w:color w:val="auto"/>
              </w:rPr>
              <w:t>carefully before deciding to invest in shares of our common stock.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260" w:firstLine="319"/>
        <w:spacing w:after="0" w:line="277" w:lineRule="auto"/>
        <w:tabs>
          <w:tab w:leader="none" w:pos="566"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Consists of (i) 3,088,791 shares of common stock outstanding and (ii) 79,130 shares of common stock issuable upon exercise of warrants issued in connection with the 2017 Private Placement.</w:t>
      </w:r>
    </w:p>
    <w:p>
      <w:pPr>
        <w:spacing w:after="0" w:line="170" w:lineRule="exact"/>
        <w:rPr>
          <w:rFonts w:ascii="Arial" w:cs="Arial" w:eastAsia="Arial" w:hAnsi="Arial"/>
          <w:sz w:val="18"/>
          <w:szCs w:val="18"/>
          <w:color w:val="auto"/>
        </w:rPr>
      </w:pPr>
    </w:p>
    <w:p>
      <w:pPr>
        <w:ind w:right="60" w:firstLine="319"/>
        <w:spacing w:after="0" w:line="308" w:lineRule="auto"/>
        <w:tabs>
          <w:tab w:leader="none" w:pos="566" w:val="left"/>
        </w:tabs>
        <w:numPr>
          <w:ilvl w:val="0"/>
          <w:numId w:val="2"/>
        </w:numPr>
        <w:rPr>
          <w:rFonts w:ascii="Arial" w:cs="Arial" w:eastAsia="Arial" w:hAnsi="Arial"/>
          <w:sz w:val="17"/>
          <w:szCs w:val="17"/>
          <w:color w:val="auto"/>
        </w:rPr>
      </w:pPr>
      <w:r>
        <w:rPr>
          <w:rFonts w:ascii="Arial" w:cs="Arial" w:eastAsia="Arial" w:hAnsi="Arial"/>
          <w:sz w:val="17"/>
          <w:szCs w:val="17"/>
          <w:color w:val="auto"/>
        </w:rPr>
        <w:t>Based solely on 18,951,384 shares of common stock outstanding as of June 27, 2017 plus 3,088,791 shares of common stock sold in the 2017 Private Placement; excludes shares of common stock issuable upon exercise of the warrant issued in connection with the 2017 Private Placement.</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Investment in any securities offered pursuant to this prospectus involves risks. Before making an investment decision, you should carefully consider the specific risks described under the caption “Risk Factors” in any of our filings with the SEC pursuant to Sections 13(a), 13(c), 14 or 15(d) of the Exchange Act, which we have incorporated herein by reference. Each of the risks described in these headings could adversely affect our business, financial condition, results of operations and prospects, and could result in a complete loss of your investment. For more information, see “Where You Can Find More Information.”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We will not receive any of the proceeds from the sale of shares of our common stock in this offering. The selling stockholders will receive all of the proceeds from this offering. We may, however, receive proceeds from the warrant issued to one of the selling stockholders in the event such warrant is exercised for cash.</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This prospectus covers the resale or other disposition from time to time by the selling stockholders identified in the table below of up to an aggregate of 3,</w:t>
      </w:r>
      <w:r>
        <w:rPr>
          <w:rFonts w:ascii="Arial" w:cs="Arial" w:eastAsia="Arial" w:hAnsi="Arial"/>
          <w:sz w:val="17"/>
          <w:szCs w:val="17"/>
          <w:color w:val="auto"/>
        </w:rPr>
        <w:t>167,921</w:t>
      </w:r>
      <w:r>
        <w:rPr>
          <w:rFonts w:ascii="Arial" w:cs="Arial" w:eastAsia="Arial" w:hAnsi="Arial"/>
          <w:sz w:val="18"/>
          <w:szCs w:val="18"/>
          <w:color w:val="auto"/>
        </w:rPr>
        <w:t xml:space="preserve"> shares of our common stock, which consists of (i) 3,088,791 shares of our common stock issued and sold to investors and (ii) a warrant to purchase 79,130 shares of our common stock in connection with the 2017 Private Placement.</w:t>
      </w:r>
    </w:p>
    <w:p>
      <w:pPr>
        <w:spacing w:after="0" w:line="18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On June 26, 2017, we entered into a securities purchase agreement with certain of the selling stockholders, or the Securities Purchase Agreement, pursuant to which we sold in a private placement an aggregate of 2,750,000 shares of our common stock for aggregate gross proceeds of $44 million, at a purchase price equal to $16.00 per share. Also on June 26, 2017, we entered into a securities purchase agreement with Timothy Springer, Ph.D., one of our directors, or the Springer Securities Purchase Agreement, pursuant to which we sold an additional 338,791 shares of our common stock and a warrant to purchase 79,130 shares of our common stock, resulting in additional aggregate gross proceeds of approximately $6 million. The purchase price paid by our director who purchased shares in the 2017 Private Placement was $17.71 per share. The exercise price under the warrant is $17.71 per warrant share and the purchase price for the warrant was equal to $0.125 times each share of our common stock purchasable thereunder. Throughout this prospectus, when we refer to the Securities Purchase Agreements, we are referring to the Securities Purchase Agreement together with the Springer Securities Purchase Agreement. This prospectus covers the resale or other disposition by the selling stockholders or their transferees of up to the total number of shares of common stock issued to the selling stockholders pursuant to the Securities Purchase Agreements or issuable upon exercise of the warrant sold pursuant to the Springer Securities Purchase Agreement. Throughout this prospectus, when we refer to the selling stockholders in this prospectus, we are referring to the purchasers under the Securities Purchase Agreements.</w:t>
      </w:r>
    </w:p>
    <w:p>
      <w:pPr>
        <w:spacing w:after="0" w:line="180"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We are registering the above-referenced shares to permit the selling stockholders and their pledgees, donees, transferees or other successors-in-interest that receive their shares after the date of this prospectus to resell or otherwise dispose of the shares in the manner contemplated under “Plan of Distribution” herein.</w:t>
      </w:r>
    </w:p>
    <w:p>
      <w:pPr>
        <w:spacing w:after="0" w:line="181"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Except as otherwise disclosed herein, the selling stockholders do not have, and within the past three years has not had, any position, office or other material relationship with us.</w:t>
      </w:r>
    </w:p>
    <w:p>
      <w:pPr>
        <w:spacing w:after="0" w:line="170"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The following table sets forth the name of the selling stockholders, the number of shares owned by the selling stockholders, the number of shares that may be offered under this prospectus and the number of shares of our common stock owned by the selling stockholder assuming all of the shares registered for resale hereby are sold. The number of shares in the column “Number of Shares Being Offered” represents all of the shares that the selling stockholders may offer under this prospectus. The selling stockholders may sell some, all or none of their shares. We do not know how long the selling stockholders will</w:t>
      </w:r>
    </w:p>
    <w:p>
      <w:pPr>
        <w:sectPr>
          <w:pgSz w:w="11900" w:h="16838" w:orient="portrait"/>
          <w:cols w:equalWidth="0" w:num="1">
            <w:col w:w="11400"/>
          </w:cols>
          <w:pgMar w:left="240" w:top="125" w:right="259" w:bottom="0" w:gutter="0" w:footer="0" w:header="0"/>
        </w:sectPr>
      </w:pPr>
    </w:p>
    <w:bookmarkStart w:id="4" w:name="page5"/>
    <w:bookmarkEnd w:id="4"/>
    <w:p>
      <w:pPr>
        <w:ind w:right="100"/>
        <w:spacing w:after="0" w:line="308" w:lineRule="auto"/>
        <w:rPr>
          <w:sz w:val="20"/>
          <w:szCs w:val="20"/>
          <w:color w:val="auto"/>
        </w:rPr>
      </w:pPr>
      <w:r>
        <w:rPr>
          <w:rFonts w:ascii="Arial" w:cs="Arial" w:eastAsia="Arial" w:hAnsi="Arial"/>
          <w:sz w:val="17"/>
          <w:szCs w:val="17"/>
          <w:color w:val="auto"/>
        </w:rPr>
        <w:t>hold the shares before selling them, and we currently have no agreements, arrangements or understandings with the selling stockholders regarding the sale or other disposition of any of the shares. The shares covered hereby may be offered from time to time by the selling stockholders.</w:t>
      </w:r>
    </w:p>
    <w:p>
      <w:pPr>
        <w:spacing w:after="0" w:line="14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 xml:space="preserve">The information set forth below is based upon information obtained from the selling stockholders in connection with the 2017 Private Placement. The percentages of shares owned after the offering are based on </w:t>
      </w:r>
      <w:r>
        <w:rPr>
          <w:rFonts w:ascii="Arial" w:cs="Arial" w:eastAsia="Arial" w:hAnsi="Arial"/>
          <w:sz w:val="17"/>
          <w:szCs w:val="17"/>
          <w:color w:val="auto"/>
        </w:rPr>
        <w:t>18,951,384</w:t>
      </w:r>
      <w:r>
        <w:rPr>
          <w:rFonts w:ascii="Arial" w:cs="Arial" w:eastAsia="Arial" w:hAnsi="Arial"/>
          <w:sz w:val="18"/>
          <w:szCs w:val="18"/>
          <w:color w:val="auto"/>
        </w:rPr>
        <w:t xml:space="preserve"> shares of our common stock outstanding as of June 27, 2017, plus the shares of common stock registered for resale hereby.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Shares of</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8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0"/>
              </w:rPr>
              <w:t>Shares of 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6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 Shares</w:t>
            </w:r>
          </w:p>
        </w:tc>
        <w:tc>
          <w:tcPr>
            <w:tcW w:w="31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Selling Stockholder</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1640" w:type="dxa"/>
            <w:vAlign w:val="bottom"/>
            <w:gridSpan w:val="2"/>
            <w:vMerge w:val="continue"/>
          </w:tcPr>
          <w:p>
            <w:pPr>
              <w:spacing w:after="0"/>
              <w:rPr>
                <w:sz w:val="12"/>
                <w:szCs w:val="12"/>
                <w:color w:val="auto"/>
              </w:rPr>
            </w:pPr>
          </w:p>
        </w:tc>
        <w:tc>
          <w:tcPr>
            <w:tcW w:w="31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Beneficially Owned After</w:t>
            </w:r>
          </w:p>
        </w:tc>
        <w:tc>
          <w:tcPr>
            <w:tcW w:w="0" w:type="dxa"/>
            <w:vAlign w:val="bottom"/>
          </w:tcPr>
          <w:p>
            <w:pPr>
              <w:spacing w:after="0"/>
              <w:rPr>
                <w:sz w:val="1"/>
                <w:szCs w:val="1"/>
                <w:color w:val="auto"/>
              </w:rPr>
            </w:pPr>
          </w:p>
        </w:tc>
      </w:tr>
      <w:tr>
        <w:trPr>
          <w:trHeight w:val="171"/>
        </w:trPr>
        <w:tc>
          <w:tcPr>
            <w:tcW w:w="4960" w:type="dxa"/>
            <w:vAlign w:val="bottom"/>
            <w:gridSpan w:val="3"/>
            <w:vMerge w:val="continue"/>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Offering (1)</w:t>
            </w:r>
          </w:p>
        </w:tc>
        <w:tc>
          <w:tcPr>
            <w:tcW w:w="16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Being Offered</w:t>
            </w:r>
          </w:p>
        </w:tc>
        <w:tc>
          <w:tcPr>
            <w:tcW w:w="1980" w:type="dxa"/>
            <w:vAlign w:val="bottom"/>
            <w:gridSpan w:val="3"/>
          </w:tcPr>
          <w:p>
            <w:pPr>
              <w:jc w:val="center"/>
              <w:ind w:left="960"/>
              <w:spacing w:after="0"/>
              <w:rPr>
                <w:sz w:val="20"/>
                <w:szCs w:val="20"/>
                <w:color w:val="auto"/>
              </w:rPr>
            </w:pPr>
            <w:r>
              <w:rPr>
                <w:rFonts w:ascii="Arial" w:cs="Arial" w:eastAsia="Arial" w:hAnsi="Arial"/>
                <w:sz w:val="14"/>
                <w:szCs w:val="14"/>
                <w:b w:val="1"/>
                <w:bCs w:val="1"/>
                <w:color w:val="auto"/>
                <w:w w:val="98"/>
              </w:rPr>
              <w:t>Offering (2)</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980" w:type="dxa"/>
            <w:vAlign w:val="bottom"/>
            <w:tcBorders>
              <w:top w:val="single" w:sz="8" w:color="auto"/>
            </w:tcBorders>
            <w:gridSpan w:val="3"/>
          </w:tcPr>
          <w:p>
            <w:pPr>
              <w:ind w:left="440"/>
              <w:spacing w:after="0" w:line="142" w:lineRule="exact"/>
              <w:rPr>
                <w:sz w:val="20"/>
                <w:szCs w:val="20"/>
                <w:color w:val="auto"/>
              </w:rPr>
            </w:pPr>
            <w:r>
              <w:rPr>
                <w:rFonts w:ascii="Arial" w:cs="Arial" w:eastAsia="Arial" w:hAnsi="Arial"/>
                <w:sz w:val="14"/>
                <w:szCs w:val="14"/>
                <w:b w:val="1"/>
                <w:bCs w:val="1"/>
                <w:color w:val="auto"/>
              </w:rPr>
              <w:t>Number</w:t>
            </w:r>
          </w:p>
        </w:tc>
        <w:tc>
          <w:tcPr>
            <w:tcW w:w="1040" w:type="dxa"/>
            <w:vAlign w:val="bottom"/>
            <w:tcBorders>
              <w:top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A. Springer, Ph.D.(3)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2,126,777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417,921</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1,708,856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Vivo Capital Fund VIII, L.P. (4)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983,395</w:t>
            </w:r>
          </w:p>
        </w:tc>
        <w:tc>
          <w:tcPr>
            <w:tcW w:w="1360" w:type="dxa"/>
            <w:vAlign w:val="bottom"/>
          </w:tcPr>
          <w:p>
            <w:pPr>
              <w:jc w:val="right"/>
              <w:spacing w:after="0"/>
              <w:rPr>
                <w:sz w:val="20"/>
                <w:szCs w:val="20"/>
                <w:color w:val="auto"/>
              </w:rPr>
            </w:pPr>
            <w:r>
              <w:rPr>
                <w:rFonts w:ascii="Arial" w:cs="Arial" w:eastAsia="Arial" w:hAnsi="Arial"/>
                <w:sz w:val="18"/>
                <w:szCs w:val="18"/>
                <w:color w:val="auto"/>
              </w:rPr>
              <w:t>659,000</w:t>
            </w:r>
          </w:p>
        </w:tc>
        <w:tc>
          <w:tcPr>
            <w:tcW w:w="28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324,395</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Vivo Capital Surplus Fund VIII, L.P. (4)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135,794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91,000</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44,794</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Perceptive Life Sciences Master Fund, Ltd. (5)</w:t>
            </w:r>
          </w:p>
        </w:tc>
        <w:tc>
          <w:tcPr>
            <w:tcW w:w="23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797,325</w:t>
            </w:r>
          </w:p>
        </w:tc>
        <w:tc>
          <w:tcPr>
            <w:tcW w:w="1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593,750</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203,575</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Baker Brothers Life Sciences, L.P. (6)</w:t>
            </w:r>
          </w:p>
        </w:tc>
        <w:tc>
          <w:tcPr>
            <w:tcW w:w="2320" w:type="dxa"/>
            <w:vAlign w:val="bottom"/>
          </w:tcPr>
          <w:p>
            <w:pPr>
              <w:jc w:val="right"/>
              <w:ind w:right="450"/>
              <w:spacing w:after="0"/>
              <w:rPr>
                <w:sz w:val="20"/>
                <w:szCs w:val="20"/>
                <w:color w:val="auto"/>
              </w:rPr>
            </w:pPr>
            <w:r>
              <w:rPr>
                <w:rFonts w:ascii="Arial" w:cs="Arial" w:eastAsia="Arial" w:hAnsi="Arial"/>
                <w:sz w:val="18"/>
                <w:szCs w:val="18"/>
                <w:color w:val="auto"/>
              </w:rPr>
              <w:t>256,924</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84,213</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172,711</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667, L.P. (6)</w:t>
            </w:r>
          </w:p>
        </w:tc>
        <w:tc>
          <w:tcPr>
            <w:tcW w:w="23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32,885</w:t>
            </w:r>
          </w:p>
        </w:tc>
        <w:tc>
          <w:tcPr>
            <w:tcW w:w="1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9,537</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23,348</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Amzak Health Investors LLC(7)</w:t>
            </w:r>
          </w:p>
        </w:tc>
        <w:tc>
          <w:tcPr>
            <w:tcW w:w="2320" w:type="dxa"/>
            <w:vAlign w:val="bottom"/>
          </w:tcPr>
          <w:p>
            <w:pPr>
              <w:jc w:val="right"/>
              <w:ind w:right="450"/>
              <w:spacing w:after="0"/>
              <w:rPr>
                <w:sz w:val="20"/>
                <w:szCs w:val="20"/>
                <w:color w:val="auto"/>
              </w:rPr>
            </w:pPr>
            <w:r>
              <w:rPr>
                <w:rFonts w:ascii="Arial" w:cs="Arial" w:eastAsia="Arial" w:hAnsi="Arial"/>
                <w:sz w:val="18"/>
                <w:szCs w:val="18"/>
                <w:color w:val="auto"/>
              </w:rPr>
              <w:t>424,800</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375,000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49,800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Biomedical Offshore Value Fund, Ltd. (8)</w:t>
            </w:r>
          </w:p>
        </w:tc>
        <w:tc>
          <w:tcPr>
            <w:tcW w:w="23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361,529</w:t>
            </w:r>
          </w:p>
        </w:tc>
        <w:tc>
          <w:tcPr>
            <w:tcW w:w="1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361,529</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GEF-SMA, L.P. (8)</w:t>
            </w:r>
          </w:p>
        </w:tc>
        <w:tc>
          <w:tcPr>
            <w:tcW w:w="2320" w:type="dxa"/>
            <w:vAlign w:val="bottom"/>
          </w:tcPr>
          <w:p>
            <w:pPr>
              <w:jc w:val="right"/>
              <w:ind w:right="450"/>
              <w:spacing w:after="0"/>
              <w:rPr>
                <w:sz w:val="20"/>
                <w:szCs w:val="20"/>
                <w:color w:val="auto"/>
              </w:rPr>
            </w:pPr>
            <w:r>
              <w:rPr>
                <w:rFonts w:ascii="Arial" w:cs="Arial" w:eastAsia="Arial" w:hAnsi="Arial"/>
                <w:sz w:val="18"/>
                <w:szCs w:val="18"/>
                <w:color w:val="auto"/>
              </w:rPr>
              <w:t>255,798</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255,798</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Biomedical Value Fund, L.P. (8)</w:t>
            </w:r>
          </w:p>
        </w:tc>
        <w:tc>
          <w:tcPr>
            <w:tcW w:w="23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235,334</w:t>
            </w:r>
          </w:p>
        </w:tc>
        <w:tc>
          <w:tcPr>
            <w:tcW w:w="1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235,334</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Class D Series of GE-PS, L.P. (8)</w:t>
            </w:r>
          </w:p>
        </w:tc>
        <w:tc>
          <w:tcPr>
            <w:tcW w:w="2320" w:type="dxa"/>
            <w:vAlign w:val="bottom"/>
          </w:tcPr>
          <w:p>
            <w:pPr>
              <w:jc w:val="right"/>
              <w:ind w:right="450"/>
              <w:spacing w:after="0"/>
              <w:rPr>
                <w:sz w:val="20"/>
                <w:szCs w:val="20"/>
                <w:color w:val="auto"/>
              </w:rPr>
            </w:pPr>
            <w:r>
              <w:rPr>
                <w:rFonts w:ascii="Arial" w:cs="Arial" w:eastAsia="Arial" w:hAnsi="Arial"/>
                <w:sz w:val="18"/>
                <w:szCs w:val="18"/>
                <w:color w:val="auto"/>
              </w:rPr>
              <w:t>84,839</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84,839</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left="360" w:right="140" w:hanging="352"/>
        <w:spacing w:after="0" w:line="279" w:lineRule="auto"/>
        <w:tabs>
          <w:tab w:leader="none" w:pos="363" w:val="left"/>
        </w:tabs>
        <w:numPr>
          <w:ilvl w:val="0"/>
          <w:numId w:val="3"/>
        </w:numPr>
        <w:rPr>
          <w:rFonts w:ascii="Arial" w:cs="Arial" w:eastAsia="Arial" w:hAnsi="Arial"/>
          <w:sz w:val="17"/>
          <w:szCs w:val="17"/>
          <w:color w:val="auto"/>
        </w:rPr>
      </w:pPr>
      <w:r>
        <w:rPr>
          <w:rFonts w:ascii="Arial" w:cs="Arial" w:eastAsia="Arial" w:hAnsi="Arial"/>
          <w:sz w:val="17"/>
          <w:szCs w:val="17"/>
          <w:color w:val="auto"/>
        </w:rPr>
        <w:t>“Beneficial ownership” is a term broadly defined by the SEC in Rule 13d-3 under the Exchange Act, and includes more than the typical form of stock ownership, that is, stock held in the person’s name. The term also includes what is referred to as “indirect ownership,” meaning ownership of shares as to which a person has or shares investment power. For purposes of this table, a person or group of persons is deemed to have “beneficial ownership” of any shares that are currently exercisable or exercisable within 60 days of July 12, 2017.</w:t>
      </w:r>
    </w:p>
    <w:p>
      <w:pPr>
        <w:spacing w:after="0" w:line="171" w:lineRule="exact"/>
        <w:rPr>
          <w:rFonts w:ascii="Arial" w:cs="Arial" w:eastAsia="Arial" w:hAnsi="Arial"/>
          <w:sz w:val="17"/>
          <w:szCs w:val="17"/>
          <w:color w:val="auto"/>
        </w:rPr>
      </w:pPr>
    </w:p>
    <w:p>
      <w:pPr>
        <w:ind w:left="360" w:right="360" w:hanging="352"/>
        <w:spacing w:after="0" w:line="277" w:lineRule="auto"/>
        <w:tabs>
          <w:tab w:leader="none" w:pos="363"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Assumes that all shares being registered in this prospectus are resold to third parties and that the selling stockholders sell all shares of common stock registered under this prospectus held by such selling stockholder.</w:t>
      </w:r>
    </w:p>
    <w:p>
      <w:pPr>
        <w:spacing w:after="0" w:line="170" w:lineRule="exact"/>
        <w:rPr>
          <w:rFonts w:ascii="Arial" w:cs="Arial" w:eastAsia="Arial" w:hAnsi="Arial"/>
          <w:sz w:val="18"/>
          <w:szCs w:val="18"/>
          <w:color w:val="auto"/>
        </w:rPr>
      </w:pPr>
    </w:p>
    <w:p>
      <w:pPr>
        <w:ind w:left="340" w:right="100" w:hanging="332"/>
        <w:spacing w:after="0" w:line="272" w:lineRule="auto"/>
        <w:tabs>
          <w:tab w:leader="none" w:pos="347"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Consists of (i) 355,413 shares of common stock held individually, (ii) 79,130 shares of common stock underlying warrants exercisable within 60 days of July 12, 2017 and held individually, (iii) 445,576 shares of common stock held by TAS Partners, LLC, or TAS, (iv) 4,304 shares of common stock underlying warrants exercisable within 60 days of July 12, 2017 held by TAS, (v) 1,237,028 shares of common stock held by Leukon Investments LP, or Leukon, (vi) 5,326 shares of common stock underlying warrants exercisable within 60 days of July 12, 2017 held by Leukon. LKST, Inc. is the general partner of Leukon. Timothy Springer, a member of our board of directors, is the president of LKST, Inc. and is also the manager of TAS. Mr. Springer disclaims beneficial ownership of the shares held by TAS and Leukon. Each of TAS and Leukon disclaim beneficial ownership of the shares held by the other. The address of TAS and Leukon is 36 Woodman Road, Chestnut Hill, MA 02467.</w:t>
      </w:r>
    </w:p>
    <w:p>
      <w:pPr>
        <w:spacing w:after="0" w:line="177" w:lineRule="exact"/>
        <w:rPr>
          <w:rFonts w:ascii="Arial" w:cs="Arial" w:eastAsia="Arial" w:hAnsi="Arial"/>
          <w:sz w:val="17"/>
          <w:szCs w:val="17"/>
          <w:color w:val="auto"/>
        </w:rPr>
      </w:pPr>
    </w:p>
    <w:p>
      <w:pPr>
        <w:ind w:left="340" w:right="160" w:hanging="332"/>
        <w:spacing w:after="0" w:line="259" w:lineRule="auto"/>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Vivo Capital VIII, LLC is the general partner of both Vivo Capital Fund VIII, L.P. and Vivo Capital Surplus Fund VIII, L.P. The managing partners of Vivo Capital VIII, LLC are Frank Kung, Albert Cha, Edgar Engleman, Chen Yu and Shan Fu, none of whom has individual voting or investment power with respect to these shares and each of whom disclaims beneficial ownership of such shares. The address for Vivo Capital VIII, LLC is 505 Hamilton Avenue, Suite 207575 High Street, Suite 201, Palo Alto, CA 94301.</w:t>
      </w:r>
    </w:p>
    <w:p>
      <w:pPr>
        <w:spacing w:after="0" w:line="186" w:lineRule="exact"/>
        <w:rPr>
          <w:rFonts w:ascii="Arial" w:cs="Arial" w:eastAsia="Arial" w:hAnsi="Arial"/>
          <w:sz w:val="18"/>
          <w:szCs w:val="18"/>
          <w:color w:val="auto"/>
        </w:rPr>
      </w:pPr>
    </w:p>
    <w:p>
      <w:pPr>
        <w:ind w:left="340" w:right="40" w:hanging="332"/>
        <w:spacing w:after="0" w:line="308" w:lineRule="auto"/>
        <w:tabs>
          <w:tab w:leader="none" w:pos="347"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Perceptive Advisors, LLC (“Perceptive Advisors”) is the investment advisor of Perceptive Life Sciences Master Fund, Ltd (“Perceptive LSMF”). Joseph E. Edelman, as the General Partner of Perceptive Advisors, has voting and investment power over the shares owned by Perceptive LSMF.</w:t>
      </w:r>
    </w:p>
    <w:p>
      <w:pPr>
        <w:spacing w:after="0" w:line="146" w:lineRule="exact"/>
        <w:rPr>
          <w:rFonts w:ascii="Arial" w:cs="Arial" w:eastAsia="Arial" w:hAnsi="Arial"/>
          <w:sz w:val="17"/>
          <w:szCs w:val="17"/>
          <w:color w:val="auto"/>
        </w:rPr>
      </w:pPr>
    </w:p>
    <w:p>
      <w:pPr>
        <w:ind w:left="340" w:right="40" w:hanging="332"/>
        <w:spacing w:after="0" w:line="255" w:lineRule="auto"/>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Baker Bros. Advisors LP is the investment adviser to 667, L.P. (“667”) and Baker Brothers Life Sciences, L.P. (“BBLS”) and has voting and investment power over the shares directly held by 667 and BBLS. Julian C. Baker and Felix J. Baker are the managing partners of Baker Bros. Advisors LP and may be deemed to be beneficial owners of securities of the Issuer directly held by 667 and BBLS and may be deemed to have the power to vote or direct the vote of and the power to dispose or direct the disposition of such securities. Baker Bros. Advisors LP, Julian C. Baker and Felix J. Baker disclaim beneficial ownership of the securities held directly by 667 and BBLS, except to the extent of their pecuniary interest. The address for Baker Bros. Advisors LP is 667 Madison Ave., 21st Floor, New York, NY 10065.</w:t>
      </w:r>
    </w:p>
    <w:p>
      <w:pPr>
        <w:spacing w:after="0" w:line="193" w:lineRule="exact"/>
        <w:rPr>
          <w:rFonts w:ascii="Arial" w:cs="Arial" w:eastAsia="Arial" w:hAnsi="Arial"/>
          <w:sz w:val="18"/>
          <w:szCs w:val="18"/>
          <w:color w:val="auto"/>
        </w:rPr>
      </w:pPr>
    </w:p>
    <w:p>
      <w:pPr>
        <w:ind w:left="340" w:right="160" w:hanging="332"/>
        <w:spacing w:after="0" w:line="264" w:lineRule="auto"/>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Consists of (i) 48,000 shares of common stock held by Amzak Capital Management, or ACM, and (ii) 375,000 shares of common stock held by Amzak Health Investors LLC, or AHI. The address of ACM and AHI is 980 N. Federal Highway, Suite 315, Boca Raton, FL 33432. Michael Kazma is the managing member of both ACM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 AHI and disclaims beneficial ownership of the shares held by ACM and AHI, except to the extent of any pecuniary interest therein.</w:t>
      </w:r>
    </w:p>
    <w:p>
      <w:pPr>
        <w:spacing w:after="0" w:line="225" w:lineRule="exact"/>
        <w:rPr>
          <w:sz w:val="20"/>
          <w:szCs w:val="20"/>
          <w:color w:val="auto"/>
        </w:rPr>
      </w:pPr>
    </w:p>
    <w:p>
      <w:pPr>
        <w:ind w:left="340" w:right="20" w:hanging="332"/>
        <w:spacing w:after="0" w:line="342" w:lineRule="auto"/>
        <w:tabs>
          <w:tab w:leader="none" w:pos="347" w:val="left"/>
        </w:tabs>
        <w:numPr>
          <w:ilvl w:val="0"/>
          <w:numId w:val="4"/>
        </w:numPr>
        <w:rPr>
          <w:rFonts w:ascii="Arial" w:cs="Arial" w:eastAsia="Arial" w:hAnsi="Arial"/>
          <w:sz w:val="16"/>
          <w:szCs w:val="16"/>
          <w:color w:val="auto"/>
        </w:rPr>
      </w:pPr>
      <w:r>
        <w:rPr>
          <w:rFonts w:ascii="Arial" w:cs="Arial" w:eastAsia="Arial" w:hAnsi="Arial"/>
          <w:sz w:val="16"/>
          <w:szCs w:val="16"/>
          <w:color w:val="auto"/>
        </w:rPr>
        <w:t>Great Point Partners, LLC (“Great Point”) is the investment manager of each of Biomedical Value Fund, L.P., Biomedical Offshore Value Fund, Ltd., Class D Series of GEF-PS, L.P. and GEF-SMA, L.P. (collectively, the “Great Point Selling Stockholders”), and by virtue of such status may be deemed to</w:t>
      </w:r>
    </w:p>
    <w:p>
      <w:pPr>
        <w:sectPr>
          <w:pgSz w:w="11900" w:h="16838" w:orient="portrait"/>
          <w:cols w:equalWidth="0" w:num="1">
            <w:col w:w="11420"/>
          </w:cols>
          <w:pgMar w:left="240" w:top="125" w:right="239" w:bottom="0" w:gutter="0" w:footer="0" w:header="0"/>
        </w:sectPr>
      </w:pPr>
    </w:p>
    <w:bookmarkStart w:id="5" w:name="page6"/>
    <w:bookmarkEnd w:id="5"/>
    <w:p>
      <w:pPr>
        <w:spacing w:after="0" w:line="69" w:lineRule="exact"/>
        <w:rPr>
          <w:sz w:val="20"/>
          <w:szCs w:val="20"/>
          <w:color w:val="auto"/>
        </w:rPr>
      </w:pPr>
    </w:p>
    <w:p>
      <w:pPr>
        <w:ind w:left="340"/>
        <w:spacing w:after="0" w:line="302" w:lineRule="auto"/>
        <w:rPr>
          <w:sz w:val="20"/>
          <w:szCs w:val="20"/>
          <w:color w:val="auto"/>
        </w:rPr>
      </w:pPr>
      <w:r>
        <w:rPr>
          <w:rFonts w:ascii="Arial" w:cs="Arial" w:eastAsia="Arial" w:hAnsi="Arial"/>
          <w:sz w:val="16"/>
          <w:szCs w:val="16"/>
          <w:color w:val="auto"/>
        </w:rPr>
        <w:t>be the beneficial owner of the shares listed above. Each of Dr. Jeffrey R. Jay, M.D. (“Dr. Jay”), as senior managing member of Great Point and Mr. David Kroin (“Mr. Kroin”), as special managing member of Great Point, has voting and investment power with respect to the shares owned by each of the Great Point Selling Stockholders. Each of Great Point, Dr. Jay and Mr. Kroin disclaims beneficial ownership of such shares except to the extent of their respective pecuniary interest therein. The address for the Great Point Selling Stockholders is 165 Mason Street, 3rd Floor, Greenwich, CT 06830.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the Selling Stockholders</w:t>
      </w:r>
    </w:p>
    <w:p>
      <w:pPr>
        <w:spacing w:after="0" w:line="229" w:lineRule="exact"/>
        <w:rPr>
          <w:sz w:val="20"/>
          <w:szCs w:val="20"/>
          <w:color w:val="auto"/>
        </w:rPr>
      </w:pPr>
    </w:p>
    <w:p>
      <w:pPr>
        <w:ind w:right="360" w:firstLine="405"/>
        <w:spacing w:after="0" w:line="342" w:lineRule="auto"/>
        <w:rPr>
          <w:sz w:val="20"/>
          <w:szCs w:val="20"/>
          <w:color w:val="auto"/>
        </w:rPr>
      </w:pPr>
      <w:r>
        <w:rPr>
          <w:rFonts w:ascii="Arial" w:cs="Arial" w:eastAsia="Arial" w:hAnsi="Arial"/>
          <w:sz w:val="16"/>
          <w:szCs w:val="16"/>
          <w:color w:val="auto"/>
        </w:rPr>
        <w:t>In addition to the Securities Purchase Agreements, on June 27, 2017, in connection with the 2017 Private Placement, we entered into a Registration Rights Agreement with the selling stockholders and a Common Stock Purchase Warrant, or the Warrant, with one such selling stockholder.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Pursuant to the Registration Rights Agreement with each of the selling stockholders, we agreed to prepare and file with the SEC a registration statement that permits the resale of the selling stockholders’ shares and, subject to certain exceptions, use reasonable best efforts to keep the registration statement of which this prospectus forms a part effective under the Securities Act until the earlier of (i) such time as all of the securities registered for resale hereunder have been disposed of pursuant to and in accordance with the registration statement; (ii) such time as all of the securities registered for resale hereunder have been sold in accordance with Rule 144 under the Securities Act; (iii) the date on which the shares of common stock registered for resale hereunder become eligible for resale without volume or manner-of-sale restrictions and without current public information pursuant to Rule 144; and (iv) June 27, 2020.</w:t>
      </w:r>
    </w:p>
    <w:p>
      <w:pPr>
        <w:spacing w:after="0" w:line="16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have also agreed, among other things, to indemnify the selling stockholders and their officers, directors, members, employees and agents, successors and assigns under the registration statement from certain liabilities and to pay all fees and expenses (excluding any legal fees of the selling holder(s), and any underwriting discounts and selling commissions) incident to our obligations under the Registration Rights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w:t>
      </w:r>
    </w:p>
    <w:p>
      <w:pPr>
        <w:spacing w:after="0" w:line="225"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Warrant is exercisable at any time on or after June 27, 2017 and entitles the selling stockholder to purchase shares of our common stock until June 27, 2022 at a price per share equal to $17.71 per share, subject to certain adjustments.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selling stockholders and any of their pledgees, donees, transferees, assignees or other successors-in-interest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The selling stockholders may use one or more of the following methods when disposing of the shares or interests therein:</w:t>
      </w:r>
    </w:p>
    <w:p>
      <w:pPr>
        <w:spacing w:after="0" w:line="188"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brokers, dealers or underwriters that may act solely as agents;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980" w:right="36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entered into after the effective date of the registration statement of which this prospectus is a part, whether through an options exchange or otherwise;</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combination of any such methods of disposition;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selling stockholders may also sell shares under Rule 144 or Rule 904 under the Securities Act of 1933, as amended, or Securities Act, if available, or Section 4(a)(1) under the Securities Act, rather than under this prospectus.</w:t>
      </w:r>
    </w:p>
    <w:p>
      <w:pPr>
        <w:spacing w:after="0" w:line="170"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Broker-dealers engaged by the selling stockholders may arrange for other broker-dealers to participate in sales. Broker-dealers may receive commissions or discounts from the selling stockholders (or, if any broker-dealer acts as agent for the purchaser of shares, from the purchaser) in amounts to be negotiated. The selling stockholders do not expect these commissions and discounts to exceed what is customary in the types of transactions involved.</w:t>
      </w:r>
    </w:p>
    <w:p>
      <w:pPr>
        <w:spacing w:after="0" w:line="14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shares of common stock from time to time under this prospectus, or under a supplement or amendment to this prospectus under Rule 424(b)(3) or other applicable provision of the Securities Act amending the list of selling stockholders to include the pledgee, transferee or other successors in interest as selling stockholders under this prospectus.</w:t>
      </w:r>
    </w:p>
    <w:p>
      <w:pPr>
        <w:spacing w:after="0" w:line="154"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Upon being notified in writing by a selling stockholder that any material arrangement has been entered into with a broker-dealer for the sale of common stock through a block trade, special offering, exchange distribution or secondary distribution or a purchase by a broker or dealer, we will file a</w:t>
      </w:r>
    </w:p>
    <w:p>
      <w:pPr>
        <w:sectPr>
          <w:pgSz w:w="11900" w:h="16908" w:orient="portrait"/>
          <w:cols w:equalWidth="0" w:num="1">
            <w:col w:w="11400"/>
          </w:cols>
          <w:pgMar w:left="240" w:top="125" w:right="259" w:bottom="0" w:gutter="0" w:footer="0" w:header="0"/>
        </w:sectPr>
      </w:pPr>
    </w:p>
    <w:bookmarkStart w:id="6" w:name="page7"/>
    <w:bookmarkEnd w:id="6"/>
    <w:p>
      <w:pPr>
        <w:spacing w:after="0" w:line="7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supplement to this prospectus, if required, pursuant to Rule 424(b) under the Securities Act, disclosing (i) the name of each such selling stockholder and of the participating broker-dealer(s), (ii) the number of shares involved, (iii) the price at which such shares of common stock were sold, (iv) the commissions paid or discounts or concessions allowed to such broker-dealer(s), where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applicable, (v) that such broker-dealer(s) did not conduct any investigation to verify the information set out or incorporated by reference in this prospectus, and (vi) other facts material to the transaction. In addition, upon being notified in writing by a selling stockholder that a donee or pledge intends to sell more than 500 shares of common stock, we will file a supplement to this prospectus if then required in accordance with applicable securities law.</w:t>
      </w:r>
    </w:p>
    <w:p>
      <w:pPr>
        <w:spacing w:after="0" w:line="147" w:lineRule="exact"/>
        <w:rPr>
          <w:sz w:val="20"/>
          <w:szCs w:val="20"/>
          <w:color w:val="auto"/>
        </w:rPr>
      </w:pPr>
    </w:p>
    <w:p>
      <w:pPr>
        <w:ind w:right="760" w:firstLine="648"/>
        <w:spacing w:after="0" w:line="27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7"/>
          <w:szCs w:val="17"/>
          <w:color w:val="auto"/>
        </w:rPr>
        <w:t>selling stockholders also may transfer the shares of common stock in other circumstances, in which case the transferees, pledgees or other</w:t>
      </w:r>
      <w:r>
        <w:rPr>
          <w:rFonts w:ascii="Arial" w:cs="Arial" w:eastAsia="Arial" w:hAnsi="Arial"/>
          <w:sz w:val="18"/>
          <w:szCs w:val="18"/>
          <w:color w:val="auto"/>
        </w:rPr>
        <w:t xml:space="preserve"> </w:t>
      </w:r>
      <w:r>
        <w:rPr>
          <w:rFonts w:ascii="Arial" w:cs="Arial" w:eastAsia="Arial" w:hAnsi="Arial"/>
          <w:sz w:val="17"/>
          <w:szCs w:val="17"/>
          <w:color w:val="auto"/>
        </w:rPr>
        <w:t>successors in interest will be the selling beneficial owners for purposes of this prospectus.</w:t>
      </w:r>
    </w:p>
    <w:p>
      <w:pPr>
        <w:spacing w:after="0" w:line="174"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In connection with the sale of the shares of common stock or interests in shares of common stock, the selling stockholders may enter into hedging transactions after the effective date of the registration statement of which this prospectus is a part with broker-dealers or other financial institutions, which may in turn engage in short sales of the common stock in the course of hedging the positions they assume. The selling stockholders may also sell shares of common stock short after the effective date of the registration statement of which this prospectus is a part and deliver these securities to close out their short positions, or loan or pledge the common stock to broker-dealers that in turn may sell these securities. The selling stockholders may also enter into option or other transactions after the effective date of the registration statement of which this prospectus is a part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2"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The selling stockholders, including Dr. Springer,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 The maximum commission or discount to be received by any member of the Financial Industry Regulatory Authority (FINRA) or independent broker-dealer will not be greater than 8% of the initial gross proceeds from the sale of any security being sold.</w:t>
      </w:r>
    </w:p>
    <w:p>
      <w:pPr>
        <w:spacing w:after="0" w:line="173"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We have advised the selling stockholders that they are required to comply with Regulation M promulgated under the Securities Exchange Act of 1934, as amended, during such time as they may be engaged in a distribution of the shares. The foregoing may affect the marketability of the common stock.</w:t>
      </w:r>
    </w:p>
    <w:p>
      <w:pPr>
        <w:spacing w:after="0" w:line="124" w:lineRule="exact"/>
        <w:rPr>
          <w:sz w:val="20"/>
          <w:szCs w:val="20"/>
          <w:color w:val="auto"/>
        </w:rPr>
      </w:pPr>
    </w:p>
    <w:p>
      <w:pPr>
        <w:jc w:val="both"/>
        <w:ind w:right="180" w:firstLine="648"/>
        <w:spacing w:after="0" w:line="328"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5"/>
          <w:szCs w:val="15"/>
          <w:color w:val="auto"/>
        </w:rPr>
        <w:t>aggregate proceeds to the selling stockholders from the sale of the common stock offered by them will be the purchase price of the common stock</w:t>
      </w:r>
      <w:r>
        <w:rPr>
          <w:rFonts w:ascii="Arial" w:cs="Arial" w:eastAsia="Arial" w:hAnsi="Arial"/>
          <w:sz w:val="16"/>
          <w:szCs w:val="16"/>
          <w:color w:val="auto"/>
        </w:rPr>
        <w:t xml:space="preserve"> </w:t>
      </w:r>
      <w:r>
        <w:rPr>
          <w:rFonts w:ascii="Arial" w:cs="Arial" w:eastAsia="Arial" w:hAnsi="Arial"/>
          <w:sz w:val="15"/>
          <w:szCs w:val="15"/>
          <w:color w:val="auto"/>
        </w:rPr>
        <w:t>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4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are required to pay all fees and expenses incident to the registration of the shares. We have agreed to indemnify the selling stockholders against certain losses, claims, damages and liabilities, including liabilities under the Securities Act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agreed with the selling stockholders to keep the registration statement of which this prospectus constitutes a part effective until the earlier of</w:t>
      </w:r>
    </w:p>
    <w:p>
      <w:pPr>
        <w:spacing w:after="0" w:line="46" w:lineRule="exact"/>
        <w:rPr>
          <w:sz w:val="20"/>
          <w:szCs w:val="20"/>
          <w:color w:val="auto"/>
        </w:rPr>
      </w:pPr>
    </w:p>
    <w:p>
      <w:pPr>
        <w:ind w:right="20" w:firstLine="8"/>
        <w:spacing w:after="0" w:line="273" w:lineRule="auto"/>
        <w:tabs>
          <w:tab w:leader="none" w:pos="245" w:val="left"/>
        </w:tabs>
        <w:numPr>
          <w:ilvl w:val="0"/>
          <w:numId w:val="6"/>
        </w:numPr>
        <w:rPr>
          <w:rFonts w:ascii="Arial" w:cs="Arial" w:eastAsia="Arial" w:hAnsi="Arial"/>
          <w:sz w:val="17"/>
          <w:szCs w:val="17"/>
          <w:color w:val="auto"/>
        </w:rPr>
      </w:pPr>
      <w:r>
        <w:rPr>
          <w:rFonts w:ascii="Arial" w:cs="Arial" w:eastAsia="Arial" w:hAnsi="Arial"/>
          <w:sz w:val="17"/>
          <w:szCs w:val="17"/>
          <w:color w:val="auto"/>
        </w:rPr>
        <w:t>such time as all of the shares registered for resale hereunder have been disposed of pursuant to and in accordance with the registration statement, (b) such time as all of the shares registered for resale hereunder have been previously sold or transferred in accordance with Rule 144 of the Securities Act, (c) the date on which the shares of common stock registered for resale hereunder may be sold or transferred by non-affiliates without any volume or manner-of-sale restrictions and without current public information limitations pursuant to Rule 144 of the Securities Act, and (d) June 27, 2020.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VALIDITY OF THE COMMON STOCK</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The validity of the common stock being offered by this prospectus has been passed upon for us by Latham &amp; Watkins LLP, Boston, Massachusetts.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The consolidated financial statements of Selecta Biosciences, Inc. incorporated by reference in Selecta Biosciences, Inc.’s Annual Report on Form 10-K for the year ended </w:t>
      </w:r>
      <w:r>
        <w:rPr>
          <w:rFonts w:ascii="Arial" w:cs="Arial" w:eastAsia="Arial" w:hAnsi="Arial"/>
          <w:sz w:val="16"/>
          <w:szCs w:val="16"/>
          <w:color w:val="auto"/>
        </w:rPr>
        <w:t>December 31, 2016,</w:t>
      </w:r>
      <w:r>
        <w:rPr>
          <w:rFonts w:ascii="Arial" w:cs="Arial" w:eastAsia="Arial" w:hAnsi="Arial"/>
          <w:sz w:val="17"/>
          <w:szCs w:val="17"/>
          <w:color w:val="auto"/>
        </w:rPr>
        <w:t xml:space="preserve"> have been audited by Ernst &amp; Young LLP, independent registered public accounting firm, as set forth in their report thereon incorporated by reference therein, and incorporated herein by reference. Such consolidated financial statements are incorporated herein by reference in reliance upon such report given on the authority of such firm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You may read and copy these reports, proxy statements and other information at the SEC’s public reference room at 100 F Street, N.E., Washington, D.C. 20549. Please call the SEC at 1-800-SEC-0330 for more information about the operation of the Public Reference Room. You can request copies of these documents by writing to the SEC and paying a fee for the copying costs. Our SEC filings are also available at the SEC’s website at www.sec.gov. In addition, we maintain a website that contains information about us at </w:t>
      </w:r>
      <w:r>
        <w:rPr>
          <w:rFonts w:ascii="Arial" w:cs="Arial" w:eastAsia="Arial" w:hAnsi="Arial"/>
          <w:sz w:val="17"/>
          <w:szCs w:val="17"/>
          <w:i w:val="1"/>
          <w:iCs w:val="1"/>
          <w:color w:val="auto"/>
        </w:rPr>
        <w:t>www.selectabio.com</w:t>
      </w:r>
      <w:r>
        <w:rPr>
          <w:rFonts w:ascii="Arial" w:cs="Arial" w:eastAsia="Arial" w:hAnsi="Arial"/>
          <w:sz w:val="17"/>
          <w:szCs w:val="17"/>
          <w:color w:val="auto"/>
        </w:rPr>
        <w:t>. The information found on, or otherwise accessible through, our website is not incorporated into, and does not form a part of, this prospectus or any other report or document we file with or furnish to the SEC.</w:t>
      </w:r>
    </w:p>
    <w:p>
      <w:pPr>
        <w:spacing w:after="0" w:line="178"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This prospectus is part of a registration statement that we filed with the SEC. The registration statement contains more information than this prospectus regarding us and our common stock, including certain exhibits and schedules.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or incorporated by reference in, the registration statement. You can obtain a copy of the registration statement from the SEC at the address listed above or from the SEC’s website.</w:t>
      </w:r>
    </w:p>
    <w:p>
      <w:pPr>
        <w:sectPr>
          <w:pgSz w:w="11900" w:h="16911" w:orient="portrait"/>
          <w:cols w:equalWidth="0" w:num="1">
            <w:col w:w="11420"/>
          </w:cols>
          <w:pgMar w:left="240" w:top="125" w:right="239" w:bottom="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The SEC allows us to “incorporate” into this prospectus information that we file with the SEC in other documents. This means that we can disclose important information to you by referring to other documents that contain that information. The information incorporated by reference is considered to be part of this prospectus. We incorporate by reference the documents listed below and any future filings we make with the SEC under Sections 13(a), 13(c), 14 or 15(d) of the Securities Exchange Act of 1934 (other than portions of these documents deemed to be “furnished” or not deemed to be “filed,” including the portions of these documents that are either (1) described in paragraphs (d)(1), (d)(2), (d)(3) or (e)(5) of Item 407 of Regulation S-K promulgated by the SEC or (2) furnished under Item 2.02 or Item 7.01 of a Current Report on Form 8-K, including any exhibits included with such Items) after the date of this prospectus and prior to the sale of all the shares covered by this prospectus, including all such documents we may file with the SEC after the date hereof and prior to the effectiveness of the registration statement.</w:t>
      </w:r>
    </w:p>
    <w:p>
      <w:pPr>
        <w:spacing w:after="0" w:line="179"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170"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2016, filed with the SEC on March 28, 2017;</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2017, filed with the SEC on May 11, 2017;</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with the SEC on April 25, 2017;</w:t>
      </w:r>
    </w:p>
    <w:p>
      <w:pPr>
        <w:spacing w:after="0" w:line="225" w:lineRule="exact"/>
        <w:rPr>
          <w:rFonts w:ascii="Arial" w:cs="Arial" w:eastAsia="Arial" w:hAnsi="Arial"/>
          <w:sz w:val="18"/>
          <w:szCs w:val="18"/>
          <w:color w:val="auto"/>
        </w:rPr>
      </w:pPr>
    </w:p>
    <w:p>
      <w:pPr>
        <w:ind w:left="980" w:right="60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Current Reports on Form 8-K and Amended Current Reports on Form 8-K/A filed with the SEC on February 14, 2017, May 2, 2017, June 15, 2017, June 20, 2017, June 21, 2017 and June 28, 2017; and</w:t>
      </w:r>
    </w:p>
    <w:p>
      <w:pPr>
        <w:spacing w:after="0" w:line="170" w:lineRule="exact"/>
        <w:rPr>
          <w:rFonts w:ascii="Arial" w:cs="Arial" w:eastAsia="Arial" w:hAnsi="Arial"/>
          <w:sz w:val="18"/>
          <w:szCs w:val="18"/>
          <w:color w:val="auto"/>
        </w:rPr>
      </w:pPr>
    </w:p>
    <w:p>
      <w:pPr>
        <w:ind w:left="980" w:right="58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June 8, 2016, and any amendment or report filed with the SEC for the purpose of updating the description.</w:t>
      </w:r>
    </w:p>
    <w:p>
      <w:pPr>
        <w:spacing w:after="0" w:line="170"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 xml:space="preserve">These documents may also be accessed on our website at </w:t>
      </w:r>
      <w:r>
        <w:rPr>
          <w:rFonts w:ascii="Arial" w:cs="Arial" w:eastAsia="Arial" w:hAnsi="Arial"/>
          <w:sz w:val="18"/>
          <w:szCs w:val="18"/>
          <w:i w:val="1"/>
          <w:iCs w:val="1"/>
          <w:color w:val="auto"/>
        </w:rPr>
        <w:t>www.selectabio.com</w:t>
      </w:r>
      <w:r>
        <w:rPr>
          <w:rFonts w:ascii="Arial" w:cs="Arial" w:eastAsia="Arial" w:hAnsi="Arial"/>
          <w:sz w:val="18"/>
          <w:szCs w:val="18"/>
          <w:color w:val="auto"/>
        </w:rPr>
        <w:t>. Except as otherwise specifically incorporated by reference in this prospectus, information contained in, or accessible through, our website is not a part of this prospectus.</w:t>
      </w:r>
    </w:p>
    <w:p>
      <w:pPr>
        <w:spacing w:after="0" w:line="170"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71"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480 Arsenal Way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(617) 923-1400</w:t>
      </w:r>
    </w:p>
    <w:p>
      <w:pPr>
        <w:spacing w:after="0" w:line="211"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and any accompanying prospectus supplement.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is an estimate of the expenses (all of which are to be paid by the registrant) that we may incur in connection with the securities being registered hereby, other than the Securities and Exchange Commission registration fee.</w:t>
      </w:r>
    </w:p>
    <w:p>
      <w:pPr>
        <w:spacing w:after="0" w:line="185"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7,035</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Printing and miscellaneous expenses</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0"/>
        </w:trPr>
        <w:tc>
          <w:tcPr>
            <w:tcW w:w="53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ind w:right="80" w:firstLine="486"/>
        <w:spacing w:after="0" w:line="297" w:lineRule="auto"/>
        <w:rPr>
          <w:sz w:val="20"/>
          <w:szCs w:val="20"/>
          <w:color w:val="auto"/>
        </w:rPr>
      </w:pPr>
      <w:r>
        <w:rPr>
          <w:rFonts w:ascii="Arial" w:cs="Arial" w:eastAsia="Arial" w:hAnsi="Arial"/>
          <w:sz w:val="16"/>
          <w:szCs w:val="16"/>
          <w:color w:val="auto"/>
        </w:rPr>
        <w:t>Subsection (a) of Section 145 of the General Corporation Law of the State of Delaware, or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w:t>
      </w:r>
    </w:p>
    <w:p>
      <w:pPr>
        <w:sectPr>
          <w:pgSz w:w="11900" w:h="16838" w:orient="portrait"/>
          <w:cols w:equalWidth="0" w:num="1">
            <w:col w:w="11400"/>
          </w:cols>
          <w:pgMar w:left="240" w:top="341" w:right="259" w:bottom="0" w:gutter="0" w:footer="0" w:header="0"/>
        </w:sectPr>
      </w:pPr>
    </w:p>
    <w:bookmarkStart w:id="8" w:name="page9"/>
    <w:bookmarkEnd w:id="8"/>
    <w:p>
      <w:pPr>
        <w:jc w:val="both"/>
        <w:ind w:right="60"/>
        <w:spacing w:after="0" w:line="264" w:lineRule="auto"/>
        <w:rPr>
          <w:sz w:val="20"/>
          <w:szCs w:val="20"/>
          <w:color w:val="auto"/>
        </w:rPr>
      </w:pPr>
      <w:r>
        <w:rPr>
          <w:rFonts w:ascii="Arial" w:cs="Arial" w:eastAsia="Arial" w:hAnsi="Arial"/>
          <w:sz w:val="18"/>
          <w:szCs w:val="18"/>
          <w:color w:val="auto"/>
        </w:rPr>
        <w:t>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81"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6"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188"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Our restated certificate of incorporation provides that to the fullest extent permitted by the DGCL, none of our directors shall be liable to our company or our stockholders for monetary damages arising from a breach of fiduciary duty owed to our company or our stockholders. In addition, our amended and restated bylaws provide that we must indemnify our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this section or otherwise.</w:t>
      </w:r>
    </w:p>
    <w:p>
      <w:pPr>
        <w:spacing w:after="0" w:line="158" w:lineRule="exact"/>
        <w:rPr>
          <w:sz w:val="20"/>
          <w:szCs w:val="20"/>
          <w:color w:val="auto"/>
        </w:rPr>
      </w:pPr>
    </w:p>
    <w:p>
      <w:pPr>
        <w:ind w:firstLine="492"/>
        <w:spacing w:after="0" w:line="264" w:lineRule="auto"/>
        <w:rPr>
          <w:sz w:val="20"/>
          <w:szCs w:val="20"/>
          <w:color w:val="auto"/>
        </w:rPr>
      </w:pPr>
      <w:r>
        <w:rPr>
          <w:rFonts w:ascii="Arial" w:cs="Arial" w:eastAsia="Arial" w:hAnsi="Arial"/>
          <w:sz w:val="18"/>
          <w:szCs w:val="18"/>
          <w:color w:val="auto"/>
        </w:rPr>
        <w:t>We have entered into indemnification agreements with each of our directors and executive officers in which we have agreed to indemnify, defend and hold harmless, and also advance expenses as incurred, to the fullest extent permitted under applicable law, from damage arising from the fact that such person is or was an officer or director of our company or our subsidiaries.</w:t>
      </w:r>
    </w:p>
    <w:p>
      <w:pPr>
        <w:spacing w:after="0" w:line="181" w:lineRule="exact"/>
        <w:rPr>
          <w:sz w:val="20"/>
          <w:szCs w:val="20"/>
          <w:color w:val="auto"/>
        </w:rPr>
      </w:pPr>
    </w:p>
    <w:p>
      <w:pPr>
        <w:jc w:val="both"/>
        <w:ind w:right="160" w:firstLine="492"/>
        <w:spacing w:after="0" w:line="264"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our restated certificate of incorporation, our amended and restated bylaws, any agreement, any vote of stockholders or disinterested directors or otherwise.</w:t>
      </w:r>
    </w:p>
    <w:p>
      <w:pPr>
        <w:spacing w:after="0" w:line="181"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We expect to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24" w:lineRule="exact"/>
        <w:rPr>
          <w:sz w:val="20"/>
          <w:szCs w:val="20"/>
          <w:color w:val="auto"/>
        </w:rPr>
      </w:pPr>
    </w:p>
    <w:p>
      <w:pPr>
        <w:jc w:val="both"/>
        <w:ind w:right="220" w:firstLine="441"/>
        <w:spacing w:after="0" w:line="264" w:lineRule="auto"/>
        <w:rPr>
          <w:sz w:val="20"/>
          <w:szCs w:val="20"/>
          <w:color w:val="auto"/>
        </w:rPr>
      </w:pPr>
      <w:r>
        <w:rPr>
          <w:rFonts w:ascii="Arial" w:cs="Arial" w:eastAsia="Arial" w:hAnsi="Arial"/>
          <w:sz w:val="18"/>
          <w:szCs w:val="18"/>
          <w:color w:val="auto"/>
        </w:rPr>
        <w:t>We have purchased and intend to maintain insurance on behalf of Selecta Biosciences and any person who is or was a director or officer against any loss arising from any claim asserted against him or her and incurred by him or her in that capacity, subject to certain exclusions and limits of the amount of coverage.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 list of exhibits filed with this registration statement on Form S-3 is set forth on the exhibit index, which appears elsewhere herein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9"/>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2160" w:hanging="207"/>
        <w:spacing w:after="0"/>
        <w:tabs>
          <w:tab w:leader="none" w:pos="2160" w:val="left"/>
        </w:tabs>
        <w:numPr>
          <w:ilvl w:val="2"/>
          <w:numId w:val="9"/>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 as amended, or the Securities Act;</w:t>
      </w:r>
    </w:p>
    <w:p>
      <w:pPr>
        <w:spacing w:after="0" w:line="236" w:lineRule="exact"/>
        <w:rPr>
          <w:rFonts w:ascii="Arial" w:cs="Arial" w:eastAsia="Arial" w:hAnsi="Arial"/>
          <w:sz w:val="17"/>
          <w:szCs w:val="17"/>
          <w:color w:val="auto"/>
        </w:rPr>
      </w:pPr>
    </w:p>
    <w:p>
      <w:pPr>
        <w:jc w:val="both"/>
        <w:ind w:left="1300" w:right="160" w:firstLine="653"/>
        <w:spacing w:after="0" w:line="259" w:lineRule="auto"/>
        <w:tabs>
          <w:tab w:leader="none" w:pos="2210" w:val="left"/>
        </w:tabs>
        <w:numPr>
          <w:ilvl w:val="2"/>
          <w:numId w:val="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w:t>
      </w:r>
    </w:p>
    <w:p>
      <w:pPr>
        <w:sectPr>
          <w:pgSz w:w="11900" w:h="16838" w:orient="portrait"/>
          <w:cols w:equalWidth="0" w:num="1">
            <w:col w:w="11380"/>
          </w:cols>
          <w:pgMar w:left="240" w:top="125" w:right="279" w:bottom="0"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80"/>
          </w:cols>
          <w:pgMar w:left="240" w:top="125" w:right="279" w:bottom="0" w:gutter="0" w:footer="0" w:header="0"/>
          <w:type w:val="continuous"/>
        </w:sectPr>
      </w:pPr>
    </w:p>
    <w:bookmarkStart w:id="9" w:name="page10"/>
    <w:bookmarkEnd w:id="9"/>
    <w:p>
      <w:pPr>
        <w:ind w:left="130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7" w:lineRule="exact"/>
        <w:rPr>
          <w:sz w:val="20"/>
          <w:szCs w:val="20"/>
          <w:color w:val="auto"/>
        </w:rPr>
      </w:pPr>
    </w:p>
    <w:p>
      <w:pPr>
        <w:ind w:left="1300" w:right="660" w:firstLine="653"/>
        <w:spacing w:after="0" w:line="277" w:lineRule="auto"/>
        <w:tabs>
          <w:tab w:leader="none" w:pos="2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660" w:right="80"/>
        <w:spacing w:after="0" w:line="302"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paragraphs (a)(1)(i), (a)(1)(ii) and (a)(1)(iii) above do not apply if the information required to be included in a post-effective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by those paragraphs is contained in reports filed with or furnished to the Commission by the registrant pursuant to Section 13 or Section 15(d) of the Securities Exchange Act of 1934, as amended, or the Securities Exchange Act, that are incorporated by reference in this registration statement, or is contained in a form of prospectus filed pursuant to Rule 424(b) that is a part of the registration statement.</w:t>
      </w:r>
    </w:p>
    <w:p>
      <w:pPr>
        <w:spacing w:after="0" w:line="154" w:lineRule="exact"/>
        <w:rPr>
          <w:sz w:val="20"/>
          <w:szCs w:val="20"/>
          <w:color w:val="auto"/>
        </w:rPr>
      </w:pPr>
    </w:p>
    <w:p>
      <w:pPr>
        <w:ind w:left="660" w:right="120" w:firstLine="645"/>
        <w:spacing w:after="0" w:line="264" w:lineRule="auto"/>
        <w:tabs>
          <w:tab w:leader="none" w:pos="1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60" w:right="180" w:firstLine="645"/>
        <w:spacing w:after="0" w:line="277" w:lineRule="auto"/>
        <w:tabs>
          <w:tab w:leader="none" w:pos="1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left="1560" w:hanging="255"/>
        <w:spacing w:after="0"/>
        <w:tabs>
          <w:tab w:leader="none" w:pos="15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1140" w:right="60" w:firstLine="813"/>
        <w:spacing w:after="0" w:line="277" w:lineRule="auto"/>
        <w:tabs>
          <w:tab w:leader="none" w:pos="2245" w:val="left"/>
        </w:tabs>
        <w:numPr>
          <w:ilvl w:val="2"/>
          <w:numId w:val="1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1140" w:right="80" w:firstLine="813"/>
        <w:spacing w:after="0" w:line="287" w:lineRule="auto"/>
        <w:tabs>
          <w:tab w:leader="none" w:pos="2235" w:val="left"/>
        </w:tabs>
        <w:numPr>
          <w:ilvl w:val="2"/>
          <w:numId w:val="12"/>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r>
        <w:rPr>
          <w:rFonts w:ascii="Arial" w:cs="Arial" w:eastAsia="Arial" w:hAnsi="Arial"/>
          <w:sz w:val="15"/>
          <w:szCs w:val="15"/>
          <w:color w:val="auto"/>
        </w:rPr>
        <w:t>.</w:t>
      </w:r>
    </w:p>
    <w:p>
      <w:pPr>
        <w:spacing w:after="0" w:line="172" w:lineRule="exact"/>
        <w:rPr>
          <w:rFonts w:ascii="Arial" w:cs="Arial" w:eastAsia="Arial" w:hAnsi="Arial"/>
          <w:sz w:val="16"/>
          <w:szCs w:val="16"/>
          <w:color w:val="auto"/>
        </w:rPr>
      </w:pPr>
    </w:p>
    <w:p>
      <w:pPr>
        <w:ind w:left="1400" w:hanging="258"/>
        <w:spacing w:after="0"/>
        <w:tabs>
          <w:tab w:leader="none" w:pos="14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to any purchaser in the initial distribution of</w:t>
      </w:r>
    </w:p>
    <w:p>
      <w:pPr>
        <w:spacing w:after="0" w:line="34"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211" w:lineRule="exact"/>
        <w:rPr>
          <w:sz w:val="20"/>
          <w:szCs w:val="20"/>
          <w:color w:val="auto"/>
        </w:rPr>
      </w:pPr>
    </w:p>
    <w:p>
      <w:pPr>
        <w:ind w:right="40" w:firstLine="492"/>
        <w:spacing w:after="0" w:line="312"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20" w:hanging="210"/>
        <w:spacing w:after="0"/>
        <w:tabs>
          <w:tab w:leader="none" w:pos="19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w:t>
      </w:r>
    </w:p>
    <w:p>
      <w:pPr>
        <w:spacing w:after="0" w:line="34" w:lineRule="exact"/>
        <w:rPr>
          <w:rFonts w:ascii="Arial" w:cs="Arial" w:eastAsia="Arial" w:hAnsi="Arial"/>
          <w:sz w:val="17"/>
          <w:szCs w:val="17"/>
          <w:color w:val="auto"/>
        </w:rPr>
      </w:pPr>
    </w:p>
    <w:p>
      <w:pPr>
        <w:ind w:left="1140"/>
        <w:spacing w:after="0"/>
        <w:rPr>
          <w:rFonts w:ascii="Arial" w:cs="Arial" w:eastAsia="Arial" w:hAnsi="Arial"/>
          <w:sz w:val="17"/>
          <w:szCs w:val="17"/>
          <w:color w:val="auto"/>
        </w:rPr>
      </w:pPr>
      <w:r>
        <w:rPr>
          <w:rFonts w:ascii="Arial" w:cs="Arial" w:eastAsia="Arial" w:hAnsi="Arial"/>
          <w:sz w:val="18"/>
          <w:szCs w:val="18"/>
          <w:color w:val="auto"/>
        </w:rPr>
        <w:t>Rule 424;</w:t>
      </w:r>
    </w:p>
    <w:p>
      <w:pPr>
        <w:spacing w:after="0" w:line="210" w:lineRule="exact"/>
        <w:rPr>
          <w:rFonts w:ascii="Arial" w:cs="Arial" w:eastAsia="Arial" w:hAnsi="Arial"/>
          <w:sz w:val="17"/>
          <w:szCs w:val="17"/>
          <w:color w:val="auto"/>
        </w:rPr>
      </w:pPr>
    </w:p>
    <w:p>
      <w:pPr>
        <w:ind w:left="1140" w:right="60" w:firstLine="570"/>
        <w:spacing w:after="0" w:line="277" w:lineRule="auto"/>
        <w:tabs>
          <w:tab w:leader="none" w:pos="1962"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140" w:right="300" w:firstLine="570"/>
        <w:spacing w:after="0" w:line="277" w:lineRule="auto"/>
        <w:tabs>
          <w:tab w:leader="none" w:pos="2019"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2000" w:hanging="290"/>
        <w:spacing w:after="0"/>
        <w:tabs>
          <w:tab w:leader="none" w:pos="2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right="40" w:firstLine="656"/>
        <w:spacing w:after="0" w:line="25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(and, where applicable, each filing of an employee benefit plan’s annual report pursuant to section 15(d) of the Securities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188" w:lineRule="exact"/>
        <w:rPr>
          <w:sz w:val="20"/>
          <w:szCs w:val="20"/>
          <w:color w:val="auto"/>
        </w:rPr>
      </w:pPr>
    </w:p>
    <w:p>
      <w:pPr>
        <w:ind w:firstLine="656"/>
        <w:spacing w:after="0" w:line="254" w:lineRule="auto"/>
        <w:tabs>
          <w:tab w:leader="none" w:pos="903"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420"/>
          </w:cols>
          <w:pgMar w:left="240" w:top="733" w:right="239" w:bottom="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492"/>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Watertown, Massachusetts, on the 12th day of July, 2017.</w:t>
      </w:r>
    </w:p>
    <w:p>
      <w:pPr>
        <w:spacing w:after="0" w:line="17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Selecta Biosciences, Inc.</w:t>
      </w:r>
    </w:p>
    <w:p>
      <w:pPr>
        <w:spacing w:after="0" w:line="229" w:lineRule="exact"/>
        <w:rPr>
          <w:sz w:val="20"/>
          <w:szCs w:val="20"/>
          <w:color w:val="auto"/>
        </w:rPr>
      </w:pPr>
    </w:p>
    <w:p>
      <w:pPr>
        <w:ind w:left="6600"/>
        <w:spacing w:after="0"/>
        <w:tabs>
          <w:tab w:leader="none" w:pos="8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Werner Cautreels, Ph.D.</w:t>
      </w:r>
    </w:p>
    <w:p>
      <w:pPr>
        <w:spacing w:after="0" w:line="23" w:lineRule="exact"/>
        <w:rPr>
          <w:sz w:val="20"/>
          <w:szCs w:val="20"/>
          <w:color w:val="auto"/>
        </w:rPr>
      </w:pPr>
    </w:p>
    <w:p>
      <w:pPr>
        <w:jc w:val="center"/>
        <w:ind w:left="7100"/>
        <w:spacing w:after="0"/>
        <w:rPr>
          <w:sz w:val="20"/>
          <w:szCs w:val="20"/>
          <w:color w:val="auto"/>
        </w:rPr>
      </w:pPr>
      <w:r>
        <w:rPr>
          <w:rFonts w:ascii="Arial" w:cs="Arial" w:eastAsia="Arial" w:hAnsi="Arial"/>
          <w:sz w:val="18"/>
          <w:szCs w:val="18"/>
          <w:b w:val="1"/>
          <w:bCs w:val="1"/>
          <w:color w:val="auto"/>
        </w:rPr>
        <w:t>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-130810</wp:posOffset>
            </wp:positionV>
            <wp:extent cx="2744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jc w:val="center"/>
        <w:ind w:left="71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Werner Cautreels, Ph.D. and David Siewers, or either of them, as his or her true and lawful attorneys-in-fact and agents, with full power of substitution and resubstitution, for him or her and in his or her name, place and stead, in any and all capacities, to file and sign any and all amendments, including post-effective amendments and any registration statement for the same offering that is to be effective under Rule 462(b) of the Securities Act,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79"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on behalf of the registrant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tcPr>
          <w:p>
            <w:pPr>
              <w:jc w:val="center"/>
              <w:ind w:right="631"/>
              <w:spacing w:after="0"/>
              <w:rPr>
                <w:sz w:val="20"/>
                <w:szCs w:val="20"/>
                <w:color w:val="auto"/>
              </w:rPr>
            </w:pPr>
            <w:r>
              <w:rPr>
                <w:rFonts w:ascii="Arial" w:cs="Arial" w:eastAsia="Arial" w:hAnsi="Arial"/>
                <w:sz w:val="14"/>
                <w:szCs w:val="14"/>
                <w:b w:val="1"/>
                <w:bCs w:val="1"/>
                <w:color w:val="auto"/>
              </w:rPr>
              <w:t>SIGNATURE</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vMerge w:val="restart"/>
          </w:tcPr>
          <w:p>
            <w:pPr>
              <w:jc w:val="center"/>
              <w:ind w:right="631"/>
              <w:spacing w:after="0"/>
              <w:rPr>
                <w:sz w:val="20"/>
                <w:szCs w:val="20"/>
                <w:color w:val="auto"/>
              </w:rPr>
            </w:pPr>
            <w:r>
              <w:rPr>
                <w:rFonts w:ascii="Arial" w:cs="Arial" w:eastAsia="Arial" w:hAnsi="Arial"/>
                <w:sz w:val="18"/>
                <w:szCs w:val="18"/>
                <w:color w:val="auto"/>
                <w:w w:val="89"/>
              </w:rPr>
              <w:t>/s/ Werner Cautreels, Ph.D.</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President, Chief Executive Officer and Chairman</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July 12,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1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vMerge w:val="continue"/>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88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1"/>
              </w:rPr>
              <w:t>of the Board</w:t>
            </w:r>
          </w:p>
        </w:tc>
        <w:tc>
          <w:tcPr>
            <w:tcW w:w="22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760" w:type="dxa"/>
            <w:vAlign w:val="bottom"/>
            <w:vMerge w:val="restart"/>
          </w:tcPr>
          <w:p>
            <w:pPr>
              <w:jc w:val="center"/>
              <w:ind w:right="631"/>
              <w:spacing w:after="0"/>
              <w:rPr>
                <w:sz w:val="20"/>
                <w:szCs w:val="20"/>
                <w:color w:val="auto"/>
              </w:rPr>
            </w:pPr>
            <w:r>
              <w:rPr>
                <w:rFonts w:ascii="Arial" w:cs="Arial" w:eastAsia="Arial" w:hAnsi="Arial"/>
                <w:sz w:val="18"/>
                <w:szCs w:val="18"/>
                <w:b w:val="1"/>
                <w:bCs w:val="1"/>
                <w:color w:val="auto"/>
                <w:w w:val="91"/>
              </w:rPr>
              <w:t>Werner Cautreels, Ph.D.</w:t>
            </w: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80" w:type="dxa"/>
            <w:vAlign w:val="bottom"/>
            <w:gridSpan w:val="2"/>
            <w:vMerge w:val="continue"/>
          </w:tcPr>
          <w:p>
            <w:pPr>
              <w:spacing w:after="0"/>
              <w:rPr>
                <w:sz w:val="7"/>
                <w:szCs w:val="7"/>
                <w:color w:val="auto"/>
              </w:rPr>
            </w:pPr>
          </w:p>
        </w:tc>
        <w:tc>
          <w:tcPr>
            <w:tcW w:w="22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80" w:type="dxa"/>
            <w:vAlign w:val="bottom"/>
            <w:gridSpan w:val="2"/>
            <w:vMerge w:val="restart"/>
          </w:tcPr>
          <w:p>
            <w:pPr>
              <w:jc w:val="center"/>
              <w:ind w:right="220"/>
              <w:spacing w:after="0"/>
              <w:rPr>
                <w:sz w:val="20"/>
                <w:szCs w:val="20"/>
                <w:color w:val="auto"/>
              </w:rPr>
            </w:pPr>
            <w:r>
              <w:rPr>
                <w:rFonts w:ascii="Arial" w:cs="Arial" w:eastAsia="Arial" w:hAnsi="Arial"/>
                <w:sz w:val="18"/>
                <w:szCs w:val="18"/>
                <w:i w:val="1"/>
                <w:iCs w:val="1"/>
                <w:color w:val="auto"/>
                <w:w w:val="94"/>
              </w:rPr>
              <w:t>(Principal Executive Officer)</w:t>
            </w: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80" w:type="dxa"/>
            <w:vAlign w:val="bottom"/>
            <w:gridSpan w:val="2"/>
            <w:vMerge w:val="continue"/>
          </w:tcPr>
          <w:p>
            <w:pPr>
              <w:spacing w:after="0"/>
              <w:rPr>
                <w:sz w:val="7"/>
                <w:szCs w:val="7"/>
                <w:color w:val="auto"/>
              </w:rPr>
            </w:pPr>
          </w:p>
        </w:tc>
        <w:tc>
          <w:tcPr>
            <w:tcW w:w="22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jc w:val="center"/>
              <w:ind w:right="631"/>
              <w:spacing w:after="0"/>
              <w:rPr>
                <w:sz w:val="20"/>
                <w:szCs w:val="20"/>
                <w:color w:val="auto"/>
              </w:rPr>
            </w:pPr>
            <w:r>
              <w:rPr>
                <w:rFonts w:ascii="Arial" w:cs="Arial" w:eastAsia="Arial" w:hAnsi="Arial"/>
                <w:sz w:val="18"/>
                <w:szCs w:val="18"/>
                <w:color w:val="auto"/>
                <w:w w:val="92"/>
              </w:rPr>
              <w:t>/s/ David Siewers</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Chief Financial Officer and Treasurer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July 12,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60" w:type="dxa"/>
            <w:vAlign w:val="bottom"/>
          </w:tcPr>
          <w:p>
            <w:pPr>
              <w:jc w:val="center"/>
              <w:ind w:right="631"/>
              <w:spacing w:after="0" w:line="182" w:lineRule="exact"/>
              <w:rPr>
                <w:sz w:val="20"/>
                <w:szCs w:val="20"/>
                <w:color w:val="auto"/>
              </w:rPr>
            </w:pPr>
            <w:r>
              <w:rPr>
                <w:rFonts w:ascii="Arial" w:cs="Arial" w:eastAsia="Arial" w:hAnsi="Arial"/>
                <w:sz w:val="18"/>
                <w:szCs w:val="18"/>
                <w:b w:val="1"/>
                <w:bCs w:val="1"/>
                <w:color w:val="auto"/>
                <w:w w:val="88"/>
              </w:rPr>
              <w:t>David Siewers</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80" w:type="dxa"/>
            <w:vAlign w:val="bottom"/>
            <w:gridSpan w:val="2"/>
          </w:tcPr>
          <w:p>
            <w:pPr>
              <w:jc w:val="center"/>
              <w:ind w:right="200"/>
              <w:spacing w:after="0" w:line="182" w:lineRule="exact"/>
              <w:rPr>
                <w:sz w:val="20"/>
                <w:szCs w:val="20"/>
                <w:color w:val="auto"/>
              </w:rPr>
            </w:pPr>
            <w:r>
              <w:rPr>
                <w:rFonts w:ascii="Arial" w:cs="Arial" w:eastAsia="Arial" w:hAnsi="Arial"/>
                <w:sz w:val="18"/>
                <w:szCs w:val="18"/>
                <w:i w:val="1"/>
                <w:iCs w:val="1"/>
                <w:color w:val="auto"/>
                <w:w w:val="95"/>
              </w:rPr>
              <w:t>(Principal Accounting Officer and Principal</w:t>
            </w:r>
          </w:p>
        </w:tc>
        <w:tc>
          <w:tcPr>
            <w:tcW w:w="2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5"/>
              </w:rPr>
              <w:t>Financial Officer)</w:t>
            </w:r>
          </w:p>
        </w:tc>
        <w:tc>
          <w:tcPr>
            <w:tcW w:w="2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jc w:val="center"/>
              <w:ind w:right="631"/>
              <w:spacing w:after="0"/>
              <w:rPr>
                <w:sz w:val="20"/>
                <w:szCs w:val="20"/>
                <w:color w:val="auto"/>
              </w:rPr>
            </w:pPr>
            <w:r>
              <w:rPr>
                <w:rFonts w:ascii="Arial" w:cs="Arial" w:eastAsia="Arial" w:hAnsi="Arial"/>
                <w:sz w:val="18"/>
                <w:szCs w:val="18"/>
                <w:color w:val="auto"/>
                <w:w w:val="92"/>
              </w:rPr>
              <w:t>/s/ Timothy Barabe</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July 12,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tcPr>
          <w:p>
            <w:pPr>
              <w:jc w:val="center"/>
              <w:ind w:right="631"/>
              <w:spacing w:after="0"/>
              <w:rPr>
                <w:sz w:val="20"/>
                <w:szCs w:val="20"/>
                <w:color w:val="auto"/>
              </w:rPr>
            </w:pPr>
            <w:r>
              <w:rPr>
                <w:rFonts w:ascii="Arial" w:cs="Arial" w:eastAsia="Arial" w:hAnsi="Arial"/>
                <w:sz w:val="18"/>
                <w:szCs w:val="18"/>
                <w:b w:val="1"/>
                <w:bCs w:val="1"/>
                <w:color w:val="auto"/>
                <w:w w:val="94"/>
              </w:rPr>
              <w:t>Timothy Barabe</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jc w:val="center"/>
              <w:ind w:right="611"/>
              <w:spacing w:after="0"/>
              <w:rPr>
                <w:sz w:val="20"/>
                <w:szCs w:val="20"/>
                <w:color w:val="auto"/>
              </w:rPr>
            </w:pPr>
            <w:r>
              <w:rPr>
                <w:rFonts w:ascii="Arial" w:cs="Arial" w:eastAsia="Arial" w:hAnsi="Arial"/>
                <w:sz w:val="18"/>
                <w:szCs w:val="18"/>
                <w:color w:val="auto"/>
                <w:w w:val="92"/>
              </w:rPr>
              <w:t>/s/ Omid Farokhzad, M.D.</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July 12,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tcPr>
          <w:p>
            <w:pPr>
              <w:jc w:val="center"/>
              <w:ind w:right="631"/>
              <w:spacing w:after="0"/>
              <w:rPr>
                <w:sz w:val="20"/>
                <w:szCs w:val="20"/>
                <w:color w:val="auto"/>
              </w:rPr>
            </w:pPr>
            <w:r>
              <w:rPr>
                <w:rFonts w:ascii="Arial" w:cs="Arial" w:eastAsia="Arial" w:hAnsi="Arial"/>
                <w:sz w:val="18"/>
                <w:szCs w:val="18"/>
                <w:b w:val="1"/>
                <w:bCs w:val="1"/>
                <w:color w:val="auto"/>
                <w:w w:val="95"/>
              </w:rPr>
              <w:t>Omid Farokhzad, M.D.</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jc w:val="center"/>
              <w:ind w:right="631"/>
              <w:spacing w:after="0"/>
              <w:rPr>
                <w:sz w:val="20"/>
                <w:szCs w:val="20"/>
                <w:color w:val="auto"/>
              </w:rPr>
            </w:pPr>
            <w:r>
              <w:rPr>
                <w:rFonts w:ascii="Arial" w:cs="Arial" w:eastAsia="Arial" w:hAnsi="Arial"/>
                <w:sz w:val="18"/>
                <w:szCs w:val="18"/>
                <w:color w:val="auto"/>
                <w:w w:val="90"/>
              </w:rPr>
              <w:t>/s/ Peter Barton Hutt</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July 12,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tcPr>
          <w:p>
            <w:pPr>
              <w:jc w:val="center"/>
              <w:ind w:right="631"/>
              <w:spacing w:after="0"/>
              <w:rPr>
                <w:sz w:val="20"/>
                <w:szCs w:val="20"/>
                <w:color w:val="auto"/>
              </w:rPr>
            </w:pPr>
            <w:r>
              <w:rPr>
                <w:rFonts w:ascii="Arial" w:cs="Arial" w:eastAsia="Arial" w:hAnsi="Arial"/>
                <w:sz w:val="18"/>
                <w:szCs w:val="18"/>
                <w:b w:val="1"/>
                <w:bCs w:val="1"/>
                <w:color w:val="auto"/>
                <w:w w:val="93"/>
              </w:rPr>
              <w:t>Peter Barton Hutt</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jc w:val="center"/>
              <w:ind w:right="631"/>
              <w:spacing w:after="0"/>
              <w:rPr>
                <w:sz w:val="20"/>
                <w:szCs w:val="20"/>
                <w:color w:val="auto"/>
              </w:rPr>
            </w:pPr>
            <w:r>
              <w:rPr>
                <w:rFonts w:ascii="Arial" w:cs="Arial" w:eastAsia="Arial" w:hAnsi="Arial"/>
                <w:sz w:val="18"/>
                <w:szCs w:val="18"/>
                <w:color w:val="auto"/>
                <w:w w:val="92"/>
              </w:rPr>
              <w:t>/s/ Amir Nashat, Sc.D.</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July 12,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tcPr>
          <w:p>
            <w:pPr>
              <w:jc w:val="center"/>
              <w:ind w:right="631"/>
              <w:spacing w:after="0"/>
              <w:rPr>
                <w:sz w:val="20"/>
                <w:szCs w:val="20"/>
                <w:color w:val="auto"/>
              </w:rPr>
            </w:pPr>
            <w:r>
              <w:rPr>
                <w:rFonts w:ascii="Arial" w:cs="Arial" w:eastAsia="Arial" w:hAnsi="Arial"/>
                <w:sz w:val="18"/>
                <w:szCs w:val="18"/>
                <w:b w:val="1"/>
                <w:bCs w:val="1"/>
                <w:color w:val="auto"/>
                <w:w w:val="91"/>
              </w:rPr>
              <w:t>Amir Nashat, Sc.D.</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jc w:val="center"/>
              <w:ind w:right="631"/>
              <w:spacing w:after="0"/>
              <w:rPr>
                <w:sz w:val="20"/>
                <w:szCs w:val="20"/>
                <w:color w:val="auto"/>
              </w:rPr>
            </w:pPr>
            <w:r>
              <w:rPr>
                <w:rFonts w:ascii="Arial" w:cs="Arial" w:eastAsia="Arial" w:hAnsi="Arial"/>
                <w:sz w:val="18"/>
                <w:szCs w:val="18"/>
                <w:color w:val="auto"/>
                <w:w w:val="92"/>
              </w:rPr>
              <w:t>/s/ Aymeric Sallin</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July 12,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tcPr>
          <w:p>
            <w:pPr>
              <w:jc w:val="center"/>
              <w:ind w:right="631"/>
              <w:spacing w:after="0"/>
              <w:rPr>
                <w:sz w:val="20"/>
                <w:szCs w:val="20"/>
                <w:color w:val="auto"/>
              </w:rPr>
            </w:pPr>
            <w:r>
              <w:rPr>
                <w:rFonts w:ascii="Arial" w:cs="Arial" w:eastAsia="Arial" w:hAnsi="Arial"/>
                <w:sz w:val="18"/>
                <w:szCs w:val="18"/>
                <w:b w:val="1"/>
                <w:bCs w:val="1"/>
                <w:color w:val="auto"/>
                <w:w w:val="90"/>
              </w:rPr>
              <w:t>Aymeric Sallin</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60" w:type="dxa"/>
            <w:vAlign w:val="bottom"/>
            <w:gridSpan w:val="3"/>
          </w:tcPr>
          <w:p>
            <w:pPr>
              <w:jc w:val="center"/>
              <w:ind w:right="1672"/>
              <w:spacing w:after="0"/>
              <w:rPr>
                <w:sz w:val="20"/>
                <w:szCs w:val="20"/>
                <w:color w:val="auto"/>
              </w:rPr>
            </w:pPr>
            <w:r>
              <w:rPr>
                <w:rFonts w:ascii="Arial" w:cs="Arial" w:eastAsia="Arial" w:hAnsi="Arial"/>
                <w:sz w:val="18"/>
                <w:szCs w:val="18"/>
                <w:color w:val="auto"/>
                <w:w w:val="89"/>
              </w:rPr>
              <w:t>15</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76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880" w:type="dxa"/>
            <w:vAlign w:val="bottom"/>
            <w:tcBorders>
              <w:bottom w:val="single" w:sz="8" w:color="808080"/>
            </w:tcBorders>
            <w:gridSpan w:val="2"/>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jc w:val="center"/>
              <w:ind w:right="631"/>
              <w:spacing w:after="0"/>
              <w:rPr>
                <w:sz w:val="20"/>
                <w:szCs w:val="20"/>
                <w:color w:val="auto"/>
              </w:rPr>
            </w:pPr>
            <w:r>
              <w:rPr>
                <w:rFonts w:ascii="Arial" w:cs="Arial" w:eastAsia="Arial" w:hAnsi="Arial"/>
                <w:sz w:val="18"/>
                <w:szCs w:val="18"/>
                <w:color w:val="auto"/>
                <w:w w:val="92"/>
              </w:rPr>
              <w:t>/s/ Timothy Springer, Ph.D.</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July 12,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tcPr>
          <w:p>
            <w:pPr>
              <w:jc w:val="center"/>
              <w:ind w:right="631"/>
              <w:spacing w:after="0"/>
              <w:rPr>
                <w:sz w:val="20"/>
                <w:szCs w:val="20"/>
                <w:color w:val="auto"/>
              </w:rPr>
            </w:pPr>
            <w:r>
              <w:rPr>
                <w:rFonts w:ascii="Arial" w:cs="Arial" w:eastAsia="Arial" w:hAnsi="Arial"/>
                <w:sz w:val="18"/>
                <w:szCs w:val="18"/>
                <w:b w:val="1"/>
                <w:bCs w:val="1"/>
                <w:color w:val="auto"/>
                <w:w w:val="91"/>
              </w:rPr>
              <w:t>Timothy Springer, Ph.D.</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jc w:val="center"/>
              <w:ind w:right="631"/>
              <w:spacing w:after="0"/>
              <w:rPr>
                <w:sz w:val="20"/>
                <w:szCs w:val="20"/>
                <w:color w:val="auto"/>
              </w:rPr>
            </w:pPr>
            <w:r>
              <w:rPr>
                <w:rFonts w:ascii="Arial" w:cs="Arial" w:eastAsia="Arial" w:hAnsi="Arial"/>
                <w:sz w:val="18"/>
                <w:szCs w:val="18"/>
                <w:color w:val="auto"/>
                <w:w w:val="90"/>
              </w:rPr>
              <w:t>/s/ Patrick Zenner</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July 12,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tcPr>
          <w:p>
            <w:pPr>
              <w:jc w:val="center"/>
              <w:ind w:right="631"/>
              <w:spacing w:after="0"/>
              <w:rPr>
                <w:sz w:val="20"/>
                <w:szCs w:val="20"/>
                <w:color w:val="auto"/>
              </w:rPr>
            </w:pPr>
            <w:r>
              <w:rPr>
                <w:rFonts w:ascii="Arial" w:cs="Arial" w:eastAsia="Arial" w:hAnsi="Arial"/>
                <w:sz w:val="18"/>
                <w:szCs w:val="18"/>
                <w:b w:val="1"/>
                <w:bCs w:val="1"/>
                <w:color w:val="auto"/>
                <w:w w:val="92"/>
              </w:rPr>
              <w:t>Patrick Zenner</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60" w:type="dxa"/>
            <w:vAlign w:val="bottom"/>
            <w:gridSpan w:val="3"/>
          </w:tcPr>
          <w:p>
            <w:pPr>
              <w:jc w:val="center"/>
              <w:ind w:right="1672"/>
              <w:spacing w:after="0"/>
              <w:rPr>
                <w:sz w:val="20"/>
                <w:szCs w:val="20"/>
                <w:color w:val="auto"/>
              </w:rPr>
            </w:pPr>
            <w:r>
              <w:rPr>
                <w:rFonts w:ascii="Arial" w:cs="Arial" w:eastAsia="Arial" w:hAnsi="Arial"/>
                <w:sz w:val="18"/>
                <w:szCs w:val="18"/>
                <w:color w:val="auto"/>
                <w:w w:val="89"/>
              </w:rPr>
              <w:t>16</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760" w:type="dxa"/>
            <w:vAlign w:val="bottom"/>
            <w:tcBorders>
              <w:bottom w:val="single" w:sz="8" w:color="808080"/>
            </w:tcBorders>
          </w:tcPr>
          <w:p>
            <w:pPr>
              <w:spacing w:after="0"/>
              <w:rPr>
                <w:sz w:val="11"/>
                <w:szCs w:val="11"/>
                <w:color w:val="auto"/>
              </w:rPr>
            </w:pPr>
          </w:p>
        </w:tc>
        <w:tc>
          <w:tcPr>
            <w:tcW w:w="4880" w:type="dxa"/>
            <w:vAlign w:val="bottom"/>
            <w:tcBorders>
              <w:bottom w:val="single" w:sz="8" w:color="808080"/>
            </w:tcBorders>
            <w:gridSpan w:val="4"/>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880" w:type="dxa"/>
            <w:vAlign w:val="bottom"/>
            <w:gridSpan w:val="4"/>
          </w:tcPr>
          <w:p>
            <w:pPr>
              <w:jc w:val="center"/>
              <w:ind w:right="1960"/>
              <w:spacing w:after="0"/>
              <w:rPr>
                <w:sz w:val="20"/>
                <w:szCs w:val="20"/>
                <w:color w:val="auto"/>
              </w:rPr>
            </w:pPr>
            <w:r>
              <w:rPr>
                <w:rFonts w:ascii="Arial" w:cs="Arial" w:eastAsia="Arial" w:hAnsi="Arial"/>
                <w:sz w:val="18"/>
                <w:szCs w:val="18"/>
                <w:b w:val="1"/>
                <w:bCs w:val="1"/>
                <w:color w:val="auto"/>
              </w:rPr>
              <w:t>EXHIBIT INDEX</w:t>
            </w: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Description</w:t>
            </w: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7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80" w:type="dxa"/>
            <w:vAlign w:val="bottom"/>
            <w:tcBorders>
              <w:bottom w:val="single" w:sz="8" w:color="auto"/>
            </w:tcBorders>
            <w:gridSpan w:val="2"/>
            <w:vMerge w:val="continue"/>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-2291080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-2291080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-859155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-859155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3.1</w:t>
            </w:r>
          </w:p>
        </w:tc>
        <w:tc>
          <w:tcPr>
            <w:tcW w:w="10560" w:type="dxa"/>
            <w:vAlign w:val="bottom"/>
          </w:tcPr>
          <w:p>
            <w:pPr>
              <w:ind w:left="600"/>
              <w:spacing w:after="0"/>
              <w:rPr>
                <w:sz w:val="20"/>
                <w:szCs w:val="20"/>
                <w:color w:val="auto"/>
              </w:rPr>
            </w:pPr>
            <w:r>
              <w:rPr>
                <w:rFonts w:ascii="Arial" w:cs="Arial" w:eastAsia="Arial" w:hAnsi="Arial"/>
                <w:sz w:val="18"/>
                <w:szCs w:val="18"/>
                <w:color w:val="auto"/>
                <w:w w:val="93"/>
              </w:rPr>
              <w:t>Restated Certificate of Incorporation of Selecta Biosciences, Inc., dated June 27, 2016 (incorporated by reference to Exhibit 3.1 of the</w:t>
            </w:r>
          </w:p>
        </w:tc>
      </w:tr>
      <w:tr>
        <w:trPr>
          <w:trHeight w:val="230"/>
        </w:trPr>
        <w:tc>
          <w:tcPr>
            <w:tcW w:w="900" w:type="dxa"/>
            <w:vAlign w:val="bottom"/>
          </w:tcPr>
          <w:p>
            <w:pPr>
              <w:spacing w:after="0"/>
              <w:rPr>
                <w:sz w:val="20"/>
                <w:szCs w:val="20"/>
                <w:color w:val="auto"/>
              </w:rPr>
            </w:pPr>
          </w:p>
        </w:tc>
        <w:tc>
          <w:tcPr>
            <w:tcW w:w="10560" w:type="dxa"/>
            <w:vAlign w:val="bottom"/>
          </w:tcPr>
          <w:p>
            <w:pPr>
              <w:ind w:left="600"/>
              <w:spacing w:after="0"/>
              <w:rPr>
                <w:sz w:val="20"/>
                <w:szCs w:val="20"/>
                <w:color w:val="auto"/>
              </w:rPr>
            </w:pPr>
            <w:r>
              <w:rPr>
                <w:rFonts w:ascii="Arial" w:cs="Arial" w:eastAsia="Arial" w:hAnsi="Arial"/>
                <w:sz w:val="18"/>
                <w:szCs w:val="18"/>
                <w:color w:val="auto"/>
              </w:rPr>
              <w:t>Company’s Current Report on Form 8-K (File No. 001-37798), filed with the SEC on June 29, 2016).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3.2</w:t>
            </w:r>
          </w:p>
        </w:tc>
        <w:tc>
          <w:tcPr>
            <w:tcW w:w="10560" w:type="dxa"/>
            <w:vAlign w:val="bottom"/>
          </w:tcPr>
          <w:p>
            <w:pPr>
              <w:ind w:left="600"/>
              <w:spacing w:after="0"/>
              <w:rPr>
                <w:sz w:val="20"/>
                <w:szCs w:val="20"/>
                <w:color w:val="auto"/>
              </w:rPr>
            </w:pPr>
            <w:r>
              <w:rPr>
                <w:rFonts w:ascii="Arial" w:cs="Arial" w:eastAsia="Arial" w:hAnsi="Arial"/>
                <w:sz w:val="18"/>
                <w:szCs w:val="18"/>
                <w:color w:val="auto"/>
                <w:w w:val="92"/>
              </w:rPr>
              <w:t>Amended and Restated Bylaws of Selecta Biosciences, Inc. (incorporated by reference to Exhibit 3.2 of the Company’s Current Report</w:t>
            </w:r>
          </w:p>
        </w:tc>
      </w:tr>
      <w:tr>
        <w:trPr>
          <w:trHeight w:val="230"/>
        </w:trPr>
        <w:tc>
          <w:tcPr>
            <w:tcW w:w="900" w:type="dxa"/>
            <w:vAlign w:val="bottom"/>
          </w:tcPr>
          <w:p>
            <w:pPr>
              <w:spacing w:after="0"/>
              <w:rPr>
                <w:sz w:val="20"/>
                <w:szCs w:val="20"/>
                <w:color w:val="auto"/>
              </w:rPr>
            </w:pPr>
          </w:p>
        </w:tc>
        <w:tc>
          <w:tcPr>
            <w:tcW w:w="10560" w:type="dxa"/>
            <w:vAlign w:val="bottom"/>
          </w:tcPr>
          <w:p>
            <w:pPr>
              <w:ind w:left="600"/>
              <w:spacing w:after="0"/>
              <w:rPr>
                <w:sz w:val="20"/>
                <w:szCs w:val="20"/>
                <w:color w:val="auto"/>
              </w:rPr>
            </w:pPr>
            <w:r>
              <w:rPr>
                <w:rFonts w:ascii="Arial" w:cs="Arial" w:eastAsia="Arial" w:hAnsi="Arial"/>
                <w:sz w:val="18"/>
                <w:szCs w:val="18"/>
                <w:color w:val="auto"/>
              </w:rPr>
              <w:t>on Form 8-K (File No. 001-37798), filed with the SEC on June 29, 2016).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4.1</w:t>
            </w:r>
          </w:p>
        </w:tc>
        <w:tc>
          <w:tcPr>
            <w:tcW w:w="10560" w:type="dxa"/>
            <w:vAlign w:val="bottom"/>
          </w:tcPr>
          <w:p>
            <w:pPr>
              <w:ind w:left="600"/>
              <w:spacing w:after="0"/>
              <w:rPr>
                <w:sz w:val="20"/>
                <w:szCs w:val="20"/>
                <w:color w:val="auto"/>
              </w:rPr>
            </w:pPr>
            <w:r>
              <w:rPr>
                <w:rFonts w:ascii="Arial" w:cs="Arial" w:eastAsia="Arial" w:hAnsi="Arial"/>
                <w:sz w:val="18"/>
                <w:szCs w:val="18"/>
                <w:color w:val="auto"/>
                <w:w w:val="95"/>
              </w:rPr>
              <w:t>Form of Specimen Certificate Representing Common Stock (incorporated by reference to Exhibit 4.2 of the Company’s Registration</w:t>
            </w:r>
          </w:p>
        </w:tc>
      </w:tr>
      <w:tr>
        <w:trPr>
          <w:trHeight w:val="230"/>
        </w:trPr>
        <w:tc>
          <w:tcPr>
            <w:tcW w:w="900" w:type="dxa"/>
            <w:vAlign w:val="bottom"/>
          </w:tcPr>
          <w:p>
            <w:pPr>
              <w:spacing w:after="0"/>
              <w:rPr>
                <w:sz w:val="20"/>
                <w:szCs w:val="20"/>
                <w:color w:val="auto"/>
              </w:rPr>
            </w:pPr>
          </w:p>
        </w:tc>
        <w:tc>
          <w:tcPr>
            <w:tcW w:w="10560" w:type="dxa"/>
            <w:vAlign w:val="bottom"/>
          </w:tcPr>
          <w:p>
            <w:pPr>
              <w:ind w:left="600"/>
              <w:spacing w:after="0"/>
              <w:rPr>
                <w:sz w:val="20"/>
                <w:szCs w:val="20"/>
                <w:color w:val="auto"/>
              </w:rPr>
            </w:pPr>
            <w:r>
              <w:rPr>
                <w:rFonts w:ascii="Arial" w:cs="Arial" w:eastAsia="Arial" w:hAnsi="Arial"/>
                <w:sz w:val="18"/>
                <w:szCs w:val="18"/>
                <w:color w:val="auto"/>
              </w:rPr>
              <w:t>Statement on Form S-1 (Reg. No. 333-211555), filed with the SEC on May 24, 2016).</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5.1</w:t>
            </w:r>
          </w:p>
        </w:tc>
        <w:tc>
          <w:tcPr>
            <w:tcW w:w="10560" w:type="dxa"/>
            <w:vAlign w:val="bottom"/>
          </w:tcPr>
          <w:p>
            <w:pPr>
              <w:ind w:left="600"/>
              <w:spacing w:after="0"/>
              <w:rPr>
                <w:sz w:val="20"/>
                <w:szCs w:val="20"/>
                <w:color w:val="auto"/>
              </w:rPr>
            </w:pPr>
            <w:r>
              <w:rPr>
                <w:rFonts w:ascii="Arial" w:cs="Arial" w:eastAsia="Arial" w:hAnsi="Arial"/>
                <w:sz w:val="18"/>
                <w:szCs w:val="18"/>
                <w:color w:val="auto"/>
              </w:rPr>
              <w:t>Opinion of Latham &amp; Watkins LLP.</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23.1</w:t>
            </w:r>
          </w:p>
        </w:tc>
        <w:tc>
          <w:tcPr>
            <w:tcW w:w="10560" w:type="dxa"/>
            <w:vAlign w:val="bottom"/>
          </w:tcPr>
          <w:p>
            <w:pPr>
              <w:ind w:left="600"/>
              <w:spacing w:after="0"/>
              <w:rPr>
                <w:sz w:val="20"/>
                <w:szCs w:val="20"/>
                <w:color w:val="auto"/>
              </w:rPr>
            </w:pPr>
            <w:r>
              <w:rPr>
                <w:rFonts w:ascii="Arial" w:cs="Arial" w:eastAsia="Arial" w:hAnsi="Arial"/>
                <w:sz w:val="18"/>
                <w:szCs w:val="18"/>
                <w:color w:val="auto"/>
              </w:rPr>
              <w:t>Consent of Latham &amp; Watkins LLP (included in Exhibit 5.1).</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23.2</w:t>
            </w:r>
          </w:p>
        </w:tc>
        <w:tc>
          <w:tcPr>
            <w:tcW w:w="10560" w:type="dxa"/>
            <w:vAlign w:val="bottom"/>
          </w:tcPr>
          <w:p>
            <w:pPr>
              <w:ind w:left="60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24.1</w:t>
            </w:r>
          </w:p>
        </w:tc>
        <w:tc>
          <w:tcPr>
            <w:tcW w:w="10560" w:type="dxa"/>
            <w:vAlign w:val="bottom"/>
          </w:tcPr>
          <w:p>
            <w:pPr>
              <w:ind w:left="600"/>
              <w:spacing w:after="0"/>
              <w:rPr>
                <w:sz w:val="20"/>
                <w:szCs w:val="20"/>
                <w:color w:val="auto"/>
              </w:rPr>
            </w:pPr>
            <w:r>
              <w:rPr>
                <w:rFonts w:ascii="Arial" w:cs="Arial" w:eastAsia="Arial" w:hAnsi="Arial"/>
                <w:sz w:val="18"/>
                <w:szCs w:val="18"/>
                <w:color w:val="auto"/>
              </w:rPr>
              <w:t>Powers of Attorney (incorporated by reference to the signature page hereto).</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99.1</w:t>
            </w:r>
          </w:p>
        </w:tc>
        <w:tc>
          <w:tcPr>
            <w:tcW w:w="10560" w:type="dxa"/>
            <w:vAlign w:val="bottom"/>
          </w:tcPr>
          <w:p>
            <w:pPr>
              <w:ind w:left="600"/>
              <w:spacing w:after="0"/>
              <w:rPr>
                <w:sz w:val="20"/>
                <w:szCs w:val="20"/>
                <w:color w:val="auto"/>
              </w:rPr>
            </w:pPr>
            <w:r>
              <w:rPr>
                <w:rFonts w:ascii="Arial" w:cs="Arial" w:eastAsia="Arial" w:hAnsi="Arial"/>
                <w:sz w:val="18"/>
                <w:szCs w:val="18"/>
                <w:color w:val="auto"/>
                <w:w w:val="98"/>
              </w:rPr>
              <w:t>Registration Rights Agreement, dated June 27, 2017, by and among Selecta Biosciences, Inc. and the Investors named therein</w:t>
            </w:r>
          </w:p>
        </w:tc>
      </w:tr>
      <w:tr>
        <w:trPr>
          <w:trHeight w:val="216"/>
        </w:trPr>
        <w:tc>
          <w:tcPr>
            <w:tcW w:w="900" w:type="dxa"/>
            <w:vAlign w:val="bottom"/>
          </w:tcPr>
          <w:p>
            <w:pPr>
              <w:spacing w:after="0"/>
              <w:rPr>
                <w:sz w:val="18"/>
                <w:szCs w:val="18"/>
                <w:color w:val="auto"/>
              </w:rPr>
            </w:pPr>
          </w:p>
        </w:tc>
        <w:tc>
          <w:tcPr>
            <w:tcW w:w="10560" w:type="dxa"/>
            <w:vAlign w:val="bottom"/>
          </w:tcPr>
          <w:p>
            <w:pPr>
              <w:ind w:left="600"/>
              <w:spacing w:after="0"/>
              <w:rPr>
                <w:sz w:val="20"/>
                <w:szCs w:val="20"/>
                <w:color w:val="auto"/>
              </w:rPr>
            </w:pPr>
            <w:r>
              <w:rPr>
                <w:rFonts w:ascii="Arial" w:cs="Arial" w:eastAsia="Arial" w:hAnsi="Arial"/>
                <w:sz w:val="18"/>
                <w:szCs w:val="18"/>
                <w:color w:val="auto"/>
                <w:w w:val="96"/>
              </w:rPr>
              <w:t>(incorporated by reference to Exhibit 10.3 of the Current Report on Form 8-K (File No. 001-37798), filed with the SEC on June 28,</w:t>
            </w:r>
          </w:p>
        </w:tc>
      </w:tr>
      <w:tr>
        <w:trPr>
          <w:trHeight w:val="230"/>
        </w:trPr>
        <w:tc>
          <w:tcPr>
            <w:tcW w:w="900" w:type="dxa"/>
            <w:vAlign w:val="bottom"/>
          </w:tcPr>
          <w:p>
            <w:pPr>
              <w:spacing w:after="0"/>
              <w:rPr>
                <w:sz w:val="20"/>
                <w:szCs w:val="20"/>
                <w:color w:val="auto"/>
              </w:rPr>
            </w:pPr>
          </w:p>
        </w:tc>
        <w:tc>
          <w:tcPr>
            <w:tcW w:w="10560" w:type="dxa"/>
            <w:vAlign w:val="bottom"/>
          </w:tcPr>
          <w:p>
            <w:pPr>
              <w:ind w:left="600"/>
              <w:spacing w:after="0"/>
              <w:rPr>
                <w:sz w:val="20"/>
                <w:szCs w:val="20"/>
                <w:color w:val="auto"/>
              </w:rPr>
            </w:pPr>
            <w:r>
              <w:rPr>
                <w:rFonts w:ascii="Arial" w:cs="Arial" w:eastAsia="Arial" w:hAnsi="Arial"/>
                <w:sz w:val="18"/>
                <w:szCs w:val="18"/>
                <w:color w:val="auto"/>
              </w:rPr>
              <w:t>2017).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99.2</w:t>
            </w:r>
          </w:p>
        </w:tc>
        <w:tc>
          <w:tcPr>
            <w:tcW w:w="10560" w:type="dxa"/>
            <w:vAlign w:val="bottom"/>
          </w:tcPr>
          <w:p>
            <w:pPr>
              <w:ind w:left="600"/>
              <w:spacing w:after="0"/>
              <w:rPr>
                <w:sz w:val="20"/>
                <w:szCs w:val="20"/>
                <w:color w:val="auto"/>
              </w:rPr>
            </w:pPr>
            <w:r>
              <w:rPr>
                <w:rFonts w:ascii="Arial" w:cs="Arial" w:eastAsia="Arial" w:hAnsi="Arial"/>
                <w:sz w:val="18"/>
                <w:szCs w:val="18"/>
                <w:color w:val="auto"/>
                <w:w w:val="97"/>
              </w:rPr>
              <w:t>Common Stock Purchase Warrant, dated June 27, 2017, by and between Selecta Biosciences, Inc. and Timothy Springer, Ph.D.</w:t>
            </w:r>
          </w:p>
        </w:tc>
      </w:tr>
      <w:tr>
        <w:trPr>
          <w:trHeight w:val="230"/>
        </w:trPr>
        <w:tc>
          <w:tcPr>
            <w:tcW w:w="900" w:type="dxa"/>
            <w:vAlign w:val="bottom"/>
          </w:tcPr>
          <w:p>
            <w:pPr>
              <w:spacing w:after="0"/>
              <w:rPr>
                <w:sz w:val="20"/>
                <w:szCs w:val="20"/>
                <w:color w:val="auto"/>
              </w:rPr>
            </w:pPr>
          </w:p>
        </w:tc>
        <w:tc>
          <w:tcPr>
            <w:tcW w:w="10560" w:type="dxa"/>
            <w:vAlign w:val="bottom"/>
          </w:tcPr>
          <w:p>
            <w:pPr>
              <w:ind w:left="600"/>
              <w:spacing w:after="0"/>
              <w:rPr>
                <w:sz w:val="20"/>
                <w:szCs w:val="20"/>
                <w:color w:val="auto"/>
              </w:rPr>
            </w:pPr>
            <w:r>
              <w:rPr>
                <w:rFonts w:ascii="Arial" w:cs="Arial" w:eastAsia="Arial" w:hAnsi="Arial"/>
                <w:sz w:val="18"/>
                <w:szCs w:val="18"/>
                <w:color w:val="auto"/>
                <w:w w:val="92"/>
              </w:rPr>
              <w:t>(incorporated by reference to Exhibit 4.1 of the Current Report on Form 8-K (File No. 001-37798), filed with the SEC on June 28, 2017).</w:t>
            </w:r>
          </w:p>
        </w:tc>
      </w:tr>
      <w:tr>
        <w:trPr>
          <w:trHeight w:val="432"/>
        </w:trPr>
        <w:tc>
          <w:tcPr>
            <w:tcW w:w="900" w:type="dxa"/>
            <w:vAlign w:val="bottom"/>
          </w:tcPr>
          <w:p>
            <w:pPr>
              <w:spacing w:after="0"/>
              <w:rPr>
                <w:sz w:val="24"/>
                <w:szCs w:val="24"/>
                <w:color w:val="auto"/>
              </w:rPr>
            </w:pPr>
          </w:p>
        </w:tc>
        <w:tc>
          <w:tcPr>
            <w:tcW w:w="10560" w:type="dxa"/>
            <w:vAlign w:val="bottom"/>
          </w:tcPr>
          <w:p>
            <w:pPr>
              <w:ind w:left="4720"/>
              <w:spacing w:after="0"/>
              <w:rPr>
                <w:sz w:val="20"/>
                <w:szCs w:val="20"/>
                <w:color w:val="auto"/>
              </w:rPr>
            </w:pPr>
            <w:r>
              <w:rPr>
                <w:rFonts w:ascii="Arial" w:cs="Arial" w:eastAsia="Arial" w:hAnsi="Arial"/>
                <w:sz w:val="18"/>
                <w:szCs w:val="18"/>
                <w:color w:val="auto"/>
              </w:rPr>
              <w:t>17</w:t>
            </w:r>
          </w:p>
        </w:tc>
      </w:tr>
      <w:tr>
        <w:trPr>
          <w:trHeight w:val="132"/>
        </w:trPr>
        <w:tc>
          <w:tcPr>
            <w:tcW w:w="900" w:type="dxa"/>
            <w:vAlign w:val="bottom"/>
            <w:tcBorders>
              <w:bottom w:val="single" w:sz="8" w:color="808080"/>
            </w:tcBorders>
          </w:tcPr>
          <w:p>
            <w:pPr>
              <w:spacing w:after="0"/>
              <w:rPr>
                <w:sz w:val="11"/>
                <w:szCs w:val="11"/>
                <w:color w:val="auto"/>
              </w:rPr>
            </w:pPr>
          </w:p>
        </w:tc>
        <w:tc>
          <w:tcPr>
            <w:tcW w:w="105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200 Clarendon Street</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Boston, Massachusetts 02116</w:t>
      </w:r>
    </w:p>
    <w:p>
      <w:pPr>
        <w:spacing w:after="0" w:line="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Tel: +1.617.948.6000 Fax: +1.617.948.6001</w:t>
      </w:r>
    </w:p>
    <w:p>
      <w:pPr>
        <w:spacing w:after="0" w:line="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www.lw.com</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80" w:type="dxa"/>
            <w:vAlign w:val="bottom"/>
            <w:gridSpan w:val="2"/>
          </w:tcPr>
          <w:p>
            <w:pPr>
              <w:ind w:left="1980"/>
              <w:spacing w:after="0"/>
              <w:rPr>
                <w:sz w:val="20"/>
                <w:szCs w:val="20"/>
                <w:color w:val="auto"/>
              </w:rPr>
            </w:pPr>
            <w:r>
              <w:rPr>
                <w:rFonts w:ascii="Arial" w:cs="Arial" w:eastAsia="Arial" w:hAnsi="Arial"/>
                <w:sz w:val="18"/>
                <w:szCs w:val="18"/>
                <w:color w:val="auto"/>
              </w:rPr>
              <w:t>FIRM / AFFILIATE OFFICES</w:t>
            </w:r>
          </w:p>
        </w:tc>
      </w:tr>
      <w:tr>
        <w:trPr>
          <w:trHeight w:val="216"/>
        </w:trPr>
        <w:tc>
          <w:tcPr>
            <w:tcW w:w="1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Pr>
          <w:p>
            <w:pPr>
              <w:ind w:left="1980"/>
              <w:spacing w:after="0"/>
              <w:rPr>
                <w:sz w:val="20"/>
                <w:szCs w:val="20"/>
                <w:color w:val="auto"/>
              </w:rPr>
            </w:pPr>
            <w:r>
              <w:rPr>
                <w:rFonts w:ascii="Arial" w:cs="Arial" w:eastAsia="Arial" w:hAnsi="Arial"/>
                <w:sz w:val="18"/>
                <w:szCs w:val="18"/>
                <w:color w:val="auto"/>
              </w:rPr>
              <w:t>Barcelona</w:t>
            </w:r>
          </w:p>
        </w:tc>
        <w:tc>
          <w:tcPr>
            <w:tcW w:w="1580" w:type="dxa"/>
            <w:vAlign w:val="bottom"/>
          </w:tcPr>
          <w:p>
            <w:pPr>
              <w:ind w:left="300"/>
              <w:spacing w:after="0"/>
              <w:rPr>
                <w:sz w:val="20"/>
                <w:szCs w:val="20"/>
                <w:color w:val="auto"/>
              </w:rPr>
            </w:pPr>
            <w:r>
              <w:rPr>
                <w:rFonts w:ascii="Arial" w:cs="Arial" w:eastAsia="Arial" w:hAnsi="Arial"/>
                <w:sz w:val="18"/>
                <w:szCs w:val="18"/>
                <w:color w:val="auto"/>
              </w:rPr>
              <w:t>Moscow</w:t>
            </w:r>
          </w:p>
        </w:tc>
      </w:tr>
      <w:tr>
        <w:trPr>
          <w:trHeight w:val="216"/>
        </w:trPr>
        <w:tc>
          <w:tcPr>
            <w:tcW w:w="1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Pr>
          <w:p>
            <w:pPr>
              <w:ind w:left="1980"/>
              <w:spacing w:after="0"/>
              <w:rPr>
                <w:sz w:val="20"/>
                <w:szCs w:val="20"/>
                <w:color w:val="auto"/>
              </w:rPr>
            </w:pPr>
            <w:r>
              <w:rPr>
                <w:rFonts w:ascii="Arial" w:cs="Arial" w:eastAsia="Arial" w:hAnsi="Arial"/>
                <w:sz w:val="18"/>
                <w:szCs w:val="18"/>
                <w:color w:val="auto"/>
              </w:rPr>
              <w:t>Beijing</w:t>
            </w:r>
          </w:p>
        </w:tc>
        <w:tc>
          <w:tcPr>
            <w:tcW w:w="1580" w:type="dxa"/>
            <w:vAlign w:val="bottom"/>
          </w:tcPr>
          <w:p>
            <w:pPr>
              <w:ind w:left="300"/>
              <w:spacing w:after="0"/>
              <w:rPr>
                <w:sz w:val="20"/>
                <w:szCs w:val="20"/>
                <w:color w:val="auto"/>
              </w:rPr>
            </w:pPr>
            <w:r>
              <w:rPr>
                <w:rFonts w:ascii="Arial" w:cs="Arial" w:eastAsia="Arial" w:hAnsi="Arial"/>
                <w:sz w:val="18"/>
                <w:szCs w:val="18"/>
                <w:color w:val="auto"/>
              </w:rPr>
              <w:t>Munich</w:t>
            </w:r>
          </w:p>
        </w:tc>
      </w:tr>
      <w:tr>
        <w:trPr>
          <w:trHeight w:val="216"/>
        </w:trPr>
        <w:tc>
          <w:tcPr>
            <w:tcW w:w="1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Pr>
          <w:p>
            <w:pPr>
              <w:ind w:left="1980"/>
              <w:spacing w:after="0"/>
              <w:rPr>
                <w:sz w:val="20"/>
                <w:szCs w:val="20"/>
                <w:color w:val="auto"/>
              </w:rPr>
            </w:pPr>
            <w:r>
              <w:rPr>
                <w:rFonts w:ascii="Arial" w:cs="Arial" w:eastAsia="Arial" w:hAnsi="Arial"/>
                <w:sz w:val="18"/>
                <w:szCs w:val="18"/>
                <w:color w:val="auto"/>
              </w:rPr>
              <w:t>Boston</w:t>
            </w:r>
          </w:p>
        </w:tc>
        <w:tc>
          <w:tcPr>
            <w:tcW w:w="1580" w:type="dxa"/>
            <w:vAlign w:val="bottom"/>
          </w:tcPr>
          <w:p>
            <w:pPr>
              <w:ind w:left="300"/>
              <w:spacing w:after="0"/>
              <w:rPr>
                <w:sz w:val="20"/>
                <w:szCs w:val="20"/>
                <w:color w:val="auto"/>
              </w:rPr>
            </w:pPr>
            <w:r>
              <w:rPr>
                <w:rFonts w:ascii="Arial" w:cs="Arial" w:eastAsia="Arial" w:hAnsi="Arial"/>
                <w:sz w:val="18"/>
                <w:szCs w:val="18"/>
                <w:color w:val="auto"/>
              </w:rPr>
              <w:t>New York</w:t>
            </w:r>
          </w:p>
        </w:tc>
      </w:tr>
      <w:tr>
        <w:trPr>
          <w:trHeight w:val="216"/>
        </w:trPr>
        <w:tc>
          <w:tcPr>
            <w:tcW w:w="1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Pr>
          <w:p>
            <w:pPr>
              <w:ind w:left="1980"/>
              <w:spacing w:after="0"/>
              <w:rPr>
                <w:sz w:val="20"/>
                <w:szCs w:val="20"/>
                <w:color w:val="auto"/>
              </w:rPr>
            </w:pPr>
            <w:r>
              <w:rPr>
                <w:rFonts w:ascii="Arial" w:cs="Arial" w:eastAsia="Arial" w:hAnsi="Arial"/>
                <w:sz w:val="18"/>
                <w:szCs w:val="18"/>
                <w:color w:val="auto"/>
              </w:rPr>
              <w:t>Brussels</w:t>
            </w:r>
          </w:p>
        </w:tc>
        <w:tc>
          <w:tcPr>
            <w:tcW w:w="1580" w:type="dxa"/>
            <w:vAlign w:val="bottom"/>
          </w:tcPr>
          <w:p>
            <w:pPr>
              <w:ind w:left="300"/>
              <w:spacing w:after="0"/>
              <w:rPr>
                <w:sz w:val="20"/>
                <w:szCs w:val="20"/>
                <w:color w:val="auto"/>
              </w:rPr>
            </w:pPr>
            <w:r>
              <w:rPr>
                <w:rFonts w:ascii="Arial" w:cs="Arial" w:eastAsia="Arial" w:hAnsi="Arial"/>
                <w:sz w:val="18"/>
                <w:szCs w:val="18"/>
                <w:color w:val="auto"/>
              </w:rPr>
              <w:t>Orange County</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July 12, 2017</w:t>
            </w:r>
          </w:p>
        </w:tc>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Pr>
          <w:p>
            <w:pPr>
              <w:ind w:left="1980"/>
              <w:spacing w:after="0"/>
              <w:rPr>
                <w:sz w:val="20"/>
                <w:szCs w:val="20"/>
                <w:color w:val="auto"/>
              </w:rPr>
            </w:pPr>
            <w:r>
              <w:rPr>
                <w:rFonts w:ascii="Arial" w:cs="Arial" w:eastAsia="Arial" w:hAnsi="Arial"/>
                <w:sz w:val="18"/>
                <w:szCs w:val="18"/>
                <w:color w:val="auto"/>
              </w:rPr>
              <w:t>Century</w:t>
            </w:r>
          </w:p>
        </w:tc>
        <w:tc>
          <w:tcPr>
            <w:tcW w:w="1580" w:type="dxa"/>
            <w:vAlign w:val="bottom"/>
          </w:tcPr>
          <w:p>
            <w:pPr>
              <w:ind w:left="300"/>
              <w:spacing w:after="0"/>
              <w:rPr>
                <w:sz w:val="20"/>
                <w:szCs w:val="20"/>
                <w:color w:val="auto"/>
              </w:rPr>
            </w:pPr>
            <w:r>
              <w:rPr>
                <w:rFonts w:ascii="Arial" w:cs="Arial" w:eastAsia="Arial" w:hAnsi="Arial"/>
                <w:sz w:val="18"/>
                <w:szCs w:val="18"/>
                <w:color w:val="auto"/>
              </w:rPr>
              <w:t>City Paris</w:t>
            </w:r>
          </w:p>
        </w:tc>
      </w:tr>
      <w:tr>
        <w:trPr>
          <w:trHeight w:val="216"/>
        </w:trPr>
        <w:tc>
          <w:tcPr>
            <w:tcW w:w="1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Pr>
          <w:p>
            <w:pPr>
              <w:ind w:left="1980"/>
              <w:spacing w:after="0"/>
              <w:rPr>
                <w:sz w:val="20"/>
                <w:szCs w:val="20"/>
                <w:color w:val="auto"/>
              </w:rPr>
            </w:pPr>
            <w:r>
              <w:rPr>
                <w:rFonts w:ascii="Arial" w:cs="Arial" w:eastAsia="Arial" w:hAnsi="Arial"/>
                <w:sz w:val="18"/>
                <w:szCs w:val="18"/>
                <w:color w:val="auto"/>
              </w:rPr>
              <w:t>Chicago</w:t>
            </w:r>
          </w:p>
        </w:tc>
        <w:tc>
          <w:tcPr>
            <w:tcW w:w="1580" w:type="dxa"/>
            <w:vAlign w:val="bottom"/>
          </w:tcPr>
          <w:p>
            <w:pPr>
              <w:ind w:left="300"/>
              <w:spacing w:after="0"/>
              <w:rPr>
                <w:sz w:val="20"/>
                <w:szCs w:val="20"/>
                <w:color w:val="auto"/>
              </w:rPr>
            </w:pPr>
            <w:r>
              <w:rPr>
                <w:rFonts w:ascii="Arial" w:cs="Arial" w:eastAsia="Arial" w:hAnsi="Arial"/>
                <w:sz w:val="18"/>
                <w:szCs w:val="18"/>
                <w:color w:val="auto"/>
              </w:rPr>
              <w:t>Riyadh</w:t>
            </w:r>
          </w:p>
        </w:tc>
      </w:tr>
      <w:tr>
        <w:trPr>
          <w:trHeight w:val="216"/>
        </w:trPr>
        <w:tc>
          <w:tcPr>
            <w:tcW w:w="1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Pr>
          <w:p>
            <w:pPr>
              <w:ind w:left="1980"/>
              <w:spacing w:after="0"/>
              <w:rPr>
                <w:sz w:val="20"/>
                <w:szCs w:val="20"/>
                <w:color w:val="auto"/>
              </w:rPr>
            </w:pPr>
            <w:r>
              <w:rPr>
                <w:rFonts w:ascii="Arial" w:cs="Arial" w:eastAsia="Arial" w:hAnsi="Arial"/>
                <w:sz w:val="18"/>
                <w:szCs w:val="18"/>
                <w:color w:val="auto"/>
              </w:rPr>
              <w:t>Dubai</w:t>
            </w:r>
          </w:p>
        </w:tc>
        <w:tc>
          <w:tcPr>
            <w:tcW w:w="1580" w:type="dxa"/>
            <w:vAlign w:val="bottom"/>
          </w:tcPr>
          <w:p>
            <w:pPr>
              <w:ind w:left="300"/>
              <w:spacing w:after="0"/>
              <w:rPr>
                <w:sz w:val="20"/>
                <w:szCs w:val="20"/>
                <w:color w:val="auto"/>
              </w:rPr>
            </w:pPr>
            <w:r>
              <w:rPr>
                <w:rFonts w:ascii="Arial" w:cs="Arial" w:eastAsia="Arial" w:hAnsi="Arial"/>
                <w:sz w:val="18"/>
                <w:szCs w:val="18"/>
                <w:color w:val="auto"/>
              </w:rPr>
              <w:t>Rome</w:t>
            </w:r>
          </w:p>
        </w:tc>
      </w:tr>
      <w:tr>
        <w:trPr>
          <w:trHeight w:val="216"/>
        </w:trPr>
        <w:tc>
          <w:tcPr>
            <w:tcW w:w="1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Pr>
          <w:p>
            <w:pPr>
              <w:ind w:left="1980"/>
              <w:spacing w:after="0"/>
              <w:rPr>
                <w:sz w:val="20"/>
                <w:szCs w:val="20"/>
                <w:color w:val="auto"/>
              </w:rPr>
            </w:pPr>
            <w:r>
              <w:rPr>
                <w:rFonts w:ascii="Arial" w:cs="Arial" w:eastAsia="Arial" w:hAnsi="Arial"/>
                <w:sz w:val="18"/>
                <w:szCs w:val="18"/>
                <w:color w:val="auto"/>
              </w:rPr>
              <w:t>Düsseldorf</w:t>
            </w:r>
          </w:p>
        </w:tc>
        <w:tc>
          <w:tcPr>
            <w:tcW w:w="1580" w:type="dxa"/>
            <w:vAlign w:val="bottom"/>
          </w:tcPr>
          <w:p>
            <w:pPr>
              <w:ind w:left="300"/>
              <w:spacing w:after="0"/>
              <w:rPr>
                <w:sz w:val="20"/>
                <w:szCs w:val="20"/>
                <w:color w:val="auto"/>
              </w:rPr>
            </w:pPr>
            <w:r>
              <w:rPr>
                <w:rFonts w:ascii="Arial" w:cs="Arial" w:eastAsia="Arial" w:hAnsi="Arial"/>
                <w:sz w:val="18"/>
                <w:szCs w:val="18"/>
                <w:color w:val="auto"/>
              </w:rPr>
              <w:t>San Diego</w:t>
            </w:r>
          </w:p>
        </w:tc>
      </w:tr>
      <w:tr>
        <w:trPr>
          <w:trHeight w:val="216"/>
        </w:trPr>
        <w:tc>
          <w:tcPr>
            <w:tcW w:w="1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Pr>
          <w:p>
            <w:pPr>
              <w:ind w:left="1980"/>
              <w:spacing w:after="0"/>
              <w:rPr>
                <w:sz w:val="20"/>
                <w:szCs w:val="20"/>
                <w:color w:val="auto"/>
              </w:rPr>
            </w:pPr>
            <w:r>
              <w:rPr>
                <w:rFonts w:ascii="Arial" w:cs="Arial" w:eastAsia="Arial" w:hAnsi="Arial"/>
                <w:sz w:val="18"/>
                <w:szCs w:val="18"/>
                <w:color w:val="auto"/>
              </w:rPr>
              <w:t>Frankfurt</w:t>
            </w:r>
          </w:p>
        </w:tc>
        <w:tc>
          <w:tcPr>
            <w:tcW w:w="1580" w:type="dxa"/>
            <w:vAlign w:val="bottom"/>
          </w:tcPr>
          <w:p>
            <w:pPr>
              <w:ind w:left="300"/>
              <w:spacing w:after="0"/>
              <w:rPr>
                <w:sz w:val="20"/>
                <w:szCs w:val="20"/>
                <w:color w:val="auto"/>
              </w:rPr>
            </w:pPr>
            <w:r>
              <w:rPr>
                <w:rFonts w:ascii="Arial" w:cs="Arial" w:eastAsia="Arial" w:hAnsi="Arial"/>
                <w:sz w:val="18"/>
                <w:szCs w:val="18"/>
                <w:color w:val="auto"/>
              </w:rPr>
              <w:t>San Francisco</w:t>
            </w:r>
          </w:p>
        </w:tc>
      </w:tr>
      <w:tr>
        <w:trPr>
          <w:trHeight w:val="216"/>
        </w:trPr>
        <w:tc>
          <w:tcPr>
            <w:tcW w:w="1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Pr>
          <w:p>
            <w:pPr>
              <w:ind w:left="1980"/>
              <w:spacing w:after="0"/>
              <w:rPr>
                <w:sz w:val="20"/>
                <w:szCs w:val="20"/>
                <w:color w:val="auto"/>
              </w:rPr>
            </w:pPr>
            <w:r>
              <w:rPr>
                <w:rFonts w:ascii="Arial" w:cs="Arial" w:eastAsia="Arial" w:hAnsi="Arial"/>
                <w:sz w:val="18"/>
                <w:szCs w:val="18"/>
                <w:color w:val="auto"/>
              </w:rPr>
              <w:t>Hamburg</w:t>
            </w:r>
          </w:p>
        </w:tc>
        <w:tc>
          <w:tcPr>
            <w:tcW w:w="1580" w:type="dxa"/>
            <w:vAlign w:val="bottom"/>
          </w:tcPr>
          <w:p>
            <w:pPr>
              <w:ind w:left="300"/>
              <w:spacing w:after="0"/>
              <w:rPr>
                <w:sz w:val="20"/>
                <w:szCs w:val="20"/>
                <w:color w:val="auto"/>
              </w:rPr>
            </w:pPr>
            <w:r>
              <w:rPr>
                <w:rFonts w:ascii="Arial" w:cs="Arial" w:eastAsia="Arial" w:hAnsi="Arial"/>
                <w:sz w:val="18"/>
                <w:szCs w:val="18"/>
                <w:color w:val="auto"/>
              </w:rPr>
              <w:t>Seoul</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Selecta Biosciences, Inc.</w:t>
            </w:r>
          </w:p>
        </w:tc>
        <w:tc>
          <w:tcPr>
            <w:tcW w:w="3200" w:type="dxa"/>
            <w:vAlign w:val="bottom"/>
          </w:tcPr>
          <w:p>
            <w:pPr>
              <w:ind w:left="1980"/>
              <w:spacing w:after="0"/>
              <w:rPr>
                <w:sz w:val="20"/>
                <w:szCs w:val="20"/>
                <w:color w:val="auto"/>
              </w:rPr>
            </w:pPr>
            <w:r>
              <w:rPr>
                <w:rFonts w:ascii="Arial" w:cs="Arial" w:eastAsia="Arial" w:hAnsi="Arial"/>
                <w:sz w:val="18"/>
                <w:szCs w:val="18"/>
                <w:color w:val="auto"/>
              </w:rPr>
              <w:t>Hong Kong</w:t>
            </w:r>
          </w:p>
        </w:tc>
        <w:tc>
          <w:tcPr>
            <w:tcW w:w="1580" w:type="dxa"/>
            <w:vAlign w:val="bottom"/>
          </w:tcPr>
          <w:p>
            <w:pPr>
              <w:ind w:left="300"/>
              <w:spacing w:after="0"/>
              <w:rPr>
                <w:sz w:val="20"/>
                <w:szCs w:val="20"/>
                <w:color w:val="auto"/>
              </w:rPr>
            </w:pPr>
            <w:r>
              <w:rPr>
                <w:rFonts w:ascii="Arial" w:cs="Arial" w:eastAsia="Arial" w:hAnsi="Arial"/>
                <w:sz w:val="18"/>
                <w:szCs w:val="18"/>
                <w:color w:val="auto"/>
              </w:rPr>
              <w:t>Shanghai</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480 Arsenal Way</w:t>
            </w:r>
          </w:p>
        </w:tc>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Pr>
          <w:p>
            <w:pPr>
              <w:ind w:left="1980"/>
              <w:spacing w:after="0"/>
              <w:rPr>
                <w:sz w:val="20"/>
                <w:szCs w:val="20"/>
                <w:color w:val="auto"/>
              </w:rPr>
            </w:pPr>
            <w:r>
              <w:rPr>
                <w:rFonts w:ascii="Arial" w:cs="Arial" w:eastAsia="Arial" w:hAnsi="Arial"/>
                <w:sz w:val="18"/>
                <w:szCs w:val="18"/>
                <w:color w:val="auto"/>
              </w:rPr>
              <w:t>Houston</w:t>
            </w:r>
          </w:p>
        </w:tc>
        <w:tc>
          <w:tcPr>
            <w:tcW w:w="1580" w:type="dxa"/>
            <w:vAlign w:val="bottom"/>
          </w:tcPr>
          <w:p>
            <w:pPr>
              <w:ind w:left="300"/>
              <w:spacing w:after="0"/>
              <w:rPr>
                <w:sz w:val="20"/>
                <w:szCs w:val="20"/>
                <w:color w:val="auto"/>
              </w:rPr>
            </w:pPr>
            <w:r>
              <w:rPr>
                <w:rFonts w:ascii="Arial" w:cs="Arial" w:eastAsia="Arial" w:hAnsi="Arial"/>
                <w:sz w:val="18"/>
                <w:szCs w:val="18"/>
                <w:color w:val="auto"/>
              </w:rPr>
              <w:t>Silicon Valley</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Watertown, MA 02472</w:t>
            </w:r>
          </w:p>
        </w:tc>
        <w:tc>
          <w:tcPr>
            <w:tcW w:w="3200" w:type="dxa"/>
            <w:vAlign w:val="bottom"/>
          </w:tcPr>
          <w:p>
            <w:pPr>
              <w:ind w:left="1980"/>
              <w:spacing w:after="0"/>
              <w:rPr>
                <w:sz w:val="20"/>
                <w:szCs w:val="20"/>
                <w:color w:val="auto"/>
              </w:rPr>
            </w:pPr>
            <w:r>
              <w:rPr>
                <w:rFonts w:ascii="Arial" w:cs="Arial" w:eastAsia="Arial" w:hAnsi="Arial"/>
                <w:sz w:val="18"/>
                <w:szCs w:val="18"/>
                <w:color w:val="auto"/>
              </w:rPr>
              <w:t>London</w:t>
            </w:r>
          </w:p>
        </w:tc>
        <w:tc>
          <w:tcPr>
            <w:tcW w:w="1580" w:type="dxa"/>
            <w:vAlign w:val="bottom"/>
          </w:tcPr>
          <w:p>
            <w:pPr>
              <w:ind w:left="300"/>
              <w:spacing w:after="0"/>
              <w:rPr>
                <w:sz w:val="20"/>
                <w:szCs w:val="20"/>
                <w:color w:val="auto"/>
              </w:rPr>
            </w:pPr>
            <w:r>
              <w:rPr>
                <w:rFonts w:ascii="Arial" w:cs="Arial" w:eastAsia="Arial" w:hAnsi="Arial"/>
                <w:sz w:val="18"/>
                <w:szCs w:val="18"/>
                <w:color w:val="auto"/>
              </w:rPr>
              <w:t>Singapore</w:t>
            </w:r>
          </w:p>
        </w:tc>
      </w:tr>
      <w:tr>
        <w:trPr>
          <w:trHeight w:val="216"/>
        </w:trPr>
        <w:tc>
          <w:tcPr>
            <w:tcW w:w="1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Pr>
          <w:p>
            <w:pPr>
              <w:ind w:left="1980"/>
              <w:spacing w:after="0"/>
              <w:rPr>
                <w:sz w:val="20"/>
                <w:szCs w:val="20"/>
                <w:color w:val="auto"/>
              </w:rPr>
            </w:pPr>
            <w:r>
              <w:rPr>
                <w:rFonts w:ascii="Arial" w:cs="Arial" w:eastAsia="Arial" w:hAnsi="Arial"/>
                <w:sz w:val="18"/>
                <w:szCs w:val="18"/>
                <w:color w:val="auto"/>
              </w:rPr>
              <w:t>Los Angeles</w:t>
            </w:r>
          </w:p>
        </w:tc>
        <w:tc>
          <w:tcPr>
            <w:tcW w:w="1580" w:type="dxa"/>
            <w:vAlign w:val="bottom"/>
          </w:tcPr>
          <w:p>
            <w:pPr>
              <w:ind w:left="300"/>
              <w:spacing w:after="0"/>
              <w:rPr>
                <w:sz w:val="20"/>
                <w:szCs w:val="20"/>
                <w:color w:val="auto"/>
              </w:rPr>
            </w:pPr>
            <w:r>
              <w:rPr>
                <w:rFonts w:ascii="Arial" w:cs="Arial" w:eastAsia="Arial" w:hAnsi="Arial"/>
                <w:sz w:val="18"/>
                <w:szCs w:val="18"/>
                <w:color w:val="auto"/>
              </w:rPr>
              <w:t>Tokyo</w:t>
            </w:r>
          </w:p>
        </w:tc>
      </w:tr>
      <w:tr>
        <w:trPr>
          <w:trHeight w:val="216"/>
        </w:trPr>
        <w:tc>
          <w:tcPr>
            <w:tcW w:w="1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Pr>
          <w:p>
            <w:pPr>
              <w:ind w:left="1980"/>
              <w:spacing w:after="0"/>
              <w:rPr>
                <w:sz w:val="20"/>
                <w:szCs w:val="20"/>
                <w:color w:val="auto"/>
              </w:rPr>
            </w:pPr>
            <w:r>
              <w:rPr>
                <w:rFonts w:ascii="Arial" w:cs="Arial" w:eastAsia="Arial" w:hAnsi="Arial"/>
                <w:sz w:val="18"/>
                <w:szCs w:val="18"/>
                <w:color w:val="auto"/>
              </w:rPr>
              <w:t>Madrid</w:t>
            </w:r>
          </w:p>
        </w:tc>
        <w:tc>
          <w:tcPr>
            <w:tcW w:w="1580" w:type="dxa"/>
            <w:vAlign w:val="bottom"/>
          </w:tcPr>
          <w:p>
            <w:pPr>
              <w:ind w:left="300"/>
              <w:spacing w:after="0"/>
              <w:rPr>
                <w:sz w:val="20"/>
                <w:szCs w:val="20"/>
                <w:color w:val="auto"/>
              </w:rPr>
            </w:pPr>
            <w:r>
              <w:rPr>
                <w:rFonts w:ascii="Arial" w:cs="Arial" w:eastAsia="Arial" w:hAnsi="Arial"/>
                <w:sz w:val="18"/>
                <w:szCs w:val="18"/>
                <w:color w:val="auto"/>
                <w:w w:val="89"/>
              </w:rPr>
              <w:t>Washington, D.C.</w:t>
            </w:r>
          </w:p>
        </w:tc>
      </w:tr>
      <w:tr>
        <w:trPr>
          <w:trHeight w:val="230"/>
        </w:trPr>
        <w:tc>
          <w:tcPr>
            <w:tcW w:w="15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0" w:type="dxa"/>
            <w:vAlign w:val="bottom"/>
          </w:tcPr>
          <w:p>
            <w:pPr>
              <w:ind w:left="1980"/>
              <w:spacing w:after="0"/>
              <w:rPr>
                <w:sz w:val="20"/>
                <w:szCs w:val="20"/>
                <w:color w:val="auto"/>
              </w:rPr>
            </w:pPr>
            <w:r>
              <w:rPr>
                <w:rFonts w:ascii="Arial" w:cs="Arial" w:eastAsia="Arial" w:hAnsi="Arial"/>
                <w:sz w:val="18"/>
                <w:szCs w:val="18"/>
                <w:color w:val="auto"/>
              </w:rPr>
              <w:t>Milan</w:t>
            </w:r>
          </w:p>
        </w:tc>
        <w:tc>
          <w:tcPr>
            <w:tcW w:w="1580" w:type="dxa"/>
            <w:vAlign w:val="bottom"/>
          </w:tcPr>
          <w:p>
            <w:pPr>
              <w:spacing w:after="0"/>
              <w:rPr>
                <w:sz w:val="20"/>
                <w:szCs w:val="20"/>
                <w:color w:val="auto"/>
              </w:rPr>
            </w:pPr>
          </w:p>
        </w:tc>
      </w:tr>
      <w:tr>
        <w:trPr>
          <w:trHeight w:val="392"/>
        </w:trPr>
        <w:tc>
          <w:tcPr>
            <w:tcW w:w="1540" w:type="dxa"/>
            <w:vAlign w:val="bottom"/>
          </w:tcPr>
          <w:p>
            <w:pPr>
              <w:ind w:left="780"/>
              <w:spacing w:after="0"/>
              <w:rPr>
                <w:sz w:val="20"/>
                <w:szCs w:val="20"/>
                <w:color w:val="auto"/>
              </w:rPr>
            </w:pPr>
            <w:r>
              <w:rPr>
                <w:rFonts w:ascii="Arial" w:cs="Arial" w:eastAsia="Arial" w:hAnsi="Arial"/>
                <w:sz w:val="18"/>
                <w:szCs w:val="18"/>
                <w:color w:val="auto"/>
              </w:rPr>
              <w:t>Re:</w:t>
            </w:r>
          </w:p>
        </w:tc>
        <w:tc>
          <w:tcPr>
            <w:tcW w:w="3820" w:type="dxa"/>
            <w:vAlign w:val="bottom"/>
            <w:gridSpan w:val="2"/>
          </w:tcPr>
          <w:p>
            <w:pPr>
              <w:spacing w:after="0"/>
              <w:rPr>
                <w:sz w:val="20"/>
                <w:szCs w:val="20"/>
                <w:color w:val="auto"/>
              </w:rPr>
            </w:pPr>
            <w:r>
              <w:rPr>
                <w:rFonts w:ascii="Arial" w:cs="Arial" w:eastAsia="Arial" w:hAnsi="Arial"/>
                <w:sz w:val="18"/>
                <w:szCs w:val="18"/>
                <w:color w:val="auto"/>
              </w:rPr>
              <w:t>Registration Statement on Form S-3; 3,167,921</w:t>
            </w:r>
          </w:p>
        </w:tc>
        <w:tc>
          <w:tcPr>
            <w:tcW w:w="3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
        </w:trPr>
        <w:tc>
          <w:tcPr>
            <w:tcW w:w="154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38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 xml:space="preserve">shares of common stock, par value </w:t>
            </w:r>
            <w:r>
              <w:rPr>
                <w:rFonts w:ascii="Arial" w:cs="Arial" w:eastAsia="Arial" w:hAnsi="Arial"/>
                <w:sz w:val="18"/>
                <w:szCs w:val="18"/>
                <w:u w:val="single" w:color="auto"/>
                <w:color w:val="auto"/>
                <w:w w:val="88"/>
              </w:rPr>
              <w:t>$</w:t>
            </w:r>
            <w:r>
              <w:rPr>
                <w:rFonts w:ascii="Arial" w:cs="Arial" w:eastAsia="Arial" w:hAnsi="Arial"/>
                <w:sz w:val="18"/>
                <w:szCs w:val="18"/>
                <w:color w:val="auto"/>
                <w:w w:val="88"/>
              </w:rPr>
              <w:t>0.0001 per share</w:t>
            </w:r>
          </w:p>
        </w:tc>
        <w:tc>
          <w:tcPr>
            <w:tcW w:w="320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-2726690</wp:posOffset>
            </wp:positionV>
            <wp:extent cx="203263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32635"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have acted as special counsel to Selecta Biosciences,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resale from time to time by the selling stockholders (the “</w:t>
      </w:r>
      <w:r>
        <w:rPr>
          <w:rFonts w:ascii="Arial" w:cs="Arial" w:eastAsia="Arial" w:hAnsi="Arial"/>
          <w:sz w:val="17"/>
          <w:szCs w:val="17"/>
          <w:b w:val="1"/>
          <w:bCs w:val="1"/>
          <w:i w:val="1"/>
          <w:iCs w:val="1"/>
          <w:color w:val="auto"/>
        </w:rPr>
        <w:t>Selling Stockholders</w:t>
      </w:r>
      <w:r>
        <w:rPr>
          <w:rFonts w:ascii="Arial" w:cs="Arial" w:eastAsia="Arial" w:hAnsi="Arial"/>
          <w:sz w:val="17"/>
          <w:szCs w:val="17"/>
          <w:color w:val="auto"/>
        </w:rPr>
        <w:t>”) named in the Registration Statement (as defined below) of 3,167,921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of the Company’s common stock, par value $0.0001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The Shares include (i) 3,088,791 shares of Common Stock issued by the Company to the Selling Stockholders on June 27, 2017 (the “</w:t>
      </w:r>
      <w:r>
        <w:rPr>
          <w:rFonts w:ascii="Arial" w:cs="Arial" w:eastAsia="Arial" w:hAnsi="Arial"/>
          <w:sz w:val="17"/>
          <w:szCs w:val="17"/>
          <w:b w:val="1"/>
          <w:bCs w:val="1"/>
          <w:i w:val="1"/>
          <w:iCs w:val="1"/>
          <w:color w:val="auto"/>
        </w:rPr>
        <w:t>Common Shares</w:t>
      </w:r>
      <w:r>
        <w:rPr>
          <w:rFonts w:ascii="Arial" w:cs="Arial" w:eastAsia="Arial" w:hAnsi="Arial"/>
          <w:sz w:val="17"/>
          <w:szCs w:val="17"/>
          <w:color w:val="auto"/>
        </w:rPr>
        <w:t>”) and (ii) 79,130 shares of Common Stock issuable upon the exercise of a warrant issued by the Company to one of the Selling Stockholders (the “</w:t>
      </w:r>
      <w:r>
        <w:rPr>
          <w:rFonts w:ascii="Arial" w:cs="Arial" w:eastAsia="Arial" w:hAnsi="Arial"/>
          <w:sz w:val="17"/>
          <w:szCs w:val="17"/>
          <w:b w:val="1"/>
          <w:bCs w:val="1"/>
          <w:i w:val="1"/>
          <w:iCs w:val="1"/>
          <w:color w:val="auto"/>
        </w:rPr>
        <w:t>Warrant Holder</w:t>
      </w:r>
      <w:r>
        <w:rPr>
          <w:rFonts w:ascii="Arial" w:cs="Arial" w:eastAsia="Arial" w:hAnsi="Arial"/>
          <w:sz w:val="17"/>
          <w:szCs w:val="17"/>
          <w:color w:val="auto"/>
        </w:rPr>
        <w:t>”) on June 27, 2017 (the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and the shares of Common Stock issuable upon exercise of the Warrant, the “</w:t>
      </w:r>
      <w:r>
        <w:rPr>
          <w:rFonts w:ascii="Arial" w:cs="Arial" w:eastAsia="Arial" w:hAnsi="Arial"/>
          <w:sz w:val="17"/>
          <w:szCs w:val="17"/>
          <w:b w:val="1"/>
          <w:bCs w:val="1"/>
          <w:i w:val="1"/>
          <w:iCs w:val="1"/>
          <w:color w:val="auto"/>
        </w:rPr>
        <w:t>Warrant Shares</w:t>
      </w:r>
      <w:r>
        <w:rPr>
          <w:rFonts w:ascii="Arial" w:cs="Arial" w:eastAsia="Arial" w:hAnsi="Arial"/>
          <w:sz w:val="17"/>
          <w:szCs w:val="17"/>
          <w:color w:val="auto"/>
        </w:rPr>
        <w:t>”). The Shares are included in a registration statement on Form S-3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filed with the Securities and Exchange Commission on July 12, 2017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This opinion is being furnished in connection with the requirements of Item 601(b)(5) of Regulation S-K under the Act, and no opinion is expressed herein as to any matter pertaining to the contents of the Registration Statement or the prospectus contained therein, other than as expressly stated herein with respect to the issue of the Shares.</w:t>
      </w:r>
    </w:p>
    <w:p>
      <w:pPr>
        <w:spacing w:after="0" w:line="17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General Corporation Law of the State of Delaware, and we express no opinion with respect to any other laws.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foregoing and the other matters set forth herein, it is our opinion that, as of the date hereof:</w:t>
      </w:r>
    </w:p>
    <w:p>
      <w:pPr>
        <w:spacing w:after="0" w:line="225" w:lineRule="exact"/>
        <w:rPr>
          <w:sz w:val="20"/>
          <w:szCs w:val="20"/>
          <w:color w:val="auto"/>
        </w:rPr>
      </w:pPr>
    </w:p>
    <w:p>
      <w:pPr>
        <w:ind w:right="160" w:firstLine="656"/>
        <w:spacing w:after="0" w:line="277" w:lineRule="auto"/>
        <w:tabs>
          <w:tab w:leader="none" w:pos="13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issue and sale of the Common Shares have been duly authorized by all necessary corporate action of the Company, and the Common Shares are validly issued, fully paid and non-assessable.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right="20" w:firstLine="656"/>
        <w:spacing w:after="0" w:line="286" w:lineRule="auto"/>
        <w:tabs>
          <w:tab w:leader="none" w:pos="136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issue of the Warrant Shares has been duly authorized by all necessary corporate action of the Company, and when the Warrant Shares have been duly registered on the books of the transfer agent and registrar therefor in the name or on behalf of the Warrant Holder, and have been issued by the Company upon exercise of the Warrant, the Warrant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-821690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46"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In rendering the foregoing opinion 2, we have assumed that the Company will comply with all applicable notice requirements regarding uncertificated shares provided in the General Corporation Law of the State of Delaware.</w:t>
      </w:r>
    </w:p>
    <w:p>
      <w:pPr>
        <w:spacing w:after="0" w:line="170"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“Validity of the Common Stock.” In giving such consent, we do not thereby admit that we are in the category of persons whose consent is required under Section 7 of the Act or the rules and regulations of the Commission thereunder.</w:t>
      </w: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1420"/>
          </w:cols>
          <w:pgMar w:left="240" w:top="121" w:right="239" w:bottom="543"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543"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reference to our firm under the caption “Experts” in the Registration Statement (Form S-3) and related Prospectus of Selecta</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Biosciences, Inc. for the registration of 3,167,921 shares of its common stock and to the incorporation by reference therein of our report dated March 27, 2017 with respect to the consolidated financial statements of Selecta Biosciences, Inc. incorporated by reference in its Annual Report (Form 10-K) for the year ended December 31, 2016, filed with the Securities and Exchange Commission.</w:t>
      </w:r>
    </w:p>
    <w:p>
      <w:pPr>
        <w:spacing w:after="0" w:line="200" w:lineRule="exact"/>
        <w:rPr>
          <w:sz w:val="20"/>
          <w:szCs w:val="20"/>
          <w:color w:val="auto"/>
        </w:rPr>
      </w:pPr>
    </w:p>
    <w:p>
      <w:pPr>
        <w:spacing w:after="0" w:line="20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8"/>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
    <w:nsid w:val="109CF92E"/>
    <w:multiLevelType w:val="hybridMultilevel"/>
    <w:lvl w:ilvl="0">
      <w:lvlJc w:val="left"/>
      <w:lvlText w:val="(%1)"/>
      <w:numFmt w:val="lowerRoman"/>
      <w:start w:val="3"/>
    </w:lvl>
  </w:abstractNum>
  <w:abstractNum w:abstractNumId="10">
    <w:nsid w:val="DED7263"/>
    <w:multiLevelType w:val="hybridMultilevel"/>
    <w:lvl w:ilvl="0">
      <w:lvlJc w:val="left"/>
      <w:lvlText w:val="(%1)"/>
      <w:numFmt w:val="decimal"/>
      <w:start w:val="2"/>
    </w:lvl>
  </w:abstractNum>
  <w:abstractNum w:abstractNumId="11">
    <w:nsid w:val="7FDCC233"/>
    <w:multiLevelType w:val="hybridMultilevel"/>
    <w:lvl w:ilvl="0">
      <w:lvlJc w:val="left"/>
      <w:lvlText w:val="%1"/>
      <w:numFmt w:val="decimal"/>
      <w:start w:val="1"/>
    </w:lvl>
    <w:lvl w:ilvl="1">
      <w:lvlJc w:val="left"/>
      <w:lvlText w:val="(%2)"/>
      <w:numFmt w:val="decimal"/>
      <w:start w:val="5"/>
    </w:lvl>
    <w:lvl w:ilvl="2">
      <w:lvlJc w:val="left"/>
      <w:lvlText w:val="(%3)"/>
      <w:numFmt w:val="upperLetter"/>
      <w:start w:val="1"/>
    </w:lvl>
  </w:abstractNum>
  <w:abstractNum w:abstractNumId="12">
    <w:nsid w:val="1BEFD79F"/>
    <w:multiLevelType w:val="hybridMultilevel"/>
    <w:lvl w:ilvl="0">
      <w:lvlJc w:val="left"/>
      <w:lvlText w:val="(%1)"/>
      <w:numFmt w:val="decimal"/>
      <w:start w:val="6"/>
    </w:lvl>
    <w:lvl w:ilvl="1">
      <w:lvlJc w:val="left"/>
      <w:lvlText w:val="%2"/>
      <w:numFmt w:val="decimal"/>
      <w:start w:val="1"/>
    </w:lvl>
    <w:lvl w:ilvl="2">
      <w:lvlJc w:val="left"/>
      <w:lvlText w:val="%3"/>
      <w:numFmt w:val="upperLetter"/>
      <w:start w:val="1"/>
    </w:lvl>
  </w:abstractNum>
  <w:abstractNum w:abstractNumId="13">
    <w:nsid w:val="41A7C4C9"/>
    <w:multiLevelType w:val="hybridMultilevel"/>
    <w:lvl w:ilvl="0">
      <w:lvlJc w:val="left"/>
      <w:lvlText w:val="%1"/>
      <w:numFmt w:val="lowerLetter"/>
      <w:start w:val="1"/>
    </w:lvl>
    <w:lvl w:ilvl="1">
      <w:lvlJc w:val="left"/>
      <w:lvlText w:val="(%2)"/>
      <w:numFmt w:val="lowerRoman"/>
      <w:start w:val="1"/>
    </w:lvl>
  </w:abstractNum>
  <w:abstractNum w:abstractNumId="14">
    <w:nsid w:val="6B68079A"/>
    <w:multiLevelType w:val="hybridMultilevel"/>
    <w:lvl w:ilvl="0">
      <w:lvlJc w:val="left"/>
      <w:lvlText w:val="(%1)"/>
      <w:numFmt w:val="lowerLetter"/>
      <w:start w:val="2"/>
    </w:lvl>
    <w:lvl w:ilvl="1">
      <w:lvlJc w:val="left"/>
      <w:lvlText w:val="%2"/>
      <w:numFmt w:val="lowerRoman"/>
      <w:start w:val="1"/>
    </w:lvl>
  </w:abstractNum>
  <w:abstractNum w:abstractNumId="15">
    <w:nsid w:val="4E6AFB66"/>
    <w:multiLevelType w:val="hybridMultilevel"/>
    <w:lvl w:ilvl="0">
      <w:lvlJc w:val="left"/>
      <w:lvlText w:val="(%1)"/>
      <w:numFmt w:val="lowerLetter"/>
      <w:start w:val="8"/>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2019-12-07T10:23:22Z</dcterms:created>
  <dcterms:modified xsi:type="dcterms:W3CDTF">2019-12-07T10:23:22Z</dcterms:modified>
</cp:coreProperties>
</file>