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ORBIMED ADVISORS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w w:val="94"/>
              </w:rPr>
              <w:t>601 LEXINGTON AVENUE, 54TH FLOOR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60" w:type="dxa"/>
            <w:vAlign w:val="bottom"/>
            <w:gridSpan w:val="3"/>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gridSpan w:val="2"/>
          </w:tcPr>
          <w:p>
            <w:pPr>
              <w:ind w:left="340"/>
              <w:spacing w:after="0"/>
              <w:rPr>
                <w:sz w:val="20"/>
                <w:szCs w:val="20"/>
                <w:color w:val="auto"/>
              </w:rPr>
            </w:pPr>
            <w:r>
              <w:rPr>
                <w:rFonts w:ascii="Arial" w:cs="Arial" w:eastAsia="Arial" w:hAnsi="Arial"/>
                <w:sz w:val="18"/>
                <w:szCs w:val="18"/>
                <w:color w:val="0000FF"/>
              </w:rPr>
              <w:t>10022</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gridSpan w:val="2"/>
          </w:tcPr>
          <w:p>
            <w:pPr>
              <w:ind w:left="340"/>
              <w:spacing w:after="0"/>
              <w:rPr>
                <w:sz w:val="20"/>
                <w:szCs w:val="20"/>
                <w:color w:val="auto"/>
              </w:rPr>
            </w:pPr>
            <w:r>
              <w:rPr>
                <w:rFonts w:ascii="Arial" w:cs="Arial" w:eastAsia="Arial" w:hAnsi="Arial"/>
                <w:sz w:val="14"/>
                <w:szCs w:val="14"/>
                <w:color w:val="auto"/>
              </w:rPr>
              <w:t>(Zip)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SELECTA BIOSCIENCES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SELB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20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1"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4"/>
          <w:szCs w:val="24"/>
          <w:color w:val="auto"/>
        </w:rPr>
      </w:pPr>
    </w:p>
    <w:p>
      <w:pPr>
        <w:sectPr>
          <w:pgSz w:w="11900" w:h="16838" w:orient="portrait"/>
          <w:cols w:equalWidth="0" w:num="2">
            <w:col w:w="4720" w:space="480"/>
            <w:col w:w="6220"/>
          </w:cols>
          <w:pgMar w:left="240" w:top="226" w:right="239" w:bottom="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677"/>
              <w:spacing w:after="0"/>
              <w:rPr>
                <w:sz w:val="20"/>
                <w:szCs w:val="20"/>
                <w:color w:val="auto"/>
              </w:rPr>
            </w:pPr>
            <w:r>
              <w:rPr>
                <w:rFonts w:ascii="Arial" w:cs="Arial" w:eastAsia="Arial" w:hAnsi="Arial"/>
                <w:sz w:val="18"/>
                <w:szCs w:val="18"/>
                <w:color w:val="0000FF"/>
              </w:rPr>
              <w:t>1,082</w:t>
            </w:r>
          </w:p>
        </w:tc>
        <w:tc>
          <w:tcPr>
            <w:tcW w:w="9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178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86"/>
              </w:rPr>
              <w:t>See Footnote</w:t>
            </w:r>
            <w:r>
              <w:rPr>
                <w:rFonts w:ascii="Arial" w:cs="Arial" w:eastAsia="Arial" w:hAnsi="Arial"/>
                <w:sz w:val="22"/>
                <w:szCs w:val="22"/>
                <w:color w:val="008000"/>
                <w:w w:val="86"/>
                <w:vertAlign w:val="superscript"/>
              </w:rPr>
              <w:t>(1)(4)</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597"/>
              <w:spacing w:after="0"/>
              <w:rPr>
                <w:sz w:val="20"/>
                <w:szCs w:val="20"/>
                <w:color w:val="auto"/>
              </w:rPr>
            </w:pPr>
            <w:r>
              <w:rPr>
                <w:rFonts w:ascii="Arial" w:cs="Arial" w:eastAsia="Arial" w:hAnsi="Arial"/>
                <w:sz w:val="18"/>
                <w:szCs w:val="18"/>
                <w:color w:val="0000FF"/>
              </w:rPr>
              <w:t>113,720</w:t>
            </w:r>
          </w:p>
        </w:tc>
        <w:tc>
          <w:tcPr>
            <w:tcW w:w="9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178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86"/>
              </w:rPr>
              <w:t>See Footnote</w:t>
            </w:r>
            <w:r>
              <w:rPr>
                <w:rFonts w:ascii="Arial" w:cs="Arial" w:eastAsia="Arial" w:hAnsi="Arial"/>
                <w:sz w:val="22"/>
                <w:szCs w:val="22"/>
                <w:color w:val="008000"/>
                <w:w w:val="86"/>
                <w:vertAlign w:val="superscript"/>
              </w:rPr>
              <w:t>(2)(4)</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380" w:type="dxa"/>
            <w:vAlign w:val="bottom"/>
            <w:tcBorders>
              <w:top w:val="single" w:sz="8" w:color="2C2C2C"/>
            </w:tcBorders>
          </w:tcPr>
          <w:p>
            <w:pPr>
              <w:spacing w:after="0"/>
              <w:rPr>
                <w:sz w:val="19"/>
                <w:szCs w:val="19"/>
                <w:color w:val="auto"/>
              </w:rPr>
            </w:pPr>
          </w:p>
        </w:tc>
        <w:tc>
          <w:tcPr>
            <w:tcW w:w="1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6"/>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60" w:type="dxa"/>
            <w:vAlign w:val="bottom"/>
            <w:gridSpan w:val="8"/>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820" w:type="dxa"/>
            <w:vAlign w:val="bottom"/>
          </w:tcPr>
          <w:p>
            <w:pPr>
              <w:spacing w:after="0"/>
              <w:rPr>
                <w:sz w:val="16"/>
                <w:szCs w:val="16"/>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8"/>
              </w:rPr>
              <w:t>Series C Convertible Preferred Stock</w:t>
            </w:r>
          </w:p>
        </w:tc>
        <w:tc>
          <w:tcPr>
            <w:tcW w:w="1740" w:type="dxa"/>
            <w:vAlign w:val="bottom"/>
            <w:tcBorders>
              <w:bottom w:val="single" w:sz="8" w:color="2C2C2C"/>
            </w:tcBorders>
            <w:gridSpan w:val="2"/>
          </w:tcPr>
          <w:p>
            <w:pPr>
              <w:jc w:val="center"/>
              <w:ind w:left="735"/>
              <w:spacing w:after="0"/>
              <w:rPr>
                <w:sz w:val="20"/>
                <w:szCs w:val="20"/>
                <w:color w:val="auto"/>
              </w:rPr>
            </w:pPr>
            <w:r>
              <w:rPr>
                <w:rFonts w:ascii="Arial" w:cs="Arial" w:eastAsia="Arial" w:hAnsi="Arial"/>
                <w:sz w:val="11"/>
                <w:szCs w:val="11"/>
                <w:color w:val="008000"/>
              </w:rPr>
              <w:t>(3)</w:t>
            </w:r>
          </w:p>
        </w:tc>
        <w:tc>
          <w:tcPr>
            <w:tcW w:w="7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8"/>
              </w:rPr>
              <w:t>3,628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8"/>
              </w:rPr>
              <w:t>Series C Convertible Preferred Stock</w:t>
            </w:r>
          </w:p>
        </w:tc>
        <w:tc>
          <w:tcPr>
            <w:tcW w:w="1740" w:type="dxa"/>
            <w:vAlign w:val="bottom"/>
            <w:tcBorders>
              <w:bottom w:val="single" w:sz="8" w:color="2C2C2C"/>
            </w:tcBorders>
            <w:gridSpan w:val="2"/>
          </w:tcPr>
          <w:p>
            <w:pPr>
              <w:jc w:val="center"/>
              <w:ind w:left="735"/>
              <w:spacing w:after="0"/>
              <w:rPr>
                <w:sz w:val="20"/>
                <w:szCs w:val="20"/>
                <w:color w:val="auto"/>
              </w:rPr>
            </w:pPr>
            <w:r>
              <w:rPr>
                <w:rFonts w:ascii="Arial" w:cs="Arial" w:eastAsia="Arial" w:hAnsi="Arial"/>
                <w:sz w:val="11"/>
                <w:szCs w:val="11"/>
                <w:color w:val="008000"/>
              </w:rPr>
              <w:t>(3)</w:t>
            </w:r>
          </w:p>
        </w:tc>
        <w:tc>
          <w:tcPr>
            <w:tcW w:w="7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9"/>
              </w:rPr>
              <w:t>380,986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8"/>
              </w:rPr>
              <w:t>Series D Convertible Preferred Stock</w:t>
            </w:r>
          </w:p>
        </w:tc>
        <w:tc>
          <w:tcPr>
            <w:tcW w:w="1740" w:type="dxa"/>
            <w:vAlign w:val="bottom"/>
            <w:tcBorders>
              <w:bottom w:val="single" w:sz="8" w:color="2C2C2C"/>
            </w:tcBorders>
            <w:gridSpan w:val="2"/>
          </w:tcPr>
          <w:p>
            <w:pPr>
              <w:jc w:val="center"/>
              <w:ind w:left="735"/>
              <w:spacing w:after="0"/>
              <w:rPr>
                <w:sz w:val="20"/>
                <w:szCs w:val="20"/>
                <w:color w:val="auto"/>
              </w:rPr>
            </w:pPr>
            <w:r>
              <w:rPr>
                <w:rFonts w:ascii="Arial" w:cs="Arial" w:eastAsia="Arial" w:hAnsi="Arial"/>
                <w:sz w:val="11"/>
                <w:szCs w:val="11"/>
                <w:color w:val="008000"/>
              </w:rPr>
              <w:t>(3)</w:t>
            </w:r>
          </w:p>
        </w:tc>
        <w:tc>
          <w:tcPr>
            <w:tcW w:w="7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6"/>
              </w:rPr>
              <w:t>739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8"/>
              </w:rPr>
              <w:t>Series D Convertible Preferred Stock</w:t>
            </w:r>
          </w:p>
        </w:tc>
        <w:tc>
          <w:tcPr>
            <w:tcW w:w="1740" w:type="dxa"/>
            <w:vAlign w:val="bottom"/>
            <w:tcBorders>
              <w:bottom w:val="single" w:sz="8" w:color="2C2C2C"/>
            </w:tcBorders>
            <w:gridSpan w:val="2"/>
          </w:tcPr>
          <w:p>
            <w:pPr>
              <w:jc w:val="center"/>
              <w:ind w:left="735"/>
              <w:spacing w:after="0"/>
              <w:rPr>
                <w:sz w:val="20"/>
                <w:szCs w:val="20"/>
                <w:color w:val="auto"/>
              </w:rPr>
            </w:pPr>
            <w:r>
              <w:rPr>
                <w:rFonts w:ascii="Arial" w:cs="Arial" w:eastAsia="Arial" w:hAnsi="Arial"/>
                <w:sz w:val="11"/>
                <w:szCs w:val="11"/>
                <w:color w:val="008000"/>
              </w:rPr>
              <w:t>(3)</w:t>
            </w:r>
          </w:p>
        </w:tc>
        <w:tc>
          <w:tcPr>
            <w:tcW w:w="7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7"/>
              </w:rPr>
              <w:t>77,697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Series E Convertible Preferred Stock</w:t>
            </w:r>
          </w:p>
        </w:tc>
        <w:tc>
          <w:tcPr>
            <w:tcW w:w="1740" w:type="dxa"/>
            <w:vAlign w:val="bottom"/>
            <w:tcBorders>
              <w:bottom w:val="single" w:sz="8" w:color="2C2C2C"/>
            </w:tcBorders>
            <w:gridSpan w:val="2"/>
          </w:tcPr>
          <w:p>
            <w:pPr>
              <w:jc w:val="center"/>
              <w:ind w:left="735"/>
              <w:spacing w:after="0"/>
              <w:rPr>
                <w:sz w:val="20"/>
                <w:szCs w:val="20"/>
                <w:color w:val="auto"/>
              </w:rPr>
            </w:pPr>
            <w:r>
              <w:rPr>
                <w:rFonts w:ascii="Arial" w:cs="Arial" w:eastAsia="Arial" w:hAnsi="Arial"/>
                <w:sz w:val="11"/>
                <w:szCs w:val="11"/>
                <w:color w:val="008000"/>
              </w:rPr>
              <w:t>(3)</w:t>
            </w:r>
          </w:p>
        </w:tc>
        <w:tc>
          <w:tcPr>
            <w:tcW w:w="7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8"/>
              </w:rPr>
              <w:t>4,351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Series E Convertible Preferred Stock</w:t>
            </w:r>
          </w:p>
        </w:tc>
        <w:tc>
          <w:tcPr>
            <w:tcW w:w="1740" w:type="dxa"/>
            <w:vAlign w:val="bottom"/>
            <w:tcBorders>
              <w:bottom w:val="single" w:sz="8" w:color="2C2C2C"/>
            </w:tcBorders>
            <w:gridSpan w:val="2"/>
          </w:tcPr>
          <w:p>
            <w:pPr>
              <w:jc w:val="center"/>
              <w:ind w:left="735"/>
              <w:spacing w:after="0"/>
              <w:rPr>
                <w:sz w:val="20"/>
                <w:szCs w:val="20"/>
                <w:color w:val="auto"/>
              </w:rPr>
            </w:pPr>
            <w:r>
              <w:rPr>
                <w:rFonts w:ascii="Arial" w:cs="Arial" w:eastAsia="Arial" w:hAnsi="Arial"/>
                <w:sz w:val="11"/>
                <w:szCs w:val="11"/>
                <w:color w:val="008000"/>
              </w:rPr>
              <w:t>(3)</w:t>
            </w:r>
          </w:p>
        </w:tc>
        <w:tc>
          <w:tcPr>
            <w:tcW w:w="7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9"/>
              </w:rPr>
              <w:t>456,870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2"/>
              </w:rPr>
              <w:t>Common Warrants</w:t>
            </w: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735"/>
              <w:spacing w:after="0"/>
              <w:rPr>
                <w:sz w:val="20"/>
                <w:szCs w:val="20"/>
                <w:color w:val="auto"/>
              </w:rPr>
            </w:pPr>
            <w:r>
              <w:rPr>
                <w:rFonts w:ascii="Arial" w:cs="Arial" w:eastAsia="Arial" w:hAnsi="Arial"/>
                <w:sz w:val="14"/>
                <w:szCs w:val="14"/>
                <w:color w:val="0000FF"/>
                <w:w w:val="88"/>
              </w:rPr>
              <w:t>07/24/2015</w:t>
            </w:r>
          </w:p>
        </w:tc>
        <w:tc>
          <w:tcPr>
            <w:tcW w:w="78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4"/>
                <w:szCs w:val="14"/>
                <w:color w:val="0000FF"/>
                <w:w w:val="88"/>
              </w:rPr>
              <w:t>07/24/2018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9"/>
              </w:rPr>
              <w:t>61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17.55</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2"/>
              </w:rPr>
              <w:t>Common Warrants</w:t>
            </w: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735"/>
              <w:spacing w:after="0"/>
              <w:rPr>
                <w:sz w:val="20"/>
                <w:szCs w:val="20"/>
                <w:color w:val="auto"/>
              </w:rPr>
            </w:pPr>
            <w:r>
              <w:rPr>
                <w:rFonts w:ascii="Arial" w:cs="Arial" w:eastAsia="Arial" w:hAnsi="Arial"/>
                <w:sz w:val="14"/>
                <w:szCs w:val="14"/>
                <w:color w:val="0000FF"/>
                <w:w w:val="88"/>
              </w:rPr>
              <w:t>07/24/2015</w:t>
            </w:r>
          </w:p>
        </w:tc>
        <w:tc>
          <w:tcPr>
            <w:tcW w:w="78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4"/>
                <w:szCs w:val="14"/>
                <w:color w:val="0000FF"/>
                <w:w w:val="88"/>
              </w:rPr>
              <w:t>07/24/2018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8"/>
              </w:rPr>
              <w:t>6,513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17.55</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(2)(4)</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82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4" w:lineRule="exact"/>
              <w:rPr>
                <w:rFonts w:ascii="Arial" w:cs="Arial" w:eastAsia="Arial" w:hAnsi="Arial"/>
                <w:sz w:val="22"/>
                <w:szCs w:val="22"/>
                <w:color w:val="0000EE"/>
                <w:w w:val="95"/>
              </w:rPr>
            </w:pPr>
            <w:hyperlink r:id="rId11">
              <w:r>
                <w:rPr>
                  <w:rFonts w:ascii="Arial" w:cs="Arial" w:eastAsia="Arial" w:hAnsi="Arial"/>
                  <w:sz w:val="22"/>
                  <w:szCs w:val="22"/>
                  <w:color w:val="0000EE"/>
                  <w:w w:val="95"/>
                </w:rPr>
                <w:t>ORBIMED ADVISORS LLC</w:t>
              </w:r>
            </w:hyperlink>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(Last)</w:t>
            </w:r>
          </w:p>
        </w:tc>
        <w:tc>
          <w:tcPr>
            <w:tcW w:w="122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40" w:type="dxa"/>
            <w:vAlign w:val="bottom"/>
            <w:gridSpan w:val="2"/>
          </w:tcPr>
          <w:p>
            <w:pPr>
              <w:ind w:left="32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5"/>
          </w:tcPr>
          <w:p>
            <w:pPr>
              <w:spacing w:after="0"/>
              <w:rPr>
                <w:sz w:val="20"/>
                <w:szCs w:val="20"/>
                <w:color w:val="auto"/>
              </w:rPr>
            </w:pPr>
            <w:r>
              <w:rPr>
                <w:rFonts w:ascii="Arial" w:cs="Arial" w:eastAsia="Arial" w:hAnsi="Arial"/>
                <w:sz w:val="18"/>
                <w:szCs w:val="18"/>
                <w:color w:val="0000FF"/>
              </w:rPr>
              <w:t>601 LEXINGTON AVENUE, 54TH FLOOR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0"/>
                <w:szCs w:val="20"/>
                <w:color w:val="auto"/>
              </w:rPr>
            </w:pPr>
            <w:r>
              <w:rPr>
                <w:rFonts w:ascii="Arial" w:cs="Arial" w:eastAsia="Arial" w:hAnsi="Arial"/>
                <w:sz w:val="18"/>
                <w:szCs w:val="18"/>
                <w:color w:val="0000FF"/>
              </w:rPr>
              <w:t>NEW YORK</w:t>
            </w:r>
          </w:p>
        </w:tc>
        <w:tc>
          <w:tcPr>
            <w:tcW w:w="122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820" w:type="dxa"/>
            <w:vAlign w:val="bottom"/>
          </w:tcPr>
          <w:p>
            <w:pPr>
              <w:ind w:left="320"/>
              <w:spacing w:after="0"/>
              <w:rPr>
                <w:sz w:val="20"/>
                <w:szCs w:val="20"/>
                <w:color w:val="auto"/>
              </w:rPr>
            </w:pPr>
            <w:r>
              <w:rPr>
                <w:rFonts w:ascii="Arial" w:cs="Arial" w:eastAsia="Arial" w:hAnsi="Arial"/>
                <w:sz w:val="18"/>
                <w:szCs w:val="18"/>
                <w:color w:val="0000FF"/>
                <w:w w:val="95"/>
              </w:rPr>
              <w:t>10022</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40" w:type="dxa"/>
            <w:vAlign w:val="bottom"/>
            <w:gridSpan w:val="2"/>
          </w:tcPr>
          <w:p>
            <w:pPr>
              <w:ind w:left="32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OrbiMed Capital GP III LLC</w:t>
              </w:r>
            </w:hyperlink>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(Last)</w:t>
            </w:r>
          </w:p>
        </w:tc>
        <w:tc>
          <w:tcPr>
            <w:tcW w:w="122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40" w:type="dxa"/>
            <w:vAlign w:val="bottom"/>
            <w:gridSpan w:val="2"/>
          </w:tcPr>
          <w:p>
            <w:pPr>
              <w:ind w:left="32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601 LEXINGTON AVENUE, 54TH FLOOR</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4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10022</w:t>
      </w:r>
    </w:p>
    <w:p>
      <w:pPr>
        <w:sectPr>
          <w:pgSz w:w="11900" w:h="16838" w:orient="portrait"/>
          <w:cols w:equalWidth="0" w:num="1">
            <w:col w:w="11420"/>
          </w:cols>
          <w:pgMar w:left="240" w:top="226" w:right="239" w:bottom="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ISALY SAMUEL D</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601 LEXINGTON AVENUE, 54TH FLOOR</w:t>
            </w: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856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1856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14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OrbiMed Associates III, LP ("Associates III"). OrbiMed Advisors LLC ("Advisors") is the general partner of Associates III. Samuel D. Isaly ("Isaly"), a natural person, is the managing member of and owner of a controlling interest in Advisors. By virtue of such relationships, Advisors and Isaly may be deemed to have voting and investment power over the securities held by Associates III and as a result may be deemed to have beneficial ownership over such securities.</w:t>
      </w:r>
    </w:p>
    <w:p>
      <w:pPr>
        <w:spacing w:after="0" w:line="30"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OrbiMed Private Investments III, LP ("OPI III"). OrbiMed Capital GP III LLC ("GP III") is the general partner of OPI III, and Advisors is the managing member of GP III. Isaly is the managing member of and owner of a controlling interest in Advisors. By virtue of such relationships, GP III, Advisors and Isaly may be deemed to have voting and investment power over the securities held by OPI III and as a result may be deemed to have beneficial ownership over such securities.</w:t>
      </w:r>
    </w:p>
    <w:p>
      <w:pPr>
        <w:spacing w:after="0" w:line="30" w:lineRule="exact"/>
        <w:rPr>
          <w:rFonts w:ascii="Arial" w:cs="Arial" w:eastAsia="Arial" w:hAnsi="Arial"/>
          <w:sz w:val="14"/>
          <w:szCs w:val="14"/>
          <w:color w:val="008000"/>
        </w:rPr>
      </w:pPr>
    </w:p>
    <w:p>
      <w:pPr>
        <w:ind w:left="20" w:right="18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preferred stock is convertible at any time, at the holder's election and has no expiration date. The preferred stock will automatically convert into common stock upon the closing of the Issuer's initial public offering.</w:t>
      </w:r>
    </w:p>
    <w:p>
      <w:pPr>
        <w:spacing w:after="0" w:line="30" w:lineRule="exact"/>
        <w:rPr>
          <w:rFonts w:ascii="Arial" w:cs="Arial" w:eastAsia="Arial" w:hAnsi="Arial"/>
          <w:sz w:val="14"/>
          <w:szCs w:val="14"/>
          <w:color w:val="008000"/>
        </w:rPr>
      </w:pPr>
    </w:p>
    <w:p>
      <w:pPr>
        <w:jc w:val="both"/>
        <w:ind w:left="2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report on Form 3 is jointly filed by GP III, Advisors, and Isaly. Each of the Reporting Persons disclaims beneficial ownership of the securities reported herein for purposes of Rule 16a-1(a) under the Securities Exchange Act of 1934, as amended (the "Exchange Act"), except to the extent of its or his pecuniary interest therein, if any. The Reporting Persons have designated Dr. Carl Gordon, a member of Advisors, to serve on the Issuer's board of directors. This report shall not be deemed an admission that any of the Reporting Persons is a beneficial owner for the purpose of Section 16 of the Exchange Act, or for any other purpose.</w:t>
      </w:r>
    </w:p>
    <w:p>
      <w:pPr>
        <w:spacing w:after="0" w:line="37"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Samuel D. Isaly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06/21/2016</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4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60" w:top="1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1" Type="http://schemas.openxmlformats.org/officeDocument/2006/relationships/hyperlink" Target="http://www.sec.gov/cgi-bin/browse-edgar?action=getcompany&amp;CIK=0001055951" TargetMode="External"/><Relationship Id="rId12" Type="http://schemas.openxmlformats.org/officeDocument/2006/relationships/hyperlink" Target="http://www.sec.gov/cgi-bin/browse-edgar?action=getcompany&amp;CIK=0001453687" TargetMode="External"/><Relationship Id="rId13" Type="http://schemas.openxmlformats.org/officeDocument/2006/relationships/hyperlink" Target="http://www.sec.gov/cgi-bin/browse-edgar?action=getcompany&amp;CIK=0001432241" TargetMode="External"/><Relationship Id="rId14" Type="http://schemas.openxmlformats.org/officeDocument/2006/relationships/hyperlink" Target="http://www.sec.gov/cgi-bin/browse-edgar?action=getcompany&amp;CIK=00010559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2019-12-23T20:31:42Z</dcterms:created>
  <dcterms:modified xsi:type="dcterms:W3CDTF">2019-12-23T20:31:42Z</dcterms:modified>
</cp:coreProperties>
</file>