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 Peter Strand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K. Bradshaw, Jr.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20,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sent.</w:t>
      </w:r>
    </w:p>
    <w:p>
      <w:pPr>
        <w:spacing w:after="0" w:line="166" w:lineRule="exact"/>
        <w:rPr>
          <w:sz w:val="24"/>
          <w:szCs w:val="24"/>
          <w:color w:val="auto"/>
        </w:rPr>
      </w:pPr>
    </w:p>
    <w:p>
      <w:pPr>
        <w:ind w:left="460" w:right="240" w:hanging="448"/>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34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Timothy A. Springer</w:t>
      </w:r>
    </w:p>
    <w:p>
      <w:pPr>
        <w:spacing w:after="0" w:line="42" w:lineRule="exact"/>
        <w:rPr>
          <w:rFonts w:ascii="Arial" w:cs="Arial" w:eastAsia="Arial" w:hAnsi="Arial"/>
          <w:sz w:val="16"/>
          <w:szCs w:val="16"/>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ectPr>
          <w:pgSz w:w="11900" w:h="16838" w:orient="portrait"/>
          <w:cols w:equalWidth="0" w:num="1">
            <w:col w:w="11220"/>
          </w:cols>
          <w:pgMar w:left="340" w:top="904" w:right="339" w:bottom="1440" w:gutter="0" w:footer="0" w:header="0"/>
        </w:sectPr>
      </w:pPr>
    </w:p>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left="545" w:right="7500" w:hanging="545"/>
        <w:spacing w:after="0" w:line="34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Sole Voting Power 23,936,974 shares</w:t>
      </w:r>
    </w:p>
    <w:p>
      <w:pPr>
        <w:spacing w:after="0" w:line="42" w:lineRule="exact"/>
        <w:rPr>
          <w:rFonts w:ascii="Arial" w:cs="Arial" w:eastAsia="Arial" w:hAnsi="Arial"/>
          <w:sz w:val="16"/>
          <w:szCs w:val="16"/>
          <w:color w:val="auto"/>
        </w:rPr>
      </w:pPr>
    </w:p>
    <w:p>
      <w:pPr>
        <w:ind w:left="545" w:right="7320" w:hanging="545"/>
        <w:spacing w:after="0" w:line="277" w:lineRule="auto"/>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0 shares</w:t>
      </w:r>
    </w:p>
    <w:p>
      <w:pPr>
        <w:spacing w:after="0" w:line="89" w:lineRule="exact"/>
        <w:rPr>
          <w:rFonts w:ascii="Arial" w:cs="Arial" w:eastAsia="Arial" w:hAnsi="Arial"/>
          <w:sz w:val="18"/>
          <w:szCs w:val="18"/>
          <w:color w:val="auto"/>
        </w:rPr>
      </w:pPr>
    </w:p>
    <w:p>
      <w:pPr>
        <w:ind w:left="545" w:right="7160" w:hanging="545"/>
        <w:spacing w:after="0" w:line="34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Sole Dispositive Power 23,936,974 shares</w:t>
      </w:r>
    </w:p>
    <w:p>
      <w:pPr>
        <w:spacing w:after="0" w:line="42" w:lineRule="exact"/>
        <w:rPr>
          <w:rFonts w:ascii="Arial" w:cs="Arial" w:eastAsia="Arial" w:hAnsi="Arial"/>
          <w:sz w:val="16"/>
          <w:szCs w:val="16"/>
          <w:color w:val="auto"/>
        </w:rPr>
      </w:pPr>
    </w:p>
    <w:p>
      <w:pPr>
        <w:ind w:left="545" w:right="6980" w:hanging="545"/>
        <w:spacing w:after="0" w:line="277" w:lineRule="auto"/>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0 shares</w:t>
      </w:r>
    </w:p>
    <w:p>
      <w:pPr>
        <w:spacing w:after="0" w:line="89" w:lineRule="exact"/>
        <w:rPr>
          <w:sz w:val="20"/>
          <w:szCs w:val="20"/>
          <w:color w:val="auto"/>
        </w:rPr>
      </w:pPr>
    </w:p>
    <w:p>
      <w:pPr>
        <w:sectPr>
          <w:pgSz w:w="11900" w:h="16838" w:orient="portrait"/>
          <w:cols w:equalWidth="0" w:num="2">
            <w:col w:w="1280" w:space="535"/>
            <w:col w:w="9405"/>
          </w:cols>
          <w:pgMar w:left="340" w:top="904" w:right="339" w:bottom="1440" w:gutter="0" w:footer="0" w:header="0"/>
          <w:type w:val="continuous"/>
        </w:sectPr>
      </w:pPr>
    </w:p>
    <w:p>
      <w:pPr>
        <w:ind w:left="580" w:right="5840" w:hanging="414"/>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23,936,974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167" w:lineRule="exact"/>
        <w:rPr>
          <w:rFonts w:ascii="Arial" w:cs="Arial" w:eastAsia="Arial" w:hAnsi="Arial"/>
          <w:sz w:val="16"/>
          <w:szCs w:val="16"/>
          <w:color w:val="auto"/>
        </w:rPr>
      </w:pPr>
    </w:p>
    <w:p>
      <w:pPr>
        <w:ind w:left="580" w:right="6780" w:hanging="414"/>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22.3%</w:t>
      </w:r>
    </w:p>
    <w:p>
      <w:pPr>
        <w:spacing w:after="0" w:line="89" w:lineRule="exact"/>
        <w:rPr>
          <w:rFonts w:ascii="Arial" w:cs="Arial" w:eastAsia="Arial" w:hAnsi="Arial"/>
          <w:sz w:val="18"/>
          <w:szCs w:val="18"/>
          <w:color w:val="auto"/>
        </w:rPr>
      </w:pPr>
    </w:p>
    <w:p>
      <w:pPr>
        <w:ind w:left="580" w:right="7480" w:hanging="414"/>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 w:name="page3"/>
    <w:bookmarkEnd w:id="2"/>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TAS Partners LLC</w:t>
      </w:r>
    </w:p>
    <w:p>
      <w:pPr>
        <w:spacing w:after="0" w:line="65" w:lineRule="exact"/>
        <w:rPr>
          <w:rFonts w:ascii="Arial" w:cs="Arial" w:eastAsia="Arial" w:hAnsi="Arial"/>
          <w:sz w:val="17"/>
          <w:szCs w:val="17"/>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ectPr>
          <w:pgSz w:w="11900" w:h="16838" w:orient="portrait"/>
          <w:cols w:equalWidth="0" w:num="1">
            <w:col w:w="11220"/>
          </w:cols>
          <w:pgMar w:left="340" w:top="904" w:right="339" w:bottom="1440" w:gutter="0" w:footer="0" w:header="0"/>
        </w:sectPr>
      </w:pPr>
    </w:p>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left="545" w:right="7500" w:hanging="545"/>
        <w:spacing w:after="0" w:line="342" w:lineRule="auto"/>
        <w:tabs>
          <w:tab w:leader="none" w:pos="545"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Voting Power 16,451,391 shares</w:t>
      </w:r>
    </w:p>
    <w:p>
      <w:pPr>
        <w:spacing w:after="0" w:line="42" w:lineRule="exact"/>
        <w:rPr>
          <w:rFonts w:ascii="Arial" w:cs="Arial" w:eastAsia="Arial" w:hAnsi="Arial"/>
          <w:sz w:val="16"/>
          <w:szCs w:val="16"/>
          <w:color w:val="auto"/>
        </w:rPr>
      </w:pPr>
    </w:p>
    <w:p>
      <w:pPr>
        <w:ind w:left="545" w:right="7320" w:hanging="545"/>
        <w:spacing w:after="0" w:line="277" w:lineRule="auto"/>
        <w:tabs>
          <w:tab w:leader="none" w:pos="54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Voting Power 0 shares</w:t>
      </w:r>
    </w:p>
    <w:p>
      <w:pPr>
        <w:spacing w:after="0" w:line="89" w:lineRule="exact"/>
        <w:rPr>
          <w:rFonts w:ascii="Arial" w:cs="Arial" w:eastAsia="Arial" w:hAnsi="Arial"/>
          <w:sz w:val="18"/>
          <w:szCs w:val="18"/>
          <w:color w:val="auto"/>
        </w:rPr>
      </w:pPr>
    </w:p>
    <w:p>
      <w:pPr>
        <w:ind w:left="545" w:right="7160" w:hanging="545"/>
        <w:spacing w:after="0" w:line="342" w:lineRule="auto"/>
        <w:tabs>
          <w:tab w:leader="none" w:pos="545"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Dispositive Power 16,451,391 shares</w:t>
      </w:r>
    </w:p>
    <w:p>
      <w:pPr>
        <w:spacing w:after="0" w:line="42" w:lineRule="exact"/>
        <w:rPr>
          <w:rFonts w:ascii="Arial" w:cs="Arial" w:eastAsia="Arial" w:hAnsi="Arial"/>
          <w:sz w:val="16"/>
          <w:szCs w:val="16"/>
          <w:color w:val="auto"/>
        </w:rPr>
      </w:pPr>
    </w:p>
    <w:p>
      <w:pPr>
        <w:ind w:left="545" w:right="6980" w:hanging="545"/>
        <w:spacing w:after="0" w:line="277" w:lineRule="auto"/>
        <w:tabs>
          <w:tab w:leader="none" w:pos="54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Dispositive Power 0 shares</w:t>
      </w:r>
    </w:p>
    <w:p>
      <w:pPr>
        <w:spacing w:after="0" w:line="89" w:lineRule="exact"/>
        <w:rPr>
          <w:sz w:val="20"/>
          <w:szCs w:val="20"/>
          <w:color w:val="auto"/>
        </w:rPr>
      </w:pPr>
    </w:p>
    <w:p>
      <w:pPr>
        <w:sectPr>
          <w:pgSz w:w="11900" w:h="16838" w:orient="portrait"/>
          <w:cols w:equalWidth="0" w:num="2">
            <w:col w:w="1280" w:space="535"/>
            <w:col w:w="9405"/>
          </w:cols>
          <w:pgMar w:left="340" w:top="904" w:right="339" w:bottom="1440" w:gutter="0" w:footer="0" w:header="0"/>
          <w:type w:val="continuous"/>
        </w:sectPr>
      </w:pPr>
    </w:p>
    <w:p>
      <w:pPr>
        <w:ind w:left="580" w:right="5840" w:hanging="41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16,451,391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167" w:lineRule="exact"/>
        <w:rPr>
          <w:rFonts w:ascii="Arial" w:cs="Arial" w:eastAsia="Arial" w:hAnsi="Arial"/>
          <w:sz w:val="16"/>
          <w:szCs w:val="16"/>
          <w:color w:val="auto"/>
        </w:rPr>
      </w:pPr>
    </w:p>
    <w:p>
      <w:pPr>
        <w:ind w:left="580" w:right="6780" w:hanging="41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15.4%</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3" w:name="page4"/>
    <w:bookmarkEnd w:id="3"/>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Chafen Lu</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ectPr>
          <w:pgSz w:w="11900" w:h="16838" w:orient="portrait"/>
          <w:cols w:equalWidth="0" w:num="1">
            <w:col w:w="11220"/>
          </w:cols>
          <w:pgMar w:left="340" w:top="904" w:right="339" w:bottom="1440" w:gutter="0" w:footer="0" w:header="0"/>
        </w:sectPr>
      </w:pPr>
    </w:p>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45" w:right="7500" w:hanging="545"/>
        <w:spacing w:after="0" w:line="342" w:lineRule="auto"/>
        <w:tabs>
          <w:tab w:leader="none" w:pos="545"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Voting Power 86,418 shares</w:t>
      </w:r>
    </w:p>
    <w:p>
      <w:pPr>
        <w:spacing w:after="0" w:line="42" w:lineRule="exact"/>
        <w:rPr>
          <w:rFonts w:ascii="Arial" w:cs="Arial" w:eastAsia="Arial" w:hAnsi="Arial"/>
          <w:sz w:val="16"/>
          <w:szCs w:val="16"/>
          <w:color w:val="auto"/>
        </w:rPr>
      </w:pPr>
    </w:p>
    <w:p>
      <w:pPr>
        <w:ind w:left="545" w:right="7320" w:hanging="545"/>
        <w:spacing w:after="0" w:line="277"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0 shares</w:t>
      </w:r>
    </w:p>
    <w:p>
      <w:pPr>
        <w:spacing w:after="0" w:line="89" w:lineRule="exact"/>
        <w:rPr>
          <w:rFonts w:ascii="Arial" w:cs="Arial" w:eastAsia="Arial" w:hAnsi="Arial"/>
          <w:sz w:val="18"/>
          <w:szCs w:val="18"/>
          <w:color w:val="auto"/>
        </w:rPr>
      </w:pPr>
    </w:p>
    <w:p>
      <w:pPr>
        <w:ind w:left="545" w:right="7160" w:hanging="545"/>
        <w:spacing w:after="0" w:line="308" w:lineRule="auto"/>
        <w:tabs>
          <w:tab w:leader="none" w:pos="545"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Dispositive Power 86,418 shares</w:t>
      </w:r>
    </w:p>
    <w:p>
      <w:pPr>
        <w:spacing w:after="0" w:line="65" w:lineRule="exact"/>
        <w:rPr>
          <w:rFonts w:ascii="Arial" w:cs="Arial" w:eastAsia="Arial" w:hAnsi="Arial"/>
          <w:sz w:val="17"/>
          <w:szCs w:val="17"/>
          <w:color w:val="auto"/>
        </w:rPr>
      </w:pPr>
    </w:p>
    <w:p>
      <w:pPr>
        <w:ind w:left="545" w:right="6980" w:hanging="545"/>
        <w:spacing w:after="0" w:line="277"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0 shares</w:t>
      </w:r>
    </w:p>
    <w:p>
      <w:pPr>
        <w:spacing w:after="0" w:line="89" w:lineRule="exact"/>
        <w:rPr>
          <w:sz w:val="20"/>
          <w:szCs w:val="20"/>
          <w:color w:val="auto"/>
        </w:rPr>
      </w:pPr>
    </w:p>
    <w:p>
      <w:pPr>
        <w:sectPr>
          <w:pgSz w:w="11900" w:h="16838" w:orient="portrait"/>
          <w:cols w:equalWidth="0" w:num="2">
            <w:col w:w="1280" w:space="535"/>
            <w:col w:w="9405"/>
          </w:cols>
          <w:pgMar w:left="340" w:top="904" w:right="339" w:bottom="1440" w:gutter="0" w:footer="0" w:header="0"/>
          <w:type w:val="continuous"/>
        </w:sectPr>
      </w:pPr>
    </w:p>
    <w:p>
      <w:pPr>
        <w:ind w:left="580" w:right="5840" w:hanging="414"/>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86,418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167" w:lineRule="exact"/>
        <w:rPr>
          <w:rFonts w:ascii="Arial" w:cs="Arial" w:eastAsia="Arial" w:hAnsi="Arial"/>
          <w:sz w:val="16"/>
          <w:szCs w:val="16"/>
          <w:color w:val="auto"/>
        </w:rPr>
      </w:pPr>
    </w:p>
    <w:p>
      <w:pPr>
        <w:ind w:left="580" w:right="6780" w:hanging="414"/>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89" w:lineRule="exact"/>
        <w:rPr>
          <w:rFonts w:ascii="Arial" w:cs="Arial" w:eastAsia="Arial" w:hAnsi="Arial"/>
          <w:sz w:val="18"/>
          <w:szCs w:val="18"/>
          <w:color w:val="auto"/>
        </w:rPr>
      </w:pPr>
    </w:p>
    <w:p>
      <w:pPr>
        <w:ind w:left="580" w:right="7480" w:hanging="414"/>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4" w:name="page5"/>
    <w:bookmarkEnd w:id="4"/>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7 Pages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Amendment No. 6 to the statement on Schedule 13D (this “Statement”) with respect to the shares of common stock, par value $0.0001 per share (the “Shares”), of Selecta Biosciences, Inc., a Delaware corporation (the “Issuer”), originally filed by Timothy A. Springer (“Dr. Springer”), TAS Partners LLC (“TAS”), Chafen Lu (“Dr. Lu” and, collectively, the “Reporting Persons”) and Leukon Investments, LP (“Leukon”) filed on March 27, 2019, as amended by Amendment No. 1 to the statement on Schedule 13D filed on August 23, 2019, Amendment No. 2 to the statement on Schedule 13D filed on September 16, 2019, Amendment No. 3 to the statement on Schedule 13D filed on December 17, 2019, Amendment No. 4 to the statement on Schedule 13D filed on January 2, 2020 and Amendment No. 5 to the statement on Schedule 13D filed on October 15, 2020 (such statement and amendments, as further amended herein, the “Schedule 13D”), amends the Schedule 13D as set forth below.</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6, items in the Schedule 13D are unchanged.</w:t>
      </w:r>
    </w:p>
    <w:p>
      <w:pPr>
        <w:spacing w:after="0" w:line="17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16, 2020, TAS purchased 218,196 Shares on the open market at a weighted average price of $2.42 per share for an aggregate purchase price of approximately $528,034 (excluding commissions). TAS drew from its investment capital for such acquisition.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19, 2020, TAS purchased 759,500 Shares on the open market at a weighted average price of $2.3634 per share for an aggregate purchase price of approximately $1,795,002 (excluding commissions). TAS drew from its investment capital for such acquisition.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20, 2020, TAS purchased 910,000 Shares on the open market at a weighted average price of $2.2123 per share for an aggregate purchase price of approximately $2,013,193 (excluding commissions). TAS drew from its investment capital for such acquisition.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21, 2020, TAS purchased 880,000 Shares on the open market at a weighted average price of $2.4994 per share for an aggregate purchase price of approximately $2,199,472 (excluding commissions). TAS drew from its investment capital for such acquisition.</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October 22, 2020, TAS purchased 1,770,204 Shares on the open market at a weighted average price of $2.6306 per share for an aggregate purchase price of approximately $4,656,699 (excluding commissions). TAS drew from its investment capital for such acquisition.</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23, 2020, TAS purchased 994,488 Shares on the open market at a weighted average price of $2.7147 per share for an aggregate purchase price of approximately $2,699,737 (excluding commissions). TAS drew from its investment capital for such acquisition.</w:t>
      </w:r>
    </w:p>
    <w:p>
      <w:pPr>
        <w:spacing w:after="0" w:line="17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7 Pages</w:t>
      </w:r>
    </w:p>
    <w:p>
      <w:pPr>
        <w:spacing w:after="0" w:line="229" w:lineRule="exact"/>
        <w:rPr>
          <w:sz w:val="20"/>
          <w:szCs w:val="20"/>
          <w:color w:val="auto"/>
        </w:rPr>
      </w:pPr>
    </w:p>
    <w:p>
      <w:pPr>
        <w:jc w:val="both"/>
        <w:ind w:right="260" w:firstLine="8"/>
        <w:spacing w:after="0" w:line="286"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percentages of beneficial ownership reported in this Item 5, and on each Reporting Person’s cover page to this Statement, are based on a total of 107,143,410 Shares issued and outstanding as of July 31, 2020, as reported on the Issuer’s Quarterly Report on Form 10-Q, dated August 6, 2020. All of the Share numbers reported below, and on each Reporting Person’s cover page to this Statement, are as of October 22,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 the aggregate, beneficially own 23,936,974 Shares, representing approximately 22.3% of such class of securities.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Dr. Springer is the beneficial owner of a total of 23,936,974 Shares, representing approximately 22.3% of the outstanding Shares and consisting of (i) 7,293,625 Shares held directly, (ii) 79,130 Shares underlying warrants exercisable within 60 days of October 22, 2020 and held directly, (iii) 26,410 Shares issuable upon exercise of outstanding options within 60 days of October 22, 2020 and held directly, (iv) 14,480,948 Shares held by TAS, (v) 1,970,443 Shares underlying warrants exercisable within 60 days of October 22, 2020 held by TAS, and (vi) 86,418 Shares held by Dr. Lu.</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TAS is the beneficial owner of a total of 16,451,391 Shares, representing approximately 15.4% of the outstanding Shares and consisting of (i) 14,480,948 Shares and (ii) 1,970,443 Shares underlying warrants exercisable within 60 days of October 22, 2020. TAS holds all such Shares directly. Dr. Springer is the sole managing member of TAS.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Dr. Lu is the beneficial owner of a total of 86,418 Shares, representing approximately 0.1% of the outstanding Shares. Dr. Lu holds all such Shares 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Lu is the spouse of Dr. Springer.</w:t>
      </w:r>
    </w:p>
    <w:p>
      <w:pPr>
        <w:spacing w:after="0" w:line="211" w:lineRule="exact"/>
        <w:rPr>
          <w:sz w:val="20"/>
          <w:szCs w:val="20"/>
          <w:color w:val="auto"/>
        </w:rPr>
      </w:pPr>
    </w:p>
    <w:p>
      <w:pPr>
        <w:ind w:right="240" w:firstLine="8"/>
        <w:spacing w:after="0" w:line="26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right="560" w:firstLine="8"/>
        <w:spacing w:after="0" w:line="277"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Chafen Lu</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7320" w:type="dxa"/>
            <w:vAlign w:val="bottom"/>
          </w:tcPr>
          <w:p>
            <w:pPr>
              <w:ind w:left="67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439"/>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7"/>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7"/>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2020-10-23T16:35:34Z</dcterms:created>
  <dcterms:modified xsi:type="dcterms:W3CDTF">2020-10-23T16:35:34Z</dcterms:modified>
</cp:coreProperties>
</file>