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35"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13, 2024</w:t>
      </w:r>
    </w:p>
    <w:p>
      <w:pPr>
        <w:spacing w:after="0" w:line="36" w:lineRule="exact"/>
        <w:rPr>
          <w:sz w:val="24"/>
          <w:szCs w:val="24"/>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30480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26035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CARTESIAN THERAPEUTICS,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30480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64" w:lineRule="exact"/>
        <w:rPr>
          <w:sz w:val="24"/>
          <w:szCs w:val="24"/>
          <w:color w:val="auto"/>
        </w:rPr>
      </w:pPr>
    </w:p>
    <w:tbl>
      <w:tblPr>
        <w:tblLayout w:type="fixed"/>
        <w:tblInd w:w="1260" w:type="dxa"/>
        <w:tblCellMar>
          <w:top w:w="0" w:type="dxa"/>
          <w:left w:w="0" w:type="dxa"/>
          <w:bottom w:w="0" w:type="dxa"/>
          <w:right w:w="0" w:type="dxa"/>
        </w:tblCellMar>
      </w:tblPr>
      <w:tr>
        <w:trPr>
          <w:trHeight w:val="226"/>
        </w:trPr>
        <w:tc>
          <w:tcPr>
            <w:tcW w:w="3740" w:type="dxa"/>
            <w:vAlign w:val="bottom"/>
          </w:tcPr>
          <w:p>
            <w:pPr>
              <w:jc w:val="center"/>
              <w:ind w:right="1415"/>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200" w:type="dxa"/>
            <w:vAlign w:val="bottom"/>
          </w:tcPr>
          <w:p>
            <w:pPr>
              <w:jc w:val="center"/>
              <w:ind w:left="1415"/>
              <w:spacing w:after="0"/>
              <w:rPr>
                <w:sz w:val="20"/>
                <w:szCs w:val="20"/>
                <w:color w:val="auto"/>
              </w:rPr>
            </w:pPr>
            <w:r>
              <w:rPr>
                <w:rFonts w:ascii="Times New Roman" w:cs="Times New Roman" w:eastAsia="Times New Roman" w:hAnsi="Times New Roman"/>
                <w:sz w:val="17"/>
                <w:szCs w:val="17"/>
                <w:b w:val="1"/>
                <w:bCs w:val="1"/>
                <w:color w:val="auto"/>
                <w:w w:val="99"/>
              </w:rPr>
              <w:t>26-1622110</w:t>
            </w:r>
          </w:p>
        </w:tc>
      </w:tr>
      <w:tr>
        <w:trPr>
          <w:trHeight w:val="206"/>
        </w:trPr>
        <w:tc>
          <w:tcPr>
            <w:tcW w:w="3740" w:type="dxa"/>
            <w:vAlign w:val="bottom"/>
          </w:tcPr>
          <w:p>
            <w:pPr>
              <w:jc w:val="center"/>
              <w:ind w:right="1415"/>
              <w:spacing w:after="0"/>
              <w:rPr>
                <w:sz w:val="20"/>
                <w:szCs w:val="20"/>
                <w:color w:val="auto"/>
              </w:rPr>
            </w:pPr>
            <w:r>
              <w:rPr>
                <w:rFonts w:ascii="Times New Roman" w:cs="Times New Roman" w:eastAsia="Times New Roman" w:hAnsi="Times New Roman"/>
                <w:sz w:val="17"/>
                <w:szCs w:val="17"/>
                <w:b w:val="1"/>
                <w:bCs w:val="1"/>
                <w:color w:val="auto"/>
                <w:w w:val="99"/>
              </w:rPr>
              <w:t>(State or other jurisdiction of</w:t>
            </w:r>
          </w:p>
        </w:tc>
        <w:tc>
          <w:tcPr>
            <w:tcW w:w="3200" w:type="dxa"/>
            <w:vAlign w:val="bottom"/>
          </w:tcPr>
          <w:p>
            <w:pPr>
              <w:jc w:val="center"/>
              <w:ind w:left="1415"/>
              <w:spacing w:after="0"/>
              <w:rPr>
                <w:sz w:val="20"/>
                <w:szCs w:val="20"/>
                <w:color w:val="auto"/>
              </w:rPr>
            </w:pPr>
            <w:r>
              <w:rPr>
                <w:rFonts w:ascii="Times New Roman" w:cs="Times New Roman" w:eastAsia="Times New Roman" w:hAnsi="Times New Roman"/>
                <w:sz w:val="17"/>
                <w:szCs w:val="17"/>
                <w:b w:val="1"/>
                <w:bCs w:val="1"/>
                <w:color w:val="auto"/>
                <w:w w:val="99"/>
              </w:rPr>
              <w:t>(I.R.S. Employer</w:t>
            </w:r>
          </w:p>
        </w:tc>
      </w:tr>
      <w:tr>
        <w:trPr>
          <w:trHeight w:val="226"/>
        </w:trPr>
        <w:tc>
          <w:tcPr>
            <w:tcW w:w="3740" w:type="dxa"/>
            <w:vAlign w:val="bottom"/>
          </w:tcPr>
          <w:p>
            <w:pPr>
              <w:jc w:val="center"/>
              <w:ind w:right="1415"/>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3200" w:type="dxa"/>
            <w:vAlign w:val="bottom"/>
          </w:tcPr>
          <w:p>
            <w:pPr>
              <w:jc w:val="center"/>
              <w:ind w:left="1415"/>
              <w:spacing w:after="0"/>
              <w:rPr>
                <w:sz w:val="20"/>
                <w:szCs w:val="20"/>
                <w:color w:val="auto"/>
              </w:rPr>
            </w:pPr>
            <w:r>
              <w:rPr>
                <w:rFonts w:ascii="Times New Roman" w:cs="Times New Roman" w:eastAsia="Times New Roman" w:hAnsi="Times New Roman"/>
                <w:sz w:val="17"/>
                <w:szCs w:val="17"/>
                <w:b w:val="1"/>
                <w:bCs w:val="1"/>
                <w:color w:val="auto"/>
              </w:rPr>
              <w:t>Identification Number)</w:t>
            </w:r>
          </w:p>
        </w:tc>
      </w:tr>
    </w:tbl>
    <w:p>
      <w:pPr>
        <w:spacing w:after="0" w:line="8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7495 New Horizon Way</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Frederick, Maryland 21703</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(301) 348-8698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24130</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0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Carsten Brunn, Ph.D.</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7495 New Horizon Way</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Frederick, Maryland 21703</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(301) 348-8698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32385</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i w:val="1"/>
          <w:iCs w:val="1"/>
          <w:color w:val="auto"/>
        </w:rPr>
        <w:t>With copies to:</w:t>
      </w:r>
    </w:p>
    <w:p>
      <w:pPr>
        <w:spacing w:after="0" w:line="6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Brian K. Rosenzweig</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Sarah C. Griffiths</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Covington &amp; Burling LLP</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One International Place, Suite 1020</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Boston, Massachusetts 02110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(617) 603-8805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32385</wp:posOffset>
            </wp:positionV>
            <wp:extent cx="1097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73" w:lineRule="exact"/>
        <w:rPr>
          <w:sz w:val="24"/>
          <w:szCs w:val="24"/>
          <w:color w:val="auto"/>
        </w:rPr>
      </w:pPr>
    </w:p>
    <w:p>
      <w:pPr>
        <w:ind w:right="360" w:firstLine="360"/>
        <w:spacing w:after="0" w:line="284" w:lineRule="auto"/>
        <w:rPr>
          <w:sz w:val="20"/>
          <w:szCs w:val="20"/>
          <w:color w:val="auto"/>
        </w:rPr>
      </w:pPr>
      <w:r>
        <w:rPr>
          <w:rFonts w:ascii="Times New Roman" w:cs="Times New Roman" w:eastAsia="Times New Roman" w:hAnsi="Times New Roman"/>
          <w:sz w:val="17"/>
          <w:szCs w:val="17"/>
          <w:b w:val="1"/>
          <w:bCs w:val="1"/>
          <w:color w:val="auto"/>
        </w:rPr>
        <w:t xml:space="preserve">Approximate date of commencement of proposed sale to the public: </w:t>
      </w:r>
      <w:r>
        <w:rPr>
          <w:rFonts w:ascii="Times New Roman" w:cs="Times New Roman" w:eastAsia="Times New Roman" w:hAnsi="Times New Roman"/>
          <w:sz w:val="17"/>
          <w:szCs w:val="17"/>
          <w:color w:val="auto"/>
        </w:rPr>
        <w:t>From time to time after this registration statement becomes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effective.</w:t>
      </w:r>
    </w:p>
    <w:p>
      <w:pPr>
        <w:ind w:right="240" w:firstLine="360"/>
        <w:spacing w:after="0" w:line="233"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8"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7"/>
          <w:szCs w:val="17"/>
          <w:color w:val="auto"/>
        </w:rPr>
        <w:t>If any of the securities being registered on this Form are to be offered on a delayed or continuous basis pursuant to Rule 415 under the</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Act of 1933, other than securities offered only in connection with dividend or interest reinvestment plans, check the following box:</w:t>
      </w:r>
    </w:p>
    <w:p>
      <w:pPr>
        <w:spacing w:after="0" w:line="9"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80" w:lineRule="exact"/>
        <w:rPr>
          <w:sz w:val="24"/>
          <w:szCs w:val="24"/>
          <w:color w:val="auto"/>
        </w:rPr>
      </w:pPr>
    </w:p>
    <w:p>
      <w:pPr>
        <w:ind w:right="80" w:firstLine="360"/>
        <w:spacing w:after="0" w:line="233"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8" w:lineRule="exact"/>
        <w:rPr>
          <w:sz w:val="24"/>
          <w:szCs w:val="24"/>
          <w:color w:val="auto"/>
        </w:rPr>
      </w:pPr>
    </w:p>
    <w:p>
      <w:pPr>
        <w:ind w:right="200" w:firstLine="360"/>
        <w:spacing w:after="0" w:line="233"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8" w:lineRule="exact"/>
        <w:rPr>
          <w:sz w:val="24"/>
          <w:szCs w:val="24"/>
          <w:color w:val="auto"/>
        </w:rPr>
      </w:pPr>
    </w:p>
    <w:p>
      <w:pPr>
        <w:ind w:right="380" w:firstLine="360"/>
        <w:spacing w:after="0" w:line="233"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8" w:lineRule="exact"/>
        <w:rPr>
          <w:sz w:val="24"/>
          <w:szCs w:val="24"/>
          <w:color w:val="auto"/>
        </w:rPr>
      </w:pPr>
    </w:p>
    <w:p>
      <w:pPr>
        <w:ind w:right="700" w:firstLine="360"/>
        <w:spacing w:after="0" w:line="233"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8" w:lineRule="exact"/>
        <w:rPr>
          <w:sz w:val="24"/>
          <w:szCs w:val="24"/>
          <w:color w:val="auto"/>
        </w:rPr>
      </w:pPr>
    </w:p>
    <w:p>
      <w:pPr>
        <w:ind w:right="80" w:firstLine="36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900" w:type="dxa"/>
            <w:vAlign w:val="bottom"/>
          </w:tcPr>
          <w:p>
            <w:pPr>
              <w:ind w:left="1500"/>
              <w:spacing w:after="0" w:line="171" w:lineRule="exact"/>
              <w:rPr>
                <w:sz w:val="20"/>
                <w:szCs w:val="20"/>
                <w:color w:val="auto"/>
              </w:rPr>
            </w:pPr>
            <w:r>
              <w:rPr>
                <w:rFonts w:ascii="MS PGothic" w:cs="MS PGothic" w:eastAsia="MS PGothic" w:hAnsi="MS PGothic"/>
                <w:sz w:val="17"/>
                <w:szCs w:val="17"/>
                <w:color w:val="auto"/>
              </w:rPr>
              <w:t>☐</w:t>
            </w:r>
          </w:p>
        </w:tc>
        <w:tc>
          <w:tcPr>
            <w:tcW w:w="33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Accelerated filer</w:t>
            </w:r>
          </w:p>
        </w:tc>
        <w:tc>
          <w:tcPr>
            <w:tcW w:w="1380" w:type="dxa"/>
            <w:vAlign w:val="bottom"/>
          </w:tcPr>
          <w:p>
            <w:pPr>
              <w:ind w:left="12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900" w:type="dxa"/>
            <w:vAlign w:val="bottom"/>
          </w:tcPr>
          <w:p>
            <w:pPr>
              <w:ind w:left="1500"/>
              <w:spacing w:after="0" w:line="171" w:lineRule="exact"/>
              <w:rPr>
                <w:sz w:val="20"/>
                <w:szCs w:val="20"/>
                <w:color w:val="auto"/>
              </w:rPr>
            </w:pPr>
            <w:r>
              <w:rPr>
                <w:rFonts w:ascii="MS PGothic" w:cs="MS PGothic" w:eastAsia="MS PGothic" w:hAnsi="MS PGothic"/>
                <w:sz w:val="17"/>
                <w:szCs w:val="17"/>
                <w:color w:val="auto"/>
              </w:rPr>
              <w:t>☐</w:t>
            </w:r>
          </w:p>
        </w:tc>
        <w:tc>
          <w:tcPr>
            <w:tcW w:w="33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380" w:type="dxa"/>
            <w:vAlign w:val="bottom"/>
          </w:tcPr>
          <w:p>
            <w:pPr>
              <w:ind w:left="12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3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3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Emerging growth company</w:t>
            </w:r>
          </w:p>
        </w:tc>
        <w:tc>
          <w:tcPr>
            <w:tcW w:w="1380" w:type="dxa"/>
            <w:vAlign w:val="bottom"/>
          </w:tcPr>
          <w:p>
            <w:pPr>
              <w:ind w:left="124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62" w:lineRule="exact"/>
        <w:rPr>
          <w:sz w:val="24"/>
          <w:szCs w:val="24"/>
          <w:color w:val="auto"/>
        </w:rPr>
      </w:pPr>
    </w:p>
    <w:p>
      <w:pPr>
        <w:ind w:right="580" w:firstLine="36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7"/>
          <w:szCs w:val="17"/>
          <w:color w:val="auto"/>
        </w:rPr>
        <w:t>☐</w:t>
      </w:r>
    </w:p>
    <w:p>
      <w:pPr>
        <w:spacing w:after="0" w:line="58" w:lineRule="exact"/>
        <w:rPr>
          <w:sz w:val="24"/>
          <w:szCs w:val="24"/>
          <w:color w:val="auto"/>
        </w:rPr>
      </w:pPr>
    </w:p>
    <w:p>
      <w:pPr>
        <w:ind w:firstLine="360"/>
        <w:spacing w:after="0" w:line="261"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187960</wp:posOffset>
            </wp:positionV>
            <wp:extent cx="61722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316230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223" w:right="1099" w:bottom="959" w:gutter="0" w:footer="0" w:header="0"/>
        </w:sectPr>
      </w:pPr>
    </w:p>
    <w:bookmarkStart w:id="1" w:name="page2"/>
    <w:bookmarkEnd w:id="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00" w:right="539"/>
        <w:spacing w:after="0" w:line="246"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C0014"/>
        </w:rPr>
        <w:t>SUBJECT TO COMPLETION, DATED DECEMBER 13, 2024</w:t>
      </w:r>
    </w:p>
    <w:p>
      <w:pPr>
        <w:spacing w:after="0" w:line="3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6,251,150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180975</wp:posOffset>
            </wp:positionV>
            <wp:extent cx="2383155" cy="720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8315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Cartesian Therapeutics, Inc.</w:t>
      </w: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 </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Offered by the Selling Stockholders</w:t>
      </w:r>
    </w:p>
    <w:p>
      <w:pPr>
        <w:spacing w:after="0" w:line="94" w:lineRule="exact"/>
        <w:rPr>
          <w:sz w:val="20"/>
          <w:szCs w:val="20"/>
          <w:color w:val="auto"/>
        </w:rPr>
      </w:pPr>
    </w:p>
    <w:p>
      <w:pPr>
        <w:ind w:left="400" w:right="599" w:firstLine="360"/>
        <w:spacing w:after="0" w:line="254" w:lineRule="auto"/>
        <w:rPr>
          <w:sz w:val="20"/>
          <w:szCs w:val="20"/>
          <w:color w:val="auto"/>
        </w:rPr>
      </w:pPr>
      <w:r>
        <w:rPr>
          <w:rFonts w:ascii="Times New Roman" w:cs="Times New Roman" w:eastAsia="Times New Roman" w:hAnsi="Times New Roman"/>
          <w:sz w:val="18"/>
          <w:szCs w:val="18"/>
          <w:color w:val="auto"/>
        </w:rPr>
        <w:t>This prospectus relates to the proposed resale or other disposition by the selling stockholders identified herein, or the Selling Stockholders, of up to (i) 5,813,223 shares, or the Private Placement Common Shares, of our common stock, par value $0.0001 per share, or the Common Stock, and (ii) 437,927 shares of Common Stock, or the Private Placement Conversion Shares, issuable upon the conversion of 437,927 shares, or the Private Placement Preferred Shares, of Series B Non-Voting Convertible Preferred Stock, par value $0.0001, or the Series B Preferred Stock. Each share of Series B Preferred Stock is convertible into one share of Common Stock, subject to certain beneficial ownership limitations. The shares of Common Stock registered by the registration statement of which this prospectus forms a part are referred to herein as the “Resale Shares.”</w:t>
      </w:r>
    </w:p>
    <w:p>
      <w:pPr>
        <w:spacing w:after="0" w:line="84" w:lineRule="exact"/>
        <w:rPr>
          <w:sz w:val="20"/>
          <w:szCs w:val="20"/>
          <w:color w:val="auto"/>
        </w:rPr>
      </w:pPr>
    </w:p>
    <w:p>
      <w:pPr>
        <w:ind w:left="400" w:right="499" w:firstLine="360"/>
        <w:spacing w:after="0" w:line="261" w:lineRule="auto"/>
        <w:rPr>
          <w:sz w:val="20"/>
          <w:szCs w:val="20"/>
          <w:color w:val="auto"/>
        </w:rPr>
      </w:pPr>
      <w:r>
        <w:rPr>
          <w:rFonts w:ascii="Times New Roman" w:cs="Times New Roman" w:eastAsia="Times New Roman" w:hAnsi="Times New Roman"/>
          <w:sz w:val="18"/>
          <w:szCs w:val="18"/>
          <w:color w:val="auto"/>
        </w:rPr>
        <w:t>The Private Placement Common Shares and the Private Placement Preferred Shares were issued and sold to certain institutional and accredited investors in a private placement, or the Private Placement, which closed on July 3, 2024. We are not selling any Resale Shares under this prospectus and will not receive any of the proceeds from the sale or other disposition of Resale Shares by the Selling Stockholders.</w:t>
      </w:r>
    </w:p>
    <w:p>
      <w:pPr>
        <w:spacing w:after="0" w:line="72" w:lineRule="exact"/>
        <w:rPr>
          <w:sz w:val="20"/>
          <w:szCs w:val="20"/>
          <w:color w:val="auto"/>
        </w:rPr>
      </w:pPr>
    </w:p>
    <w:p>
      <w:pPr>
        <w:ind w:left="400" w:right="499" w:firstLine="360"/>
        <w:spacing w:after="0" w:line="255" w:lineRule="auto"/>
        <w:rPr>
          <w:sz w:val="20"/>
          <w:szCs w:val="20"/>
          <w:color w:val="auto"/>
        </w:rPr>
      </w:pPr>
      <w:r>
        <w:rPr>
          <w:rFonts w:ascii="Times New Roman" w:cs="Times New Roman" w:eastAsia="Times New Roman" w:hAnsi="Times New Roman"/>
          <w:sz w:val="18"/>
          <w:szCs w:val="18"/>
          <w:color w:val="auto"/>
        </w:rPr>
        <w:t>The Selling Stockholders may sell the Resale Shares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w:t>
      </w:r>
      <w:r>
        <w:rPr>
          <w:rFonts w:ascii="Times New Roman" w:cs="Times New Roman" w:eastAsia="Times New Roman" w:hAnsi="Times New Roman"/>
          <w:sz w:val="18"/>
          <w:szCs w:val="18"/>
          <w:color w:val="auto"/>
        </w:rPr>
        <w:t>” elsewhere in this prospectus for more information about how the Selling Stockholders may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otherwise dispose of their Resale Shares hereunder.</w:t>
      </w:r>
    </w:p>
    <w:p>
      <w:pPr>
        <w:spacing w:after="0" w:line="81" w:lineRule="exact"/>
        <w:rPr>
          <w:sz w:val="20"/>
          <w:szCs w:val="20"/>
          <w:color w:val="auto"/>
        </w:rPr>
      </w:pPr>
    </w:p>
    <w:p>
      <w:pPr>
        <w:ind w:left="400" w:right="479" w:firstLine="360"/>
        <w:spacing w:after="0" w:line="266" w:lineRule="auto"/>
        <w:rPr>
          <w:sz w:val="20"/>
          <w:szCs w:val="20"/>
          <w:color w:val="auto"/>
        </w:rPr>
      </w:pPr>
      <w:r>
        <w:rPr>
          <w:rFonts w:ascii="Times New Roman" w:cs="Times New Roman" w:eastAsia="Times New Roman" w:hAnsi="Times New Roman"/>
          <w:sz w:val="18"/>
          <w:szCs w:val="18"/>
          <w:color w:val="auto"/>
        </w:rPr>
        <w:t>The Selling Stockholders may sell any, all or none of the securities offered by this prospectus and we do not know when or in what amount the Selling Stockholders may sell their Resale Shares hereunder following the effective date of the registration statement of which this prospectus forms a part.</w:t>
      </w:r>
    </w:p>
    <w:p>
      <w:pPr>
        <w:spacing w:after="0" w:line="68" w:lineRule="exact"/>
        <w:rPr>
          <w:sz w:val="20"/>
          <w:szCs w:val="20"/>
          <w:color w:val="auto"/>
        </w:rPr>
      </w:pPr>
    </w:p>
    <w:p>
      <w:pPr>
        <w:ind w:left="400" w:right="419" w:firstLine="360"/>
        <w:spacing w:after="0" w:line="282" w:lineRule="auto"/>
        <w:rPr>
          <w:sz w:val="20"/>
          <w:szCs w:val="20"/>
          <w:color w:val="auto"/>
        </w:rPr>
      </w:pPr>
      <w:r>
        <w:rPr>
          <w:rFonts w:ascii="Times New Roman" w:cs="Times New Roman" w:eastAsia="Times New Roman" w:hAnsi="Times New Roman"/>
          <w:sz w:val="18"/>
          <w:szCs w:val="18"/>
          <w:color w:val="auto"/>
        </w:rPr>
        <w:t>You should carefully read this prospectus and any applicable prospectus supplement before you invest in any of the securities being offered.</w:t>
      </w:r>
    </w:p>
    <w:p>
      <w:pPr>
        <w:spacing w:after="0" w:line="54" w:lineRule="exact"/>
        <w:rPr>
          <w:sz w:val="20"/>
          <w:szCs w:val="20"/>
          <w:color w:val="auto"/>
        </w:rPr>
      </w:pPr>
    </w:p>
    <w:p>
      <w:pPr>
        <w:ind w:left="400" w:right="61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Market under the symbol “RNAC.” On December 12, 2024, the last reported sale price for our Common Stock was $20.12 per share.</w:t>
      </w:r>
    </w:p>
    <w:p>
      <w:pPr>
        <w:spacing w:after="0" w:line="50" w:lineRule="exact"/>
        <w:rPr>
          <w:sz w:val="20"/>
          <w:szCs w:val="20"/>
          <w:color w:val="auto"/>
        </w:rPr>
      </w:pPr>
    </w:p>
    <w:p>
      <w:pPr>
        <w:ind w:left="400" w:right="4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investing in our securities, you should carefully consider the risks and uncertainties described under the caption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9</w:t>
      </w:r>
      <w:r>
        <w:rPr>
          <w:rFonts w:ascii="Times New Roman" w:cs="Times New Roman" w:eastAsia="Times New Roman" w:hAnsi="Times New Roman"/>
          <w:sz w:val="18"/>
          <w:szCs w:val="18"/>
          <w:b w:val="1"/>
          <w:bCs w:val="1"/>
          <w:color w:val="auto"/>
        </w:rPr>
        <w:t xml:space="preserve"> of this prospectus and any similar section contained in the applicable prospectus supplement and in any free writing prospectus we have authorized for use in connection with a specific offering, and under similar headings in the documents incorporated by reference into this prospectus.</w:t>
      </w:r>
    </w:p>
    <w:p>
      <w:pPr>
        <w:spacing w:after="0" w:line="71" w:lineRule="exact"/>
        <w:rPr>
          <w:sz w:val="20"/>
          <w:szCs w:val="20"/>
          <w:color w:val="auto"/>
        </w:rPr>
      </w:pPr>
    </w:p>
    <w:p>
      <w:pPr>
        <w:ind w:left="40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856" w:gutter="0" w:footer="0" w:header="0"/>
        </w:sectPr>
      </w:pPr>
    </w:p>
    <w:bookmarkStart w:id="2" w:name="page3"/>
    <w:bookmarkEnd w:id="2"/>
    <w:tbl>
      <w:tblPr>
        <w:tblLayout w:type="fixed"/>
        <w:tblInd w:w="300" w:type="dxa"/>
        <w:tblCellMar>
          <w:top w:w="0" w:type="dxa"/>
          <w:left w:w="0" w:type="dxa"/>
          <w:bottom w:w="0" w:type="dxa"/>
          <w:right w:w="0" w:type="dxa"/>
        </w:tblCellMar>
      </w:tblPr>
      <w:tr>
        <w:trPr>
          <w:trHeight w:val="161"/>
        </w:trPr>
        <w:tc>
          <w:tcPr>
            <w:tcW w:w="776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0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77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24"/>
                <w:szCs w:val="24"/>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1980" w:type="dxa"/>
            <w:vAlign w:val="bottom"/>
            <w:tcBorders>
              <w:top w:val="single" w:sz="8" w:color="0000EE"/>
            </w:tcBorders>
          </w:tcPr>
          <w:p>
            <w:pPr>
              <w:spacing w:after="0"/>
              <w:rPr>
                <w:sz w:val="2"/>
                <w:szCs w:val="2"/>
                <w:color w:val="auto"/>
              </w:rPr>
            </w:pPr>
          </w:p>
        </w:tc>
        <w:tc>
          <w:tcPr>
            <w:tcW w:w="1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7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shd w:val="clear" w:color="auto" w:fill="CCEEFF"/>
          </w:tcPr>
          <w:p>
            <w:pPr>
              <w:spacing w:after="0"/>
              <w:rPr>
                <w:sz w:val="19"/>
                <w:szCs w:val="19"/>
                <w:color w:val="auto"/>
              </w:rPr>
            </w:pPr>
          </w:p>
        </w:tc>
      </w:tr>
      <w:tr>
        <w:trPr>
          <w:trHeight w:val="189"/>
        </w:trPr>
        <w:tc>
          <w:tcPr>
            <w:tcW w:w="3800" w:type="dxa"/>
            <w:vAlign w:val="bottom"/>
            <w:tcBorders>
              <w:top w:val="single" w:sz="8" w:color="0000EE"/>
            </w:tcBorders>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3960" w:type="dxa"/>
            <w:vAlign w:val="bottom"/>
            <w:tcBorders>
              <w:top w:val="single" w:sz="8" w:color="CCEEFF"/>
            </w:tcBorders>
            <w:gridSpan w:val="2"/>
          </w:tcPr>
          <w:p>
            <w:pPr>
              <w:spacing w:after="0"/>
              <w:rPr>
                <w:sz w:val="16"/>
                <w:szCs w:val="16"/>
                <w:color w:val="auto"/>
              </w:rPr>
            </w:pPr>
          </w:p>
        </w:tc>
        <w:tc>
          <w:tcPr>
            <w:tcW w:w="540" w:type="dxa"/>
            <w:vAlign w:val="bottom"/>
            <w:tcBorders>
              <w:top w:val="single" w:sz="8" w:color="CCEEFF"/>
            </w:tcBorders>
            <w:gridSpan w:val="2"/>
          </w:tcPr>
          <w:p>
            <w:pPr>
              <w:spacing w:after="0"/>
              <w:rPr>
                <w:sz w:val="16"/>
                <w:szCs w:val="16"/>
                <w:color w:val="auto"/>
              </w:rPr>
            </w:pPr>
          </w:p>
        </w:tc>
        <w:tc>
          <w:tcPr>
            <w:tcW w:w="10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Borders>
              <w:top w:val="single" w:sz="8" w:color="CCEEFF"/>
            </w:tcBorders>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THE COMPANY</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860" w:type="dxa"/>
            <w:vAlign w:val="bottom"/>
            <w:tcBorders>
              <w:bottom w:val="single" w:sz="8" w:color="0000EE"/>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CAPITAL STOCK</w:t>
            </w:r>
          </w:p>
        </w:tc>
        <w:tc>
          <w:tcPr>
            <w:tcW w:w="4900" w:type="dxa"/>
            <w:vAlign w:val="bottom"/>
            <w:tcBorders>
              <w:bottom w:val="single" w:sz="8" w:color="CCEEFF"/>
            </w:tcBorders>
            <w:gridSpan w:val="3"/>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SELLING STOCKHOLDERS</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18</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5720" w:type="dxa"/>
            <w:vAlign w:val="bottom"/>
            <w:gridSpan w:val="7"/>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27</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28</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a “shelf” registration process. Under this shelf registration process, the Selling Stockholders may, from time to time, sell the securities described in this prospectus in one or more offerings.</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This prospectus contains information that you should consider when making your investment decision. Neither we nor the Selling Stockholders have authorized anyone to provide you with information that is different from or in addition to the information contained in this prospectus or in any applicable prospectus supplement or in any related free writing prospectus prepared by or on behalf of us or to which we have referred you. Accordingly, neither we nor any Selling Stockholder takes any responsibility for, or can provide any assurance as to the reliability of, any information that others may give. The Selling Stockholders are offering to sell, and seeking offers to buy, our securities only in jurisdictions where it is lawful to do so.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and any related free writing prospectus is accurate only as of their respective dates. Our business, financial condition, results of operations and prospects may have changed materially since those dates.</w:t>
      </w:r>
    </w:p>
    <w:p>
      <w:pPr>
        <w:spacing w:after="0" w:line="79"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this prospectus and any applicable prospectus supplement or post-effective amendment to the registration statement together with the additional information to which we refer you in the section of this prospectus titled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When we refer to “Cartesian,” “we,” “our,” “us” and the “Company” in this prospectus, we mean Cartesian Therapeutics, Inc. and its consolidated subsidiaries, unless otherwise specified.</w:t>
      </w:r>
    </w:p>
    <w:p>
      <w:pPr>
        <w:spacing w:after="0" w:line="54" w:lineRule="exact"/>
        <w:rPr>
          <w:sz w:val="20"/>
          <w:szCs w:val="20"/>
          <w:color w:val="auto"/>
        </w:rPr>
      </w:pPr>
    </w:p>
    <w:p>
      <w:pPr>
        <w:ind w:left="300" w:right="539" w:firstLine="360"/>
        <w:spacing w:after="0" w:line="289" w:lineRule="auto"/>
        <w:rPr>
          <w:sz w:val="20"/>
          <w:szCs w:val="20"/>
          <w:color w:val="auto"/>
        </w:rPr>
      </w:pPr>
      <w:r>
        <w:rPr>
          <w:rFonts w:ascii="Times New Roman" w:cs="Times New Roman" w:eastAsia="Times New Roman" w:hAnsi="Times New Roman"/>
          <w:sz w:val="17"/>
          <w:szCs w:val="17"/>
          <w:color w:val="auto"/>
        </w:rPr>
        <w:t>This prospectus, including the documents incorporated by reference into this prospectus, also includes trademarks, tradenames and service marks of others, which are the property of their respective owners. Solely for convenience, trademarks and tradenames referred to in this prospectus may appear without the ® and ™ symbols.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within the meaning of Section 27A of the Securities Act, and Section 21E of the Securities Exchange Act of 1934, as amended, or the Exchange Act. These forward-looking statements reflect our current views with respect to, among other things, future events and our financial performance. Any statements about our management’s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All forward-looking statements, expressed or implied, included herewith are expressly qualified in their entirety by the cautionary statements contained or referred to herein. The inclusion of forward-looking information in this prospectus and the documents incorporated by reference herein should not be regarded as a representation by us or any other person that the future plans, estimates or expectations contemplated by us will be achieved. We have based these forward-looking statements largely on our current expectations and projections about future events and financial trends that we believe may affect our financial condition, results of operations, business strategy and financial needs. Factors that may affect our results are disclosed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of this prospectus, and in the documents incorporated by reference into this prospectus and included or incorporated by reference in this prospectus. Some of the risks and uncertainties that may cause our actual results, performance or achievements to differ materially from those expressed include, but are not limited to, the following:</w:t>
      </w:r>
    </w:p>
    <w:p>
      <w:pPr>
        <w:spacing w:after="0" w:line="84" w:lineRule="exact"/>
        <w:rPr>
          <w:sz w:val="20"/>
          <w:szCs w:val="20"/>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payouts under the contingent value right, or CVR, issued to our holders of record as of the close of business on December 4, 2023;</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or opportunities and related timing with respect to the Merger (as defined below) or to monetize any of our legacy assets;</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and financial position, business strategy, and the length of time that we believe our existing cash resources will fund our operations;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size and our potential growth opportunities;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therapeutic benefits and economic value of our product candidates;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w:t>
      </w:r>
    </w:p>
    <w:p>
      <w:pPr>
        <w:spacing w:after="0" w:line="117"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macroeconomic conditions, including inflation, increasing interest rates and volatile market conditions, current or potential bank failures;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events, including the ongoing conflicts between Russia and Ukraine and between Hamas and Israel and geopolitical tensions in China on our operations;</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timing of potential regulatory designations, approvals and commercialization of product candidates;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related to the Merger instituted against us or our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or minimize the effects of litigation and other contingencies;</w:t>
      </w:r>
    </w:p>
    <w:p>
      <w:pPr>
        <w:spacing w:after="0" w:line="11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preclinical and development-stage company and our expectation to incur losses in the future, and the possibility that we never achieve or maintain profitability;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our ability to access future capital;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the value of our pipeline of product candidates;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approach to therapeutic intervention;</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timely and successfully complete those trials and receive necessary regulatory approvals;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grow our manufacturing capabilities and resources;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 which in some cases are manufactured on a patient-by-patient basis;</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manufacturing facilities and to receive or manufacture sufficient quantities of our product candidates;</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or future collaborations or licenses and to seek new collaborations, licenses or partnerships;</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resurgence of the COVID-19 pandemic on our operations, the continuity of our business, including our preclinical studies and clinical trials, and general economic conditions;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foreign regulatory requirements, including U.S. Food and Drug Administration, or FDA, regulation of our product candidates;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retain key executives and retain qualified personnel;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impact of government regulation.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list may not contain all of the forward-looking statements made in this prospectus.</w:t>
      </w:r>
    </w:p>
    <w:p>
      <w:pPr>
        <w:spacing w:after="0" w:line="117"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only predictions based on our current expectations and projections about future events and are subject to a number of risks, uncertainties and assumptions, including those described in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and elsewhere in this prospectus. Moreover, we operate in a competitive industry, and new risks emerge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It is not possible for the management of Cartesian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 in this prospectus.</w:t>
      </w:r>
    </w:p>
    <w:p>
      <w:pPr>
        <w:spacing w:after="0" w:line="80"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forward-looking statements included in this prospectus are made only as of the date hereof. You should not rely upon forward-looking statements as predictions of future events. Although we believe that the expectations reflected in our forward-looking statements are reasonable, we cannot guarantee that the future results, levels of activity, performance or events and circumstances reflected in the forward-looking statements will be achieved or occur. We do not undertake any obligation to update publicly any forward-looking statements for any reason after the date of this prospectus to conform these statements to actual results or to changes in expectations, except as required by law.</w:t>
      </w:r>
    </w:p>
    <w:p>
      <w:pPr>
        <w:spacing w:after="0" w:line="8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that have been filed as exhibits to the registration statement of which this prospectus forms a part, any accompanying prospectus supplement, and the documents incorporated by reference herein and therein with the understanding that the actual future results, levels of activity, performance, events and circumstances of Cartesian may be materially different from what is expected.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us and our securities offered by this prospectus, we refer you to the registration statement and its exhibits. Statements contained in this prospectus as to the contents of any document referred to are not necessarily complete, and in each instance, we refer you to the copy of the document filed as an exhibit to the registration statement. Each of these statements is qualified in all respects by this reference. You can read our SEC filings, including the registration statement, at the SEC’s website at www.sec.gov.</w:t>
      </w:r>
    </w:p>
    <w:p>
      <w:pPr>
        <w:spacing w:after="0" w:line="84"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and we file reports, proxy statements and other information with the SEC. These reports, proxy statements and other information are available for review at the SEC’s website at www.sec.gov. We also maintain a website at www.cartesiantherapeutics.com, at which you may access these materials free of charge as soon as reasonably practicable after they are electronically filed with, or furnished to, the SEC. Cartesian’s website and the information contained on, or that can be accessed through, such website are not deemed to be incorporated by reference in, and are not considered part of, this prospectus.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in certain documents we file with the SEC, which means that we can disclose important information to you by referring you to those documents. The information incorporated by reference is considered to be a part of this prospectus. When we update the information contained in documents that have been incorporated by reference by making future filings with the SEC, the information incorporated by reference into this prospectus is considered to be automatically updated and superseded. In other words, in all cases, if you are considering whether to rely on information contained in this prospectus or information incorporated by reference into this prospectus, you should rely on the information contained in the document that was filed later. We incorporate by reference (other than any information furnished to, rather than filed with, the SEC, unless expressly stated otherwise therein) the documents listed below (File No. 001-37798 unless otherwise stated), which are considered to be a part of this prospectus:</w:t>
      </w:r>
    </w:p>
    <w:p>
      <w:pPr>
        <w:spacing w:after="0" w:line="86" w:lineRule="exact"/>
        <w:rPr>
          <w:sz w:val="20"/>
          <w:szCs w:val="20"/>
          <w:color w:val="auto"/>
        </w:rPr>
      </w:pPr>
    </w:p>
    <w:p>
      <w:pPr>
        <w:ind w:left="1000" w:right="399" w:hanging="348"/>
        <w:spacing w:after="0" w:line="282" w:lineRule="auto"/>
        <w:tabs>
          <w:tab w:leader="none" w:pos="1000" w:val="left"/>
        </w:tabs>
        <w:numPr>
          <w:ilvl w:val="0"/>
          <w:numId w:val="3"/>
        </w:numPr>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auto"/>
          </w:rPr>
          <w:t xml:space="preserve">Our Annual Report on Form 10-K for the year ended December 31, 2023, filed with the SEC on </w:t>
        </w:r>
        <w:r>
          <w:rPr>
            <w:rFonts w:ascii="Times New Roman" w:cs="Times New Roman" w:eastAsia="Times New Roman" w:hAnsi="Times New Roman"/>
            <w:sz w:val="18"/>
            <w:szCs w:val="18"/>
            <w:u w:val="single" w:color="auto"/>
            <w:color w:val="0000EE"/>
          </w:rPr>
          <w:t>March 7,</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47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Schedule 14A relating to our 2024 Annual Meeting of Stockholders, filed with the SEC on </w:t>
      </w:r>
      <w:hyperlink r:id="rId27">
        <w:r>
          <w:rPr>
            <w:rFonts w:ascii="Times New Roman" w:cs="Times New Roman" w:eastAsia="Times New Roman" w:hAnsi="Times New Roman"/>
            <w:sz w:val="18"/>
            <w:szCs w:val="18"/>
            <w:u w:val="single" w:color="auto"/>
            <w:color w:val="0000EE"/>
          </w:rPr>
          <w:t>April 26, 2024</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00" w:right="97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2024, June 30, 2024, and September 30, 2024, filed with the SEC on </w:t>
      </w:r>
      <w:hyperlink r:id="rId28">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EE"/>
          </w:rPr>
          <w:t>August 8, 2024</w:t>
        </w:r>
      </w:hyperlink>
      <w:r>
        <w:rPr>
          <w:rFonts w:ascii="Times New Roman" w:cs="Times New Roman" w:eastAsia="Times New Roman" w:hAnsi="Times New Roman"/>
          <w:sz w:val="18"/>
          <w:szCs w:val="18"/>
          <w:color w:val="auto"/>
        </w:rPr>
        <w:t xml:space="preserve">, and </w:t>
      </w:r>
      <w:hyperlink r:id="rId30">
        <w:r>
          <w:rPr>
            <w:rFonts w:ascii="Times New Roman" w:cs="Times New Roman" w:eastAsia="Times New Roman" w:hAnsi="Times New Roman"/>
            <w:sz w:val="18"/>
            <w:szCs w:val="18"/>
            <w:u w:val="single" w:color="auto"/>
            <w:color w:val="0000EE"/>
          </w:rPr>
          <w:t>November 7, 2024</w:t>
        </w:r>
      </w:hyperlink>
      <w:r>
        <w:rPr>
          <w:rFonts w:ascii="Times New Roman" w:cs="Times New Roman" w:eastAsia="Times New Roman" w:hAnsi="Times New Roman"/>
          <w:sz w:val="18"/>
          <w:szCs w:val="18"/>
          <w:color w:val="auto"/>
        </w:rPr>
        <w:t>, respectively.</w:t>
      </w:r>
    </w:p>
    <w:p>
      <w:pPr>
        <w:spacing w:after="0" w:line="67" w:lineRule="exact"/>
        <w:rPr>
          <w:rFonts w:ascii="Times New Roman" w:cs="Times New Roman" w:eastAsia="Times New Roman" w:hAnsi="Times New Roman"/>
          <w:sz w:val="18"/>
          <w:szCs w:val="18"/>
          <w:color w:val="auto"/>
        </w:rPr>
      </w:pPr>
    </w:p>
    <w:p>
      <w:pPr>
        <w:ind w:left="1000" w:right="439" w:hanging="348"/>
        <w:spacing w:after="0" w:line="255" w:lineRule="auto"/>
        <w:tabs>
          <w:tab w:leader="none" w:pos="1000" w:val="left"/>
        </w:tabs>
        <w:numPr>
          <w:ilvl w:val="0"/>
          <w:numId w:val="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(or amendments thereto) filed with the SEC on </w:t>
      </w:r>
      <w:hyperlink r:id="rId31">
        <w:r>
          <w:rPr>
            <w:rFonts w:ascii="Times New Roman" w:cs="Times New Roman" w:eastAsia="Times New Roman" w:hAnsi="Times New Roman"/>
            <w:sz w:val="18"/>
            <w:szCs w:val="18"/>
            <w:u w:val="single" w:color="auto"/>
            <w:color w:val="0000EE"/>
          </w:rPr>
          <w:t>January 19, 2024</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January 23,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3">
        <w:r>
          <w:rPr>
            <w:rFonts w:ascii="Times New Roman" w:cs="Times New Roman" w:eastAsia="Times New Roman" w:hAnsi="Times New Roman"/>
            <w:sz w:val="18"/>
            <w:szCs w:val="18"/>
            <w:u w:val="single" w:color="auto"/>
            <w:color w:val="0000EE"/>
          </w:rPr>
          <w:t xml:space="preserve">March 5, 2024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Item 7.01 and Exhibit 99.1 thereto),</w:t>
      </w:r>
      <w:r>
        <w:rPr>
          <w:rFonts w:ascii="Times New Roman" w:cs="Times New Roman" w:eastAsia="Times New Roman" w:hAnsi="Times New Roman"/>
          <w:sz w:val="18"/>
          <w:szCs w:val="18"/>
          <w:color w:val="0000EE"/>
        </w:rPr>
        <w:t xml:space="preserve"> </w:t>
      </w:r>
      <w:hyperlink r:id="rId34">
        <w:r>
          <w:rPr>
            <w:rFonts w:ascii="Times New Roman" w:cs="Times New Roman" w:eastAsia="Times New Roman" w:hAnsi="Times New Roman"/>
            <w:sz w:val="18"/>
            <w:szCs w:val="18"/>
            <w:u w:val="single" w:color="auto"/>
            <w:color w:val="0000EE"/>
          </w:rPr>
          <w:t>March 14,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5">
        <w:r>
          <w:rPr>
            <w:rFonts w:ascii="Times New Roman" w:cs="Times New Roman" w:eastAsia="Times New Roman" w:hAnsi="Times New Roman"/>
            <w:sz w:val="18"/>
            <w:szCs w:val="18"/>
            <w:u w:val="single" w:color="auto"/>
            <w:color w:val="0000EE"/>
          </w:rPr>
          <w:t>March 28,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Item 7.01 and Exhibit 99.1 thereto),</w:t>
      </w:r>
      <w:r>
        <w:rPr>
          <w:rFonts w:ascii="Times New Roman" w:cs="Times New Roman" w:eastAsia="Times New Roman" w:hAnsi="Times New Roman"/>
          <w:sz w:val="18"/>
          <w:szCs w:val="18"/>
          <w:color w:val="0000EE"/>
        </w:rPr>
        <w:t xml:space="preserve"> </w:t>
      </w:r>
      <w:hyperlink r:id="rId36">
        <w:r>
          <w:rPr>
            <w:rFonts w:ascii="Times New Roman" w:cs="Times New Roman" w:eastAsia="Times New Roman" w:hAnsi="Times New Roman"/>
            <w:sz w:val="18"/>
            <w:szCs w:val="18"/>
            <w:u w:val="single" w:color="auto"/>
            <w:color w:val="0000EE"/>
          </w:rPr>
          <w:t>April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7">
        <w:r>
          <w:rPr>
            <w:rFonts w:ascii="Times New Roman" w:cs="Times New Roman" w:eastAsia="Times New Roman" w:hAnsi="Times New Roman"/>
            <w:sz w:val="18"/>
            <w:szCs w:val="18"/>
            <w:u w:val="single" w:color="auto"/>
            <w:color w:val="0000EE"/>
          </w:rPr>
          <w:t xml:space="preserve">April 9, 2024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Item 7.01 and Exhibit 99.1 thereto), </w:t>
      </w:r>
      <w:hyperlink r:id="rId38">
        <w:r>
          <w:rPr>
            <w:rFonts w:ascii="Times New Roman" w:cs="Times New Roman" w:eastAsia="Times New Roman" w:hAnsi="Times New Roman"/>
            <w:sz w:val="18"/>
            <w:szCs w:val="18"/>
            <w:u w:val="single" w:color="auto"/>
            <w:color w:val="0000EE"/>
          </w:rPr>
          <w:t xml:space="preserve">April 22, 2024, </w:t>
        </w:r>
      </w:hyperlink>
      <w:hyperlink r:id="rId39">
        <w:r>
          <w:rPr>
            <w:rFonts w:ascii="Times New Roman" w:cs="Times New Roman" w:eastAsia="Times New Roman" w:hAnsi="Times New Roman"/>
            <w:sz w:val="18"/>
            <w:szCs w:val="18"/>
            <w:u w:val="single" w:color="auto"/>
            <w:color w:val="000000"/>
          </w:rPr>
          <w:t xml:space="preserve">May </w:t>
        </w:r>
        <w:r>
          <w:rPr>
            <w:rFonts w:ascii="Times New Roman" w:cs="Times New Roman" w:eastAsia="Times New Roman" w:hAnsi="Times New Roman"/>
            <w:sz w:val="18"/>
            <w:szCs w:val="18"/>
            <w:u w:val="single" w:color="auto"/>
            <w:color w:val="0000EE"/>
          </w:rPr>
          <w:t>22, 2024</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(except for Item 7.01 and Exhibit 99.1 thereto), </w:t>
      </w:r>
      <w:hyperlink r:id="rId40">
        <w:r>
          <w:rPr>
            <w:rFonts w:ascii="Times New Roman" w:cs="Times New Roman" w:eastAsia="Times New Roman" w:hAnsi="Times New Roman"/>
            <w:sz w:val="18"/>
            <w:szCs w:val="18"/>
            <w:u w:val="single" w:color="auto"/>
            <w:color w:val="0000EE"/>
          </w:rPr>
          <w:t>June 17, 2024</w:t>
        </w:r>
      </w:hyperlink>
      <w:r>
        <w:rPr>
          <w:rFonts w:ascii="Times New Roman" w:cs="Times New Roman" w:eastAsia="Times New Roman" w:hAnsi="Times New Roman"/>
          <w:sz w:val="18"/>
          <w:szCs w:val="18"/>
          <w:color w:val="000000"/>
        </w:rPr>
        <w:t xml:space="preserve">, </w:t>
      </w:r>
      <w:hyperlink r:id="rId41">
        <w:r>
          <w:rPr>
            <w:rFonts w:ascii="Times New Roman" w:cs="Times New Roman" w:eastAsia="Times New Roman" w:hAnsi="Times New Roman"/>
            <w:sz w:val="18"/>
            <w:szCs w:val="18"/>
            <w:u w:val="single" w:color="auto"/>
            <w:color w:val="0000EE"/>
          </w:rPr>
          <w:t>July 2, 2024</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(except for Item 7.01 and Exhibits 99.1 and 99.2 thereto), </w:t>
      </w:r>
      <w:hyperlink r:id="rId42">
        <w:r>
          <w:rPr>
            <w:rFonts w:ascii="Times New Roman" w:cs="Times New Roman" w:eastAsia="Times New Roman" w:hAnsi="Times New Roman"/>
            <w:sz w:val="18"/>
            <w:szCs w:val="18"/>
            <w:u w:val="single" w:color="auto"/>
            <w:color w:val="0000EE"/>
          </w:rPr>
          <w:t xml:space="preserve">September 23, 2024, </w:t>
        </w:r>
      </w:hyperlink>
      <w:hyperlink r:id="rId43">
        <w:r>
          <w:rPr>
            <w:rFonts w:ascii="Times New Roman" w:cs="Times New Roman" w:eastAsia="Times New Roman" w:hAnsi="Times New Roman"/>
            <w:sz w:val="18"/>
            <w:szCs w:val="18"/>
            <w:u w:val="single" w:color="auto"/>
            <w:color w:val="0000EE"/>
          </w:rPr>
          <w:t>September 26,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4">
        <w:r>
          <w:rPr>
            <w:rFonts w:ascii="Times New Roman" w:cs="Times New Roman" w:eastAsia="Times New Roman" w:hAnsi="Times New Roman"/>
            <w:sz w:val="18"/>
            <w:szCs w:val="18"/>
            <w:u w:val="single" w:color="auto"/>
            <w:color w:val="0000EE"/>
          </w:rPr>
          <w:t xml:space="preserve">December 3, 2024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Item 7.01 and Exhibits 99.1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99.2 thereto).</w:t>
      </w:r>
    </w:p>
    <w:p>
      <w:pPr>
        <w:spacing w:after="0" w:line="80" w:lineRule="exact"/>
        <w:rPr>
          <w:rFonts w:ascii="Times New Roman" w:cs="Times New Roman" w:eastAsia="Times New Roman" w:hAnsi="Times New Roman"/>
          <w:sz w:val="18"/>
          <w:szCs w:val="18"/>
          <w:color w:val="0000EE"/>
        </w:rPr>
      </w:pPr>
    </w:p>
    <w:p>
      <w:pPr>
        <w:ind w:left="1000" w:right="459" w:hanging="348"/>
        <w:spacing w:after="0" w:line="25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June 8, 2016, as amended by the description of our Common Stock contained in </w:t>
      </w:r>
      <w:hyperlink r:id="rId45">
        <w:r>
          <w:rPr>
            <w:rFonts w:ascii="Times New Roman" w:cs="Times New Roman" w:eastAsia="Times New Roman" w:hAnsi="Times New Roman"/>
            <w:sz w:val="18"/>
            <w:szCs w:val="18"/>
            <w:u w:val="single" w:color="auto"/>
            <w:color w:val="0000EE"/>
          </w:rPr>
          <w:t>Exhibit 4.14</w:t>
        </w:r>
      </w:hyperlink>
      <w:r>
        <w:rPr>
          <w:rFonts w:ascii="Times New Roman" w:cs="Times New Roman" w:eastAsia="Times New Roman" w:hAnsi="Times New Roman"/>
          <w:sz w:val="18"/>
          <w:szCs w:val="18"/>
          <w:color w:val="auto"/>
        </w:rPr>
        <w:t xml:space="preserve"> to our Annual Report on Form 10-K for the year ended December 31, 2023, filed with the SEC on March 7, 2024, and any further amendment or report filed with the SEC for the purpose of updating such description.</w:t>
      </w:r>
    </w:p>
    <w:p>
      <w:pPr>
        <w:spacing w:after="0" w:line="75" w:lineRule="exact"/>
        <w:rPr>
          <w:rFonts w:ascii="Times New Roman" w:cs="Times New Roman" w:eastAsia="Times New Roman" w:hAnsi="Times New Roman"/>
          <w:sz w:val="18"/>
          <w:szCs w:val="18"/>
          <w:color w:val="0000EE"/>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All reports and other documents we subsequently file with the SEC under Sections 13(a), 13(c), 14 or 15(d) of the Exchange Act until our offering is completed, including all such reports and other documents filed with the SEC after the date of the initial filing of the registration statement of which this prospectus forms a part and prior to the effectiveness of such registration statement, will also be incorporated by reference into this prospectus and deemed to be part hereof (other than any information furnished to, rather than filed with, the SEC, unless expressly stated otherwise therein). The information contained in any such filing will be deemed to be a part of this prospectus commencing on the date on which the document is filed.</w:t>
      </w:r>
    </w:p>
    <w:p>
      <w:pPr>
        <w:spacing w:after="0" w:line="81" w:lineRule="exact"/>
        <w:rPr>
          <w:rFonts w:ascii="Times New Roman" w:cs="Times New Roman" w:eastAsia="Times New Roman" w:hAnsi="Times New Roman"/>
          <w:sz w:val="18"/>
          <w:szCs w:val="18"/>
          <w:color w:val="0000EE"/>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108" w:lineRule="exact"/>
        <w:rPr>
          <w:rFonts w:ascii="Times New Roman" w:cs="Times New Roman" w:eastAsia="Times New Roman" w:hAnsi="Times New Roman"/>
          <w:sz w:val="18"/>
          <w:szCs w:val="18"/>
          <w:color w:val="0000EE"/>
        </w:rPr>
      </w:pPr>
    </w:p>
    <w:p>
      <w:pPr>
        <w:ind w:left="3500"/>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27" w:lineRule="exact"/>
        <w:rPr>
          <w:rFonts w:ascii="Times New Roman" w:cs="Times New Roman" w:eastAsia="Times New Roman" w:hAnsi="Times New Roman"/>
          <w:sz w:val="18"/>
          <w:szCs w:val="18"/>
          <w:color w:val="0000EE"/>
        </w:rPr>
      </w:pPr>
    </w:p>
    <w:p>
      <w:pPr>
        <w:ind w:left="3600"/>
        <w:spacing w:after="0"/>
        <w:rPr>
          <w:sz w:val="20"/>
          <w:szCs w:val="20"/>
          <w:color w:val="auto"/>
        </w:rPr>
      </w:pPr>
      <w:r>
        <w:rPr>
          <w:rFonts w:ascii="Times New Roman" w:cs="Times New Roman" w:eastAsia="Times New Roman" w:hAnsi="Times New Roman"/>
          <w:sz w:val="18"/>
          <w:szCs w:val="18"/>
          <w:color w:val="auto"/>
        </w:rPr>
        <w:t>7495 New Horizon Way</w:t>
      </w:r>
    </w:p>
    <w:p>
      <w:pPr>
        <w:spacing w:after="0" w:line="9" w:lineRule="exact"/>
        <w:rPr>
          <w:rFonts w:ascii="Times New Roman" w:cs="Times New Roman" w:eastAsia="Times New Roman" w:hAnsi="Times New Roman"/>
          <w:sz w:val="18"/>
          <w:szCs w:val="18"/>
          <w:color w:val="0000EE"/>
        </w:rPr>
      </w:pPr>
    </w:p>
    <w:p>
      <w:pPr>
        <w:ind w:left="3700"/>
        <w:spacing w:after="0"/>
        <w:rPr>
          <w:sz w:val="20"/>
          <w:szCs w:val="20"/>
          <w:color w:val="auto"/>
        </w:rPr>
      </w:pPr>
      <w:r>
        <w:rPr>
          <w:rFonts w:ascii="Times New Roman" w:cs="Times New Roman" w:eastAsia="Times New Roman" w:hAnsi="Times New Roman"/>
          <w:sz w:val="18"/>
          <w:szCs w:val="18"/>
          <w:color w:val="auto"/>
        </w:rPr>
        <w:t>Frederick, MD 21703</w:t>
      </w:r>
    </w:p>
    <w:p>
      <w:pPr>
        <w:spacing w:after="0" w:line="9" w:lineRule="exact"/>
        <w:rPr>
          <w:rFonts w:ascii="Times New Roman" w:cs="Times New Roman" w:eastAsia="Times New Roman" w:hAnsi="Times New Roman"/>
          <w:sz w:val="18"/>
          <w:szCs w:val="18"/>
          <w:color w:val="0000EE"/>
        </w:rPr>
      </w:pPr>
    </w:p>
    <w:p>
      <w:pPr>
        <w:ind w:left="3940"/>
        <w:spacing w:after="0"/>
        <w:rPr>
          <w:sz w:val="20"/>
          <w:szCs w:val="20"/>
          <w:color w:val="auto"/>
        </w:rPr>
      </w:pPr>
      <w:r>
        <w:rPr>
          <w:rFonts w:ascii="Times New Roman" w:cs="Times New Roman" w:eastAsia="Times New Roman" w:hAnsi="Times New Roman"/>
          <w:sz w:val="18"/>
          <w:szCs w:val="18"/>
          <w:color w:val="auto"/>
        </w:rPr>
        <w:t>(301) 348-8698</w:t>
      </w:r>
    </w:p>
    <w:p>
      <w:pPr>
        <w:spacing w:after="0" w:line="99" w:lineRule="exact"/>
        <w:rPr>
          <w:rFonts w:ascii="Times New Roman" w:cs="Times New Roman" w:eastAsia="Times New Roman" w:hAnsi="Times New Roman"/>
          <w:sz w:val="18"/>
          <w:szCs w:val="18"/>
          <w:color w:val="0000EE"/>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162"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myasthenia gravis, or MG, a chronic autoimmune disease that causes disabling muscle weakness and fatigue, we observed that our lead product candidate, Descartes-08, generated a deep and durable clinical benefit, with all seven participants maintaining improvements in MG severity scales considered clinically meaningful by expert consensus at nine months, and five of the seven participants maintaining improvements in MG severity scales considered clinically meaningful by expert consensus at 12 months. Durability of response in MG is commonly measured over a period of 26 to 52 weeks, and maintenance of response over that period is considered durable.</w:t>
      </w:r>
    </w:p>
    <w:p>
      <w:pPr>
        <w:spacing w:after="0" w:line="7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Our mRNA CAR-T modality is a personalized approach that collects a patient’s T-cells and uses mRNA to introduce a CAR into the cell. The CAR redirects the T-cells to target and destroy pathogenic self-reactive cells. Our mRNA in situ modality is designed to deliver mRNA into a patient’s lymph node to generate CAR-T cells and other proteins that target autoimmunity.</w:t>
      </w:r>
    </w:p>
    <w:p>
      <w:pPr>
        <w:spacing w:after="0" w:line="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We filed our certificate of incorporation with the Secretary of State of Delaware on December 10, 2007.</w:t>
      </w:r>
    </w:p>
    <w:p>
      <w:pPr>
        <w:spacing w:after="0" w:line="27"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On November 13, 2023, the Company and the Delaware corporation which, immediately prior to the Merger, was known as Cartesian Therapeutics, Inc., or Old Cartesian, entered into an Agreement and Plan of Merger, or the Merger Agreement, by and among the Company, Sakura Merger Sub I, Inc., a Delaware corporation and a wholly owned subsidiary of the Company, or First Merger Sub, Sakura Merger Sub II, LLC, a Delaware limited liability company and wholly owned subsidiary of the Company, or Second Merger Sub, and Old Cartesian. Pursuant to the Merger Agreement, and simultaneously with execution thereof, (i) First Merger Sub merged with and into Old Cartesian, pursuant to which Old Cartesian was the surviving corporation, or the First Step Surviving Corporation, and became a wholly owned subsidiary of the Company, or the First Merger, and (ii) immediately following the First Merger, Old Cartesian (as the First Step Surviving Corporation) merged with and into Second Merger Sub, pursuant to which Second Merger Sub was the surviving company, or the Surviving Company, and continued under the name “Cartesian Bio, LLC”, or the Second Merger and, together with the First Merger, the Merger. In connection with the Merger and pursuant to the Merger Agreement, the Company (which was known as Selecta Biosciences, Inc. until immediately prior to the Merger) changed its corporate name to Cartesian Therapeutics, Inc.</w:t>
      </w:r>
    </w:p>
    <w:p>
      <w:pPr>
        <w:spacing w:after="0" w:line="8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7495 New Horizon Way, Frederick, MD 21703, and our telephone number is (301) 348-8698.</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85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extLst>
                    </a:blip>
                    <a:srcRect/>
                    <a:stretch>
                      <a:fillRect/>
                    </a:stretch>
                  </pic:blipFill>
                  <pic:spPr bwMode="auto">
                    <a:xfrm>
                      <a:off x="0" y="0"/>
                      <a:ext cx="5653405" cy="79851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63" w:right="1440" w:bottom="1440" w:gutter="0" w:footer="0" w:header="0"/>
        </w:sectPr>
      </w:pP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Shares Offered by the Selling Stockholders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(i) 5,813,223 shares of Common Stock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(ii) 437,927 shares of Common Stock issuable upon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437,927 shares of Series B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135"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Terms of the Offering</w:t>
      </w:r>
    </w:p>
    <w:p>
      <w:pPr>
        <w:spacing w:after="0" w:line="20" w:lineRule="exact"/>
        <w:rPr>
          <w:sz w:val="20"/>
          <w:szCs w:val="20"/>
          <w:color w:val="auto"/>
        </w:rPr>
      </w:pPr>
      <w:r>
        <w:rPr>
          <w:sz w:val="20"/>
          <w:szCs w:val="20"/>
          <w:color w:val="auto"/>
        </w:rPr>
        <w:br w:type="column"/>
      </w:r>
    </w:p>
    <w:p>
      <w:pPr>
        <w:ind w:right="279"/>
        <w:spacing w:after="0" w:line="258" w:lineRule="auto"/>
        <w:rPr>
          <w:sz w:val="20"/>
          <w:szCs w:val="20"/>
          <w:color w:val="auto"/>
        </w:rPr>
      </w:pPr>
      <w:r>
        <w:rPr>
          <w:rFonts w:ascii="Times New Roman" w:cs="Times New Roman" w:eastAsia="Times New Roman" w:hAnsi="Times New Roman"/>
          <w:sz w:val="18"/>
          <w:szCs w:val="18"/>
          <w:color w:val="auto"/>
        </w:rPr>
        <w:t>The Selling Stockholders will determine when and how they will dispose of the shares of Common Stock and shares of Common Stock issuable upon conversion of Series B Preferred Stock registered under this prospectus for resale.</w:t>
      </w:r>
    </w:p>
    <w:p>
      <w:pPr>
        <w:spacing w:after="0" w:line="98"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Shares Outstanding</w:t>
      </w:r>
    </w:p>
    <w:p>
      <w:pPr>
        <w:spacing w:after="0" w:line="20" w:lineRule="exact"/>
        <w:rPr>
          <w:sz w:val="20"/>
          <w:szCs w:val="20"/>
          <w:color w:val="auto"/>
        </w:rPr>
      </w:pPr>
      <w:r>
        <w:rPr>
          <w:sz w:val="20"/>
          <w:szCs w:val="20"/>
          <w:color w:val="auto"/>
        </w:rPr>
        <w:br w:type="column"/>
      </w:r>
    </w:p>
    <w:p>
      <w:pPr>
        <w:ind w:right="319"/>
        <w:spacing w:after="0" w:line="261" w:lineRule="auto"/>
        <w:rPr>
          <w:sz w:val="20"/>
          <w:szCs w:val="20"/>
          <w:color w:val="auto"/>
        </w:rPr>
      </w:pPr>
      <w:r>
        <w:rPr>
          <w:rFonts w:ascii="Times New Roman" w:cs="Times New Roman" w:eastAsia="Times New Roman" w:hAnsi="Times New Roman"/>
          <w:sz w:val="18"/>
          <w:szCs w:val="18"/>
          <w:color w:val="auto"/>
        </w:rPr>
        <w:t>As of September 30, 2024, there were 23,896,525 shares of our Common Stock, 166,341.592 shares of Series A Preferred Stock and 437,927 shares of Series B Preferred Stock outstanding.</w:t>
      </w:r>
    </w:p>
    <w:p>
      <w:pPr>
        <w:spacing w:after="0" w:line="108"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279"/>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the sale of the Resale Shares offered by the Selling Stockholders under this prospectus. The net proceeds from the sale of the Resale Shares offered by this prospectus will be received by the Selling Stockholders. See the section titled “</w:t>
      </w:r>
      <w:r>
        <w:rPr>
          <w:rFonts w:ascii="Times New Roman" w:cs="Times New Roman" w:eastAsia="Times New Roman" w:hAnsi="Times New Roman"/>
          <w:sz w:val="18"/>
          <w:szCs w:val="18"/>
          <w:i w:val="1"/>
          <w:iCs w:val="1"/>
          <w:color w:val="auto"/>
        </w:rPr>
        <w:t>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Proceeds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ind w:right="399"/>
        <w:spacing w:after="0" w:line="261"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other information included in this prospectus for a discussion of factors that you should consider carefully before deciding to invest in our securities.</w:t>
      </w:r>
    </w:p>
    <w:p>
      <w:pPr>
        <w:spacing w:after="0" w:line="97"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Trading Markets and Ticker Symbols</w:t>
      </w:r>
    </w:p>
    <w:p>
      <w:pPr>
        <w:spacing w:after="0" w:line="20" w:lineRule="exact"/>
        <w:rPr>
          <w:sz w:val="20"/>
          <w:szCs w:val="20"/>
          <w:color w:val="auto"/>
        </w:rPr>
      </w:pPr>
      <w:r>
        <w:rPr>
          <w:sz w:val="20"/>
          <w:szCs w:val="20"/>
          <w:color w:val="auto"/>
        </w:rPr>
        <w:br w:type="column"/>
      </w:r>
    </w:p>
    <w:p>
      <w:pPr>
        <w:ind w:right="739"/>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“RNAC.”</w:t>
      </w:r>
    </w:p>
    <w:p>
      <w:pPr>
        <w:spacing w:after="0" w:line="54"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right="399" w:firstLine="360"/>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outstanding is based on 23,896,525 shares of our Common Stock outstanding as of September 30, 2024. The number of shares outstanding as of September 30, 2024 excludes as of such date:</w:t>
      </w:r>
    </w:p>
    <w:p>
      <w:pPr>
        <w:spacing w:after="0" w:line="68" w:lineRule="exact"/>
        <w:rPr>
          <w:sz w:val="20"/>
          <w:szCs w:val="20"/>
          <w:color w:val="auto"/>
        </w:rPr>
      </w:pPr>
    </w:p>
    <w:p>
      <w:pPr>
        <w:ind w:left="1020" w:right="81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5,544,719 shares of Common Stock issuable upon the conversion of 166,341.592 shares of Series A Preferred Stock outstanding as of September 30, 2024;</w:t>
      </w:r>
    </w:p>
    <w:p>
      <w:pPr>
        <w:spacing w:after="0" w:line="53" w:lineRule="exact"/>
        <w:rPr>
          <w:rFonts w:ascii="Times New Roman" w:cs="Times New Roman" w:eastAsia="Times New Roman" w:hAnsi="Times New Roman"/>
          <w:sz w:val="18"/>
          <w:szCs w:val="18"/>
          <w:color w:val="auto"/>
        </w:rPr>
      </w:pPr>
    </w:p>
    <w:p>
      <w:pPr>
        <w:ind w:left="1020" w:right="53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437,927 shares of Common Stock issuable upon the conversion of 437,927 shares of Series B Preferred Stock outstanding as of September 30, 2024;</w:t>
      </w:r>
    </w:p>
    <w:p>
      <w:pPr>
        <w:spacing w:after="0" w:line="53" w:lineRule="exact"/>
        <w:rPr>
          <w:rFonts w:ascii="Times New Roman" w:cs="Times New Roman" w:eastAsia="Times New Roman" w:hAnsi="Times New Roman"/>
          <w:sz w:val="18"/>
          <w:szCs w:val="18"/>
          <w:color w:val="auto"/>
        </w:rPr>
      </w:pPr>
    </w:p>
    <w:p>
      <w:pPr>
        <w:ind w:left="1020" w:right="61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586,800 shares of Common Stock issuable upon the exercise of stock options outstanding as of September 30, 2024, at a weighted-average exercise price of $19.66 per share under our Amended and Restated 2016 Incentive Award Plan, or the 2016 Incentive Award Plan, of which 12,386 options were vested as of September 30, 2024;</w:t>
      </w:r>
    </w:p>
    <w:p>
      <w:pPr>
        <w:spacing w:after="0" w:line="71" w:lineRule="exact"/>
        <w:rPr>
          <w:rFonts w:ascii="Times New Roman" w:cs="Times New Roman" w:eastAsia="Times New Roman" w:hAnsi="Times New Roman"/>
          <w:sz w:val="18"/>
          <w:szCs w:val="18"/>
          <w:color w:val="auto"/>
        </w:rPr>
      </w:pPr>
    </w:p>
    <w:p>
      <w:pPr>
        <w:ind w:left="1020" w:right="61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256,666 shares of Common Stock issuable upon the exercise of stock options outstanding as of September 30, 2024, at a weighted-average exercise price of $20.10 per share under our Amended and Restated 2018 Employment Inducement Incentive Award Plan, or the Inducement Plan, of which no options were vested as of September 30, 2024;</w:t>
      </w:r>
    </w:p>
    <w:p>
      <w:pPr>
        <w:spacing w:after="0" w:line="71" w:lineRule="exact"/>
        <w:rPr>
          <w:rFonts w:ascii="Times New Roman" w:cs="Times New Roman" w:eastAsia="Times New Roman" w:hAnsi="Times New Roman"/>
          <w:sz w:val="18"/>
          <w:szCs w:val="18"/>
          <w:color w:val="auto"/>
        </w:rPr>
      </w:pPr>
    </w:p>
    <w:p>
      <w:pPr>
        <w:ind w:left="1020" w:right="39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1,128,723 shares of Common Stock issuable upon the exercise of stock options outstanding as of September 30, 2024, at a weighted-average exercise price of $2.72 per share under the Cartesian Therapeutics, Inc. 2016 Stock Incentive Plan, or the 2016 Stock Incentive Plan, of which 964,490 options were vested as of September 30, 2024;</w:t>
      </w:r>
    </w:p>
    <w:p>
      <w:pPr>
        <w:spacing w:after="0" w:line="71" w:lineRule="exact"/>
        <w:rPr>
          <w:rFonts w:ascii="Times New Roman" w:cs="Times New Roman" w:eastAsia="Times New Roman" w:hAnsi="Times New Roman"/>
          <w:sz w:val="18"/>
          <w:szCs w:val="18"/>
          <w:color w:val="auto"/>
        </w:rPr>
      </w:pPr>
    </w:p>
    <w:p>
      <w:pPr>
        <w:ind w:left="1020" w:right="379" w:hanging="350"/>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334,692 shares of Common Stock issuable upon the vesting of restricted stock units outstanding as of September 30, 2024, at a weighted-average grant price of $19.88 under the 2016 Incentive Award Plan, of which no restricted stock units were vested as of September 30, 2024;</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2738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extLst>
                    </a:blip>
                    <a:srcRect/>
                    <a:stretch>
                      <a:fillRect/>
                    </a:stretch>
                  </pic:blipFill>
                  <pic:spPr bwMode="auto">
                    <a:xfrm>
                      <a:off x="0" y="0"/>
                      <a:ext cx="5653405" cy="27387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439" w:hanging="350"/>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113,519 shares of Common Stock issuable upon the vesting of restricted stock units outstanding as of September 30, 2024, at a weighted-average grant price of $19.80 under the 2016 Stock Incentive Plan, of which no restricted stock units were vested as of September 30, 2024;</w:t>
      </w:r>
    </w:p>
    <w:p>
      <w:pPr>
        <w:spacing w:after="0" w:line="67" w:lineRule="exact"/>
        <w:rPr>
          <w:rFonts w:ascii="Times New Roman" w:cs="Times New Roman" w:eastAsia="Times New Roman" w:hAnsi="Times New Roman"/>
          <w:sz w:val="18"/>
          <w:szCs w:val="18"/>
          <w:color w:val="auto"/>
        </w:rPr>
      </w:pPr>
    </w:p>
    <w:p>
      <w:pPr>
        <w:ind w:left="1020" w:right="3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974,954 shares of Common Stock issuable upon the exercise of warrants outstanding as of September 30, 2024, at a weighted average exercise price of $46.04 per share;</w:t>
      </w:r>
    </w:p>
    <w:p>
      <w:pPr>
        <w:spacing w:after="0" w:line="53" w:lineRule="exact"/>
        <w:rPr>
          <w:rFonts w:ascii="Times New Roman" w:cs="Times New Roman" w:eastAsia="Times New Roman" w:hAnsi="Times New Roman"/>
          <w:sz w:val="18"/>
          <w:szCs w:val="18"/>
          <w:color w:val="auto"/>
        </w:rPr>
      </w:pPr>
    </w:p>
    <w:p>
      <w:pPr>
        <w:ind w:left="1020" w:right="125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3,511,101 shares of Common Stock reserved for issuance as of September 30, 2024 under the 2016 Incentive Award Plan;</w:t>
      </w:r>
    </w:p>
    <w:p>
      <w:pPr>
        <w:spacing w:after="0" w:line="53" w:lineRule="exact"/>
        <w:rPr>
          <w:rFonts w:ascii="Times New Roman" w:cs="Times New Roman" w:eastAsia="Times New Roman" w:hAnsi="Times New Roman"/>
          <w:sz w:val="18"/>
          <w:szCs w:val="18"/>
          <w:color w:val="auto"/>
        </w:rPr>
      </w:pPr>
    </w:p>
    <w:p>
      <w:pPr>
        <w:ind w:left="1020" w:right="61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27,270 shares of Common Stock reserved for issuance as of September 30, 2024 under the 2016 Stock Incentive Plan;</w:t>
      </w:r>
    </w:p>
    <w:p>
      <w:pPr>
        <w:spacing w:after="0" w:line="53" w:lineRule="exact"/>
        <w:rPr>
          <w:rFonts w:ascii="Times New Roman" w:cs="Times New Roman" w:eastAsia="Times New Roman" w:hAnsi="Times New Roman"/>
          <w:sz w:val="18"/>
          <w:szCs w:val="18"/>
          <w:color w:val="auto"/>
        </w:rPr>
      </w:pPr>
    </w:p>
    <w:p>
      <w:pPr>
        <w:ind w:left="1020" w:right="4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253,377 shares of Common Stock reserved for issuance as of September 30, 2024 under the Inducement Plan; and</w:t>
      </w:r>
    </w:p>
    <w:p>
      <w:pPr>
        <w:spacing w:after="0" w:line="53" w:lineRule="exact"/>
        <w:rPr>
          <w:rFonts w:ascii="Times New Roman" w:cs="Times New Roman" w:eastAsia="Times New Roman" w:hAnsi="Times New Roman"/>
          <w:sz w:val="18"/>
          <w:szCs w:val="18"/>
          <w:color w:val="auto"/>
        </w:rPr>
      </w:pPr>
    </w:p>
    <w:p>
      <w:pPr>
        <w:ind w:left="1020" w:right="105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45,795 shares of Common Stock reserved for issuance as of September 30, 2024 pursuant to our 2016 Employee Stock Purchase Plan.</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concerning the offering,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Investing in securities issued by us involves a high degree of risk. Before deciding whether to invest in our securities, you should consider carefully the risks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any of our filings with the SEC that are incorporated by reference herein.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we will not receive any proceeds from the sale of the Resale Shares covered hereby. The net proceeds from the sale of the Resale Shares offered by this prospectus will be received by the Selling Stockholders.</w:t>
      </w:r>
    </w:p>
    <w:p>
      <w:pPr>
        <w:spacing w:after="0" w:line="68"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Subject to limited exceptions, the Selling Stockholders will pay any underwriting discounts and commissions and expenses incurred by the Selling Stockholders for brokerage, accounting, tax or legal services or any other expenses incurred by the Selling Stockholders in disposing of any of the Resale Shares. We will bear the costs, fees and expenses incurred in effecting the registration of the Resale Shares covered by this prospectus, including all registration and filing fees, listing fees of the Nasdaq Stock Market LLC and fees and expenses of our counsel and our independent registered public accounting firm.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capital stock is not complete and may not contain all the information you should consider before investing in our capital stock. This description is summarized from, and qualified in its entirety by reference to, our restated certificate of incorporation, as amended, or the Charter, our amended and restated by-laws, or the Bylaws, and the applicable provisions of the Delaware General Corporation Law, or the DGCL. Each of our Charter and Bylaws is filed as an exhibit to the registration statement of which this prospectus forms a part.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color w:val="auto"/>
        </w:rPr>
        <w:t>As of the date of this prospectus, our authorized capital stock consists of 360,000,000 shares, comprised of 350,000,000 shares of Common Stock and 10,000,000 shares of preferred stock, $0.0001 par value per share. As of September 30, 2024 there were 23,896,525 shares of our Common Stock outstanding and 604,268.592 shares of preferred stock outstanding, of which (i) 166,341.592 were designated as Series A Non-Voting Convertible Preferred Stock, $0.0001 par value per share, or the Series A Preferred Stock, and are convertible into 5,544,719 shares of Common Stock and (ii) 437,927 were designated as Series B Non-Voting Convertible Preferred Stock, $0.0001 par value per share, or the Series B Preferred Stock, and are convertible into 437,927 shares of Common Stock.</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“RNAC.”</w:t>
      </w:r>
    </w:p>
    <w:p>
      <w:pPr>
        <w:spacing w:after="0" w:line="115"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our Common Stock are entitled to one vote for each share held on all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Charter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a majority of the voting power of the outstanding shares of capital stock entitled to vote thereon is required to amend or repeal, or to adopt any provision inconsistent with, several of the provisions of our Charter.</w:t>
      </w:r>
    </w:p>
    <w:p>
      <w:pPr>
        <w:spacing w:after="0" w:line="77" w:lineRule="exact"/>
        <w:rPr>
          <w:sz w:val="20"/>
          <w:szCs w:val="20"/>
          <w:color w:val="auto"/>
        </w:rPr>
      </w:pPr>
    </w:p>
    <w:p>
      <w:pPr>
        <w:ind w:left="300" w:right="5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Rights upon Liquidation</w:t>
      </w:r>
      <w:r>
        <w:rPr>
          <w:rFonts w:ascii="Times New Roman" w:cs="Times New Roman" w:eastAsia="Times New Roman" w:hAnsi="Times New Roman"/>
          <w:sz w:val="18"/>
          <w:szCs w:val="18"/>
          <w:color w:val="auto"/>
        </w:rPr>
        <w:t>. In the event of our liquidation or dissolution, the holders of Common Stock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proportionately our net assets available for distribution to stockholders after the payment of all debts and other liabilities and subject to the prior rights of any outstanding preferred stock</w:t>
      </w:r>
    </w:p>
    <w:p>
      <w:pPr>
        <w:spacing w:after="0" w:line="65" w:lineRule="exact"/>
        <w:rPr>
          <w:sz w:val="20"/>
          <w:szCs w:val="20"/>
          <w:color w:val="auto"/>
        </w:rPr>
      </w:pPr>
    </w:p>
    <w:p>
      <w:pPr>
        <w:ind w:left="300" w:right="6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Holders of Common Stock are entitled to receive proportionately any dividends as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our board of directors, or the Board of Directors, subject to any preferential dividend rights of outstanding preferred stock.</w:t>
      </w:r>
    </w:p>
    <w:p>
      <w:pPr>
        <w:spacing w:after="0" w:line="65" w:lineRule="exact"/>
        <w:rPr>
          <w:sz w:val="20"/>
          <w:szCs w:val="20"/>
          <w:color w:val="auto"/>
        </w:rPr>
      </w:pPr>
    </w:p>
    <w:p>
      <w:pPr>
        <w:ind w:left="300" w:right="4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 Holders of Common Stock have no preemptive, subscription, redemption or conversion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Pursuant to the Charter, the Board of Directors has the authority, without stockholder approval, subject to limitations prescribed by law, to provide for the issuance of up to 10,000,000 shares of preferred stock in one or more series, and by filing a certificate pursuant to the applicable law of the State of Delaware, to establish from time to time the number of shares to be included in each such series, and to fix the voting rights, if any, designations, powers, preferences and relative, participating, optional, special and other rights of the shares of each series and any qualifications, limitations or restrictions thereof.</w:t>
      </w:r>
    </w:p>
    <w:p>
      <w:pPr>
        <w:spacing w:after="0" w:line="79"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We will fix the voting rights, designations, preferences and rights of the preferred stock of each series, as well as the qualifications, limitations or restrictions thereof, in the certificate of designation relating to such series. We will file an exhibit to the registration statement of which any prospectus relating to offers and sales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any such preferred stock forms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68"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dividends;</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are cumulative or non-cumulative and, if cumulative, the date from which dividends will accumulate;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such deferral period;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auction and remarketing,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or repurchase, if applicable, and any restrictions on our ability to exercise those redemption and repurchase rights;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will be convertible into Common Stock, including the conversion price (or manner of calculation) and conversion period;</w:t>
      </w:r>
    </w:p>
    <w:p>
      <w:pPr>
        <w:spacing w:after="0" w:line="5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1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U.S. federal income tax considerations applicable to the preferred stock;</w:t>
      </w:r>
    </w:p>
    <w:p>
      <w:pPr>
        <w:spacing w:after="0" w:line="53"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the liquidation, dissolution or winding up of our affairs;</w:t>
      </w:r>
    </w:p>
    <w:p>
      <w:pPr>
        <w:spacing w:after="0" w:line="53" w:lineRule="exact"/>
        <w:rPr>
          <w:rFonts w:ascii="Times New Roman" w:cs="Times New Roman" w:eastAsia="Times New Roman" w:hAnsi="Times New Roman"/>
          <w:sz w:val="18"/>
          <w:szCs w:val="18"/>
          <w:color w:val="auto"/>
        </w:rPr>
      </w:pPr>
    </w:p>
    <w:p>
      <w:pPr>
        <w:ind w:left="1000" w:right="55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stock.</w:t>
      </w:r>
    </w:p>
    <w:p>
      <w:pPr>
        <w:spacing w:after="0" w:line="117"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common stockholders will receive dividend payments and payments upon liquidation.</w:t>
      </w:r>
    </w:p>
    <w:p>
      <w:pPr>
        <w:spacing w:after="0" w:line="75" w:lineRule="exact"/>
        <w:rPr>
          <w:sz w:val="20"/>
          <w:szCs w:val="20"/>
          <w:color w:val="auto"/>
        </w:rPr>
      </w:pPr>
    </w:p>
    <w:p>
      <w:pPr>
        <w:ind w:left="300" w:right="359" w:firstLine="360"/>
        <w:spacing w:after="0" w:line="289" w:lineRule="auto"/>
        <w:rPr>
          <w:sz w:val="20"/>
          <w:szCs w:val="20"/>
          <w:color w:val="auto"/>
        </w:rPr>
      </w:pPr>
      <w:r>
        <w:rPr>
          <w:rFonts w:ascii="Times New Roman" w:cs="Times New Roman" w:eastAsia="Times New Roman" w:hAnsi="Times New Roman"/>
          <w:sz w:val="17"/>
          <w:szCs w:val="17"/>
          <w:color w:val="auto"/>
        </w:rPr>
        <w:t>The laws of the State of Delaware provide that the holders of preferred stock will have the right to vote separately as a class on any proposal involving fundamental changes to the rights of holders of such preferred stock. This right is in addition to any voting rights that may be provided for in the applicable certificate of designations.</w:t>
      </w:r>
    </w:p>
    <w:p>
      <w:pPr>
        <w:spacing w:after="0" w:line="50"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any series of preferred stock will be set forth in the applicable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11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outstanding shares of Series A Preferred Stock may convert into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certain beneficial ownership limitations, including that a holder of Series A Preferred Stock (except for any holder of Series A Preferred Stock who beneficially owned greater than 19.9% of our Common Stock immediately prior to the Merger)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or the Series A Beneficial Ownership Limitation. Each outstanding share of Series A Preferred Stock is convertible, at any time and from time to time, at the option of the holder thereof, into 33.333 shares of Common Stock, subject to the Series A Beneficial Ownership Limitation and only to the extent the same shall have ceased to apply.</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Except as otherwise required by law (e.g., voting on a change to the authorized shares of</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Series A Preferred Stock or the rights of such shares as required by the DGCL) and the Certificate of Designation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Preferences, Rights and Limitations of the Series A Preferred Stock, or the Series A Certificate of Designation,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Series A Preferred Stock does not have voting rights. However, as long as any shares of Series A Preferred Stock are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outstanding, we will not, without the affirmative vote of the holders of a majority of the then outstanding shares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Series A Preferred Stock, (a) alter or change adversely the powers, preferences or rights given to the Series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Preferred Stock, (b) alter or amend the Series A Certificate of Designation, (c) amend the Charter or other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organizational documents in any matter that adversely affects any rights of the holders of Series A Preferred Stock,</w:t>
      </w:r>
    </w:p>
    <w:p>
      <w:pPr>
        <w:spacing w:after="0" w:line="9" w:lineRule="exact"/>
        <w:rPr>
          <w:sz w:val="20"/>
          <w:szCs w:val="20"/>
          <w:color w:val="auto"/>
        </w:rPr>
      </w:pPr>
    </w:p>
    <w:p>
      <w:pPr>
        <w:ind w:left="300" w:right="359" w:hanging="8"/>
        <w:spacing w:after="0" w:line="251" w:lineRule="auto"/>
        <w:tabs>
          <w:tab w:leader="none" w:pos="5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further shares of Series A Preferred Stock (other than in connection with the exercise of assumed Cartesian options to purchase shares of Series A Preferred Stock), (e) at any time while at least 30% of the originally issued Series A Preferred Stock remains issued and outstanding, consummate either (A) a Fundamental Transaction (as defined in the Series A Certificate of Designation) or (B) any merger or consolidation of the Company or other business combination in which our stockholders immediately before such transaction do not hold at least a majority of our capital stock immediately after such transaction, (f) amend or fail to comply with, in any manner that would be reasonably likely to prevent, impede or materially delay the conversion (or the stockholder approval thereof), or terminate, any of the support agreements entered into in connection with the Merger, or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w:t>
      </w:r>
    </w:p>
    <w:p>
      <w:pPr>
        <w:spacing w:after="0" w:line="82" w:lineRule="exact"/>
        <w:rPr>
          <w:sz w:val="20"/>
          <w:szCs w:val="20"/>
          <w:color w:val="auto"/>
        </w:rPr>
      </w:pPr>
    </w:p>
    <w:p>
      <w:pPr>
        <w:jc w:val="both"/>
        <w:ind w:left="300" w:right="5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Series A Preferred Stock are entitled to receive non-cumulative dividends on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A Preferred Stock equal, on an as-if-converted-to-Common-Stock basis, and in the same form as dividends actually paid on shares of the Common Stock.</w:t>
      </w:r>
    </w:p>
    <w:p>
      <w:pPr>
        <w:spacing w:after="0" w:line="65" w:lineRule="exact"/>
        <w:rPr>
          <w:sz w:val="20"/>
          <w:szCs w:val="20"/>
          <w:color w:val="auto"/>
        </w:rPr>
      </w:pPr>
    </w:p>
    <w:p>
      <w:pPr>
        <w:ind w:left="300" w:right="11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Liquidation and Dissolution</w:t>
      </w:r>
      <w:r>
        <w:rPr>
          <w:rFonts w:ascii="Times New Roman" w:cs="Times New Roman" w:eastAsia="Times New Roman" w:hAnsi="Times New Roman"/>
          <w:sz w:val="18"/>
          <w:szCs w:val="18"/>
          <w:color w:val="auto"/>
        </w:rPr>
        <w:t>. The Series A Preferred Stock ranks on parity with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B Preferred Stock upon any liquidation, dissolution or winding-up of the Company.</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The Series A Preferred Stock does not have preemptive rights.</w:t>
      </w:r>
    </w:p>
    <w:p>
      <w:pPr>
        <w:spacing w:after="0" w:line="117" w:lineRule="exact"/>
        <w:rPr>
          <w:sz w:val="20"/>
          <w:szCs w:val="20"/>
          <w:color w:val="auto"/>
        </w:rPr>
      </w:pPr>
    </w:p>
    <w:p>
      <w:pPr>
        <w:ind w:left="30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The Series A Certificate of Designation does not contain any restrictions upon the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Series A Preferred Stock.</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11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outstanding shares of Series B Preferred Stock may convert into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certain beneficial ownership limitations, including that a holder of Series B Preferred Stock (except for any holder of Series B Preferred Stock who beneficially owned greater than 19.9% of our Common Stock immediately prior to the Private Placement) is prohibited from converting shares of Series B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or the Series B Beneficial Ownership Limitation. Each outstanding share of Series B Preferred Stock is convertible, at any time and from time to time, at the option of the holder thereof, into one share of Common Stock, subject to the Series B Beneficial Ownership Limitation and only to the extent the same shall have ceased to apply.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Except as otherwise required by law (e.g., voting on a change to the authorized shares of</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Series B Preferred Stock or the rights of such shares as required by the DGCL) and the Certificate of Designation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Preferences, Rights, and Limitations of the Series B Preferred Stock, or the Series B Certificate of Designation,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Series B Preferred Stock does not have voting rights. However, as long as any shares of Series B Preferred Stock are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outstanding, we will not, without the affirmative vote of the holders of a majority of the then outstanding shares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Series B Preferred Stock, (a) alter or change adversely the powers, preferences or rights given to the Series B</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Preferred Stock, (b) alter or amend the Series B Certificate of Designation, or (c) amend the Charter or other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organizational documents in any matter that adversely affects any rights of the holders of Series B Preferred Stock.</w:t>
      </w:r>
    </w:p>
    <w:p>
      <w:pPr>
        <w:spacing w:after="0" w:line="97" w:lineRule="exact"/>
        <w:rPr>
          <w:sz w:val="20"/>
          <w:szCs w:val="20"/>
          <w:color w:val="auto"/>
        </w:rPr>
      </w:pPr>
    </w:p>
    <w:p>
      <w:pPr>
        <w:jc w:val="both"/>
        <w:ind w:left="300" w:right="5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Series B Preferred Stock are entitled to receive non-cumulative dividends on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B Preferred Stock equal, on an as-if-converted-to-Common-Stock basis, and in the same form as dividends actually paid on shares of the Common Stock.</w:t>
      </w:r>
    </w:p>
    <w:p>
      <w:pPr>
        <w:spacing w:after="0" w:line="65" w:lineRule="exact"/>
        <w:rPr>
          <w:sz w:val="20"/>
          <w:szCs w:val="20"/>
          <w:color w:val="auto"/>
        </w:rPr>
      </w:pPr>
    </w:p>
    <w:p>
      <w:pPr>
        <w:jc w:val="both"/>
        <w:ind w:left="30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Liquidation and Dissolution</w:t>
      </w:r>
      <w:r>
        <w:rPr>
          <w:rFonts w:ascii="Times New Roman" w:cs="Times New Roman" w:eastAsia="Times New Roman" w:hAnsi="Times New Roman"/>
          <w:sz w:val="18"/>
          <w:szCs w:val="18"/>
          <w:color w:val="auto"/>
        </w:rPr>
        <w:t>. The Series B Preferred Stock ranks on parity with Common Stock and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upon any liquidation, dissolution or winding-up of the Company.</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The Series B Preferred Stock does not have preemptive rights.</w:t>
      </w:r>
    </w:p>
    <w:p>
      <w:pPr>
        <w:spacing w:after="0" w:line="117" w:lineRule="exact"/>
        <w:rPr>
          <w:sz w:val="20"/>
          <w:szCs w:val="20"/>
          <w:color w:val="auto"/>
        </w:rPr>
      </w:pPr>
    </w:p>
    <w:p>
      <w:pPr>
        <w:jc w:val="both"/>
        <w:ind w:left="30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The Series B Certificate of Designation does not contain any restrictions upon the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Series B Preferred Stock.</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Certain holders of our Common Stock or their transferees are entitled to the following rights with respect to the registration of such shares for public resale under the Securities Act.</w:t>
      </w:r>
    </w:p>
    <w:p>
      <w:pPr>
        <w:spacing w:after="0" w:line="54"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These registration rights are granted pursuant to (i) a registration rights agreement, or the RRA, we entered into in June 2024 in connection with a private placement of our Common Stock and Series B Preferred Stock, (ii) a registration rights agreement, or the 2023 RRA, we entered into in November 2023 in connection with a private placement of our Common Stock and Series A Preferred Stock, or the 2023 Private Placement, and the Merger, and</w:t>
      </w:r>
    </w:p>
    <w:p>
      <w:pPr>
        <w:spacing w:after="0" w:line="3" w:lineRule="exact"/>
        <w:rPr>
          <w:sz w:val="20"/>
          <w:szCs w:val="20"/>
          <w:color w:val="auto"/>
        </w:rPr>
      </w:pPr>
    </w:p>
    <w:p>
      <w:pPr>
        <w:ind w:left="300" w:right="519" w:hanging="8"/>
        <w:spacing w:after="0" w:line="260"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rights agreement, or the 2020 RRA, we entered into in connection with the private placement of our Common Stock, which closed on July 31, 2020.</w:t>
      </w: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RRA</w:t>
      </w:r>
    </w:p>
    <w:p>
      <w:pPr>
        <w:spacing w:after="0" w:line="121" w:lineRule="exact"/>
        <w:rPr>
          <w:sz w:val="20"/>
          <w:szCs w:val="20"/>
          <w:color w:val="auto"/>
        </w:rPr>
      </w:pPr>
    </w:p>
    <w:p>
      <w:pPr>
        <w:ind w:left="300" w:right="499" w:firstLine="360"/>
        <w:spacing w:after="0" w:line="257" w:lineRule="auto"/>
        <w:rPr>
          <w:sz w:val="20"/>
          <w:szCs w:val="20"/>
          <w:color w:val="auto"/>
        </w:rPr>
      </w:pPr>
      <w:r>
        <w:rPr>
          <w:rFonts w:ascii="Times New Roman" w:cs="Times New Roman" w:eastAsia="Times New Roman" w:hAnsi="Times New Roman"/>
          <w:sz w:val="18"/>
          <w:szCs w:val="18"/>
          <w:color w:val="auto"/>
        </w:rPr>
        <w:t>On July 2, 2024, we entered into the RRA with the purchasers party thereto. Pursuant to the RRA, we were obligated to prepare and file a resale registration statement with the SEC within 30 days of July 3, 2024 and to use our reasonable best efforts to cause such registration statement to be declared effective by the SEC within</w:t>
      </w:r>
    </w:p>
    <w:p>
      <w:pPr>
        <w:spacing w:after="0" w:line="1" w:lineRule="exact"/>
        <w:rPr>
          <w:sz w:val="20"/>
          <w:szCs w:val="20"/>
          <w:color w:val="auto"/>
        </w:rPr>
      </w:pPr>
    </w:p>
    <w:p>
      <w:pPr>
        <w:ind w:left="300" w:right="399"/>
        <w:spacing w:after="0" w:line="251" w:lineRule="auto"/>
        <w:rPr>
          <w:sz w:val="20"/>
          <w:szCs w:val="20"/>
          <w:color w:val="auto"/>
        </w:rPr>
      </w:pPr>
      <w:r>
        <w:rPr>
          <w:rFonts w:ascii="Times New Roman" w:cs="Times New Roman" w:eastAsia="Times New Roman" w:hAnsi="Times New Roman"/>
          <w:sz w:val="18"/>
          <w:szCs w:val="18"/>
          <w:color w:val="auto"/>
        </w:rPr>
        <w:t>90 calendar days of July 3, 2024 (or within 120 calendar days of July 3, 2024 if the SEC reviews the registration statement). We also undertook to register the Resale Shares on a registration statement on Form S-3 promptly after such form is available to us. The registration statement of which this prospectus forms a part is intended to continue the satisfaction of these obligations, which were initially satisfied by our filing of a prior registration statement on Form S-1 relating to the resale of such securities, which we intend to terminate upon the effectiveness of this registration statement. Once this registration statement is declared effective, the Resale Shares to which the registration statement relates will no longer constitute restricted securities and may be sold freely in the public markets, subject to lapse on any related contractual restrictions related thereto of any holder party thereto, and subject to any restrictions that may be applicable to any control securities.</w:t>
      </w:r>
    </w:p>
    <w:p>
      <w:pPr>
        <w:spacing w:after="0" w:line="8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also agreed, among other things, to indemnify the purchasers party thereto and each of their respective officers, directors, agents, partners, members, managers, stockholders, affiliates, investment advisers and employees, each person who controls any such purchaser party and the officers, directors, partners, members, managers, stockholders, agents, investment advisers and employees of each such controlling person from certain liabilities and pay all fees and expenses (excluding any legal fees of the selling holder(s), and any underwriting discounts and selling commissions) incident to our obligations under the RRA.</w:t>
      </w:r>
    </w:p>
    <w:p>
      <w:pPr>
        <w:spacing w:after="0" w:line="79"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Securities of a holder cease to be registrable securities under the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by Rule 144(c) and Rule 144(i)(2) and without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volume or manner-of-sale restrictions, pursuant to a written opinion letter of counsel for the Company to such effect, addressed, delivered and reasonably acceptable to the Company’s transfer agent.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2023 RRA</w:t>
      </w:r>
    </w:p>
    <w:p>
      <w:pPr>
        <w:spacing w:after="0" w:line="121"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Merger and the 2023 Private Placement, we entered into the 2023 RRA, pursuant to which we agreed to prepare and file a resale registration statement with the SEC within 90 calendar days following November 15, 2023, with respect to the shares of Common Stock underlying the Series A Preferred Stock issued in the 2023 Private Placement and the Common Stock and Series A Preferred Stock issued to the signatories to the 2023 RRA in the Merger. We also agreed to use our commercially reasonable efforts to cause such registration statement to be declared effective by the SEC by March 29, 2024 (or by May 13, 2024 if the SEC reviews the registration statement). The parties to the 2023 RRA previously waived these registration requirements during the period in which we were not eligible to use Form S-3 to register resales of the registrable securities under the 2023 RRA, and one signatory to the 2023 RRA has irrevocably waived such registration requirements.</w:t>
      </w:r>
    </w:p>
    <w:p>
      <w:pPr>
        <w:spacing w:after="0" w:line="80"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also agreed to, among other things, indemnify the holders of Common Stock and Series A Preferred Stock signatory thereto, their officers, directors, members, employees, partners, managers, stockholders, affiliates, investment advisors and agents under such registration statement from certain liabilities and pay all fees and expenses (excluding any legal fees of the selling holder(s), and any underwriting discounts and selling commissions) incident to our obligations under the 2023 RRA.</w:t>
      </w:r>
    </w:p>
    <w:p>
      <w:pPr>
        <w:spacing w:after="0" w:line="75"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Securities of a holder cease to be registrable securities under the 2023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thereunder and without volume or manner-of-sale restrictions, pursuant to a written opinion letter of counsel for the Company to such effect, addressed, delivered and reasonably acceptable to the Company’s transfer agent.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RRA</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Holders of registrable securities under the 2020 RRA have registration rights until the earlier of (i) such time as there are no longer any registrable securities held by the purchaser, its affiliates or permitted transferees and (ii) such time as all of the securities can otherwise be sold without regard to the volume or manner-of-sale restrictions pursuant to Rule 144.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7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Any time we propose to register any shares of our Common Stock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subject to certain 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75" w:lineRule="exact"/>
        <w:rPr>
          <w:sz w:val="20"/>
          <w:szCs w:val="20"/>
          <w:color w:val="auto"/>
        </w:rPr>
      </w:pPr>
    </w:p>
    <w:p>
      <w:pPr>
        <w:ind w:left="300" w:right="1079" w:firstLine="360"/>
        <w:spacing w:after="0" w:line="315" w:lineRule="auto"/>
        <w:rPr>
          <w:sz w:val="20"/>
          <w:szCs w:val="20"/>
          <w:color w:val="auto"/>
        </w:rPr>
      </w:pPr>
      <w:r>
        <w:rPr>
          <w:rFonts w:ascii="Times New Roman" w:cs="Times New Roman" w:eastAsia="Times New Roman" w:hAnsi="Times New Roman"/>
          <w:sz w:val="17"/>
          <w:szCs w:val="17"/>
          <w:i w:val="1"/>
          <w:iCs w:val="1"/>
          <w:color w:val="auto"/>
        </w:rPr>
        <w:t>Demand Registration Rights</w:t>
      </w:r>
      <w:r>
        <w:rPr>
          <w:rFonts w:ascii="Times New Roman" w:cs="Times New Roman" w:eastAsia="Times New Roman" w:hAnsi="Times New Roman"/>
          <w:sz w:val="17"/>
          <w:szCs w:val="17"/>
          <w:color w:val="auto"/>
        </w:rPr>
        <w:t>. If the holders of registrable securities request in writing that we effect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registration with respect to all of the registrable securities, we will be required to effect such registration.</w:t>
      </w:r>
    </w:p>
    <w:p>
      <w:pPr>
        <w:spacing w:after="0" w:line="27" w:lineRule="exact"/>
        <w:rPr>
          <w:sz w:val="20"/>
          <w:szCs w:val="20"/>
          <w:color w:val="auto"/>
        </w:rPr>
      </w:pPr>
    </w:p>
    <w:p>
      <w:pPr>
        <w:ind w:left="300" w:right="7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Ordinarily, other than underwriting discounts and commissions, we will be required to pay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75"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Termination of Registration Rights</w:t>
      </w:r>
      <w:r>
        <w:rPr>
          <w:rFonts w:ascii="Times New Roman" w:cs="Times New Roman" w:eastAsia="Times New Roman" w:hAnsi="Times New Roman"/>
          <w:sz w:val="18"/>
          <w:szCs w:val="18"/>
          <w:color w:val="auto"/>
        </w:rPr>
        <w:t>. The registration rights terminate upon the earlier of (i) such time as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 longer any registrable securities held by the purchaser, its affiliates or permitted transferees and (ii) such time as all of the securities can otherwise be sold without regard to the volume or manner-of-sale restrictions pursuant to Rule 144.</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Charter and Bylaws</w:t>
      </w:r>
    </w:p>
    <w:p>
      <w:pPr>
        <w:spacing w:after="0" w:line="121" w:lineRule="exact"/>
        <w:rPr>
          <w:sz w:val="20"/>
          <w:szCs w:val="20"/>
          <w:color w:val="auto"/>
        </w:rPr>
      </w:pPr>
    </w:p>
    <w:p>
      <w:pPr>
        <w:ind w:left="300" w:right="879" w:firstLine="360"/>
        <w:spacing w:after="0" w:line="312" w:lineRule="auto"/>
        <w:rPr>
          <w:sz w:val="20"/>
          <w:szCs w:val="20"/>
          <w:color w:val="auto"/>
        </w:rPr>
      </w:pPr>
      <w:r>
        <w:rPr>
          <w:rFonts w:ascii="Times New Roman" w:cs="Times New Roman" w:eastAsia="Times New Roman" w:hAnsi="Times New Roman"/>
          <w:sz w:val="17"/>
          <w:szCs w:val="17"/>
          <w:color w:val="auto"/>
        </w:rPr>
        <w:t>Some provisions of the DGCL, our Charter and our Bylaws could make the following transactions more difficult: an acquisition of us by means of a tender offer; an acquisition of us by means of a proxy contest or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59"/>
        <w:spacing w:after="0" w:line="261" w:lineRule="auto"/>
        <w:rPr>
          <w:sz w:val="20"/>
          <w:szCs w:val="20"/>
          <w:color w:val="auto"/>
        </w:rPr>
      </w:pPr>
      <w:r>
        <w:rPr>
          <w:rFonts w:ascii="Times New Roman" w:cs="Times New Roman" w:eastAsia="Times New Roman" w:hAnsi="Times New Roman"/>
          <w:sz w:val="18"/>
          <w:szCs w:val="18"/>
          <w:color w:val="auto"/>
        </w:rPr>
        <w:t>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72" w:lineRule="exact"/>
        <w:rPr>
          <w:sz w:val="20"/>
          <w:szCs w:val="20"/>
          <w:color w:val="auto"/>
        </w:rPr>
      </w:pPr>
    </w:p>
    <w:p>
      <w:pPr>
        <w:ind w:left="300" w:right="579" w:firstLine="360"/>
        <w:spacing w:after="0" w:line="276" w:lineRule="auto"/>
        <w:rPr>
          <w:sz w:val="20"/>
          <w:szCs w:val="20"/>
          <w:color w:val="auto"/>
        </w:rPr>
      </w:pPr>
      <w:r>
        <w:rPr>
          <w:rFonts w:ascii="Times New Roman" w:cs="Times New Roman" w:eastAsia="Times New Roman" w:hAnsi="Times New Roman"/>
          <w:sz w:val="17"/>
          <w:szCs w:val="17"/>
          <w:color w:val="auto"/>
        </w:rPr>
        <w:t>These provisions, summarized below, are intended to discourage coercive takeover practices and inadequate takeover bids. These provisions are also designed to encourage persons seeking to acquire control of us to</w:t>
      </w:r>
    </w:p>
    <w:p>
      <w:pPr>
        <w:spacing w:after="0" w:line="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79" w:lineRule="exact"/>
        <w:rPr>
          <w:sz w:val="20"/>
          <w:szCs w:val="20"/>
          <w:color w:val="auto"/>
        </w:rPr>
      </w:pPr>
    </w:p>
    <w:p>
      <w:pPr>
        <w:ind w:left="300" w:right="5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Undesignated Preferred Stock</w:t>
      </w:r>
      <w:r>
        <w:rPr>
          <w:rFonts w:ascii="Times New Roman" w:cs="Times New Roman" w:eastAsia="Times New Roman" w:hAnsi="Times New Roman"/>
          <w:sz w:val="18"/>
          <w:szCs w:val="18"/>
          <w:color w:val="auto"/>
        </w:rPr>
        <w:t>. The ability of our Board of Directors, without action by the stockholders,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up to 10,000,000 shares of 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75" w:lineRule="exact"/>
        <w:rPr>
          <w:sz w:val="20"/>
          <w:szCs w:val="20"/>
          <w:color w:val="auto"/>
        </w:rPr>
      </w:pPr>
    </w:p>
    <w:p>
      <w:pPr>
        <w:ind w:left="300" w:right="5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Stockholder Meetings</w:t>
      </w:r>
      <w:r>
        <w:rPr>
          <w:rFonts w:ascii="Times New Roman" w:cs="Times New Roman" w:eastAsia="Times New Roman" w:hAnsi="Times New Roman"/>
          <w:sz w:val="18"/>
          <w:szCs w:val="18"/>
          <w:color w:val="auto"/>
        </w:rPr>
        <w:t>. Our Bylaws provide that a special meeting of stockholders may be called only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chief executive officer or president (in the absence of a chief executive officer), or by a resolution adopted by a majority of our Board of Directors.</w:t>
      </w:r>
    </w:p>
    <w:p>
      <w:pPr>
        <w:spacing w:after="0" w:line="65"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r>
        <w:rPr>
          <w:rFonts w:ascii="Times New Roman" w:cs="Times New Roman" w:eastAsia="Times New Roman" w:hAnsi="Times New Roman"/>
          <w:sz w:val="18"/>
          <w:szCs w:val="18"/>
          <w:color w:val="auto"/>
        </w:rPr>
        <w:t>. Our Bylaws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72" w:lineRule="exact"/>
        <w:rPr>
          <w:sz w:val="20"/>
          <w:szCs w:val="20"/>
          <w:color w:val="auto"/>
        </w:rPr>
      </w:pPr>
    </w:p>
    <w:p>
      <w:pPr>
        <w:ind w:left="300" w:right="5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Elimination of Stockholder Action by Written Consent</w:t>
      </w:r>
      <w:r>
        <w:rPr>
          <w:rFonts w:ascii="Times New Roman" w:cs="Times New Roman" w:eastAsia="Times New Roman" w:hAnsi="Times New Roman"/>
          <w:sz w:val="18"/>
          <w:szCs w:val="18"/>
          <w:color w:val="auto"/>
        </w:rPr>
        <w:t>. Our Charter eliminates the right of stockholders to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written consent without a meeting.</w:t>
      </w:r>
    </w:p>
    <w:p>
      <w:pPr>
        <w:spacing w:after="0" w:line="50"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Staggered Board</w:t>
      </w:r>
      <w:r>
        <w:rPr>
          <w:rFonts w:ascii="Times New Roman" w:cs="Times New Roman" w:eastAsia="Times New Roman" w:hAnsi="Times New Roman"/>
          <w:sz w:val="18"/>
          <w:szCs w:val="18"/>
          <w:color w:val="auto"/>
        </w:rPr>
        <w:t>. Our Board of Directors is divided into three classes. The directors in each class will serve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72" w:lineRule="exact"/>
        <w:rPr>
          <w:sz w:val="20"/>
          <w:szCs w:val="20"/>
          <w:color w:val="auto"/>
        </w:rPr>
      </w:pPr>
    </w:p>
    <w:p>
      <w:pPr>
        <w:jc w:val="both"/>
        <w:ind w:left="300" w:right="3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Our Charter provides that no member of our Board of Directors may be removed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72" w:lineRule="exact"/>
        <w:rPr>
          <w:sz w:val="20"/>
          <w:szCs w:val="20"/>
          <w:color w:val="auto"/>
        </w:rPr>
      </w:pPr>
    </w:p>
    <w:p>
      <w:pPr>
        <w:jc w:val="both"/>
        <w:ind w:left="300" w:right="5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Stockholders Not Entitled to Cumulative Voting</w:t>
      </w:r>
      <w:r>
        <w:rPr>
          <w:rFonts w:ascii="Times New Roman" w:cs="Times New Roman" w:eastAsia="Times New Roman" w:hAnsi="Times New Roman"/>
          <w:sz w:val="18"/>
          <w:szCs w:val="18"/>
          <w:color w:val="auto"/>
        </w:rPr>
        <w:t>. Our Charter does not permit stockholders to cumulate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72"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Delaware Anti-Takeover Statute</w:t>
      </w:r>
      <w:r>
        <w:rPr>
          <w:rFonts w:ascii="Times New Roman" w:cs="Times New Roman" w:eastAsia="Times New Roman" w:hAnsi="Times New Roman"/>
          <w:sz w:val="18"/>
          <w:szCs w:val="18"/>
          <w:color w:val="auto"/>
        </w:rPr>
        <w:t>. We are subject to Section 203 of the DGCL, which prohibits persons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77" w:lineRule="exact"/>
        <w:rPr>
          <w:sz w:val="20"/>
          <w:szCs w:val="20"/>
          <w:color w:val="auto"/>
        </w:rPr>
      </w:pPr>
    </w:p>
    <w:p>
      <w:pPr>
        <w:ind w:left="300" w:right="5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Choice of Forum</w:t>
      </w:r>
      <w:r>
        <w:rPr>
          <w:rFonts w:ascii="Times New Roman" w:cs="Times New Roman" w:eastAsia="Times New Roman" w:hAnsi="Times New Roman"/>
          <w:sz w:val="18"/>
          <w:szCs w:val="18"/>
          <w:color w:val="auto"/>
        </w:rPr>
        <w:t>. Our Charter provides that, unless we consent in writing to the selection of an alternative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forum, the Court of Chancery of the State of Delaware will be the sole and exclusive forum for: (1) any derivative action or proceeding brought on our behalf; (2) any action asserting a claim of breach of a fiduciary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9" w:lineRule="auto"/>
        <w:rPr>
          <w:sz w:val="20"/>
          <w:szCs w:val="20"/>
          <w:color w:val="auto"/>
        </w:rPr>
      </w:pPr>
      <w:r>
        <w:rPr>
          <w:rFonts w:ascii="Times New Roman" w:cs="Times New Roman" w:eastAsia="Times New Roman" w:hAnsi="Times New Roman"/>
          <w:sz w:val="17"/>
          <w:szCs w:val="17"/>
          <w:color w:val="auto"/>
        </w:rPr>
        <w:t>duty or other wrongdoing by any of our directors, officers, employees or agents to us or our stockholders; (3) any action asserting a claim against us arising pursuant to any provision of the General Corporation Law of the State of Delaware or our Charter or Bylaws; or (4) any action asserting a claim governed by the internal affairs doctrine. Our Charter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Charter is inapplicable or unenforceable if it is challenged in a proceeding or otherwise. Investors cannot waive compliance with the federal securities laws and the rules and regulations thereunder. Section 22 of the Securities Act generally creates concurrent jurisdiction for state and federal courts over suits brought to enforce any duty or liability created by the Securities Act or the rules and regulations thereunder. Section 27 of the Exchange Act creates exclusive federal jurisdiction over all suits brought to enforce any duty or liability created by the Exchange Act or the rules and regulations thereunder.</w:t>
      </w:r>
    </w:p>
    <w:p>
      <w:pPr>
        <w:spacing w:after="0" w:line="72"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Amendment of Charter</w:t>
      </w:r>
      <w:r>
        <w:rPr>
          <w:rFonts w:ascii="Times New Roman" w:cs="Times New Roman" w:eastAsia="Times New Roman" w:hAnsi="Times New Roman"/>
          <w:sz w:val="18"/>
          <w:szCs w:val="18"/>
          <w:color w:val="auto"/>
        </w:rPr>
        <w:t>. The amendment of any of the above provisions in our Charter, except for the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7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provisions of the DGCL, our Charter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Series A Preferred Stock, and Series B Preferred Stock is Equiniti Trust Company, LLC. The transfer agent’s address is 6201 15th Avenue, Brooklyn, New York 11219, and its telephone number is (800) 937-5449.</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“RNAC.” We have not applied to list the Series A Preferred Stock or the Series B Preferred Stock on any national securities exchange.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21" w:lineRule="exact"/>
        <w:rPr>
          <w:sz w:val="20"/>
          <w:szCs w:val="20"/>
          <w:color w:val="auto"/>
        </w:rPr>
      </w:pPr>
    </w:p>
    <w:p>
      <w:pPr>
        <w:jc w:val="both"/>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This prospectus covers the resale or other disposition from time to time by the Selling Stockholders identified in the table below of up to an aggregate of 6,251,150 shares of our Common Stock. The Selling Stockholders may from time to time offer and sell any or all of the Resale Shares set forth below pursuant to this prospectus and any accompanying prospectus supplement.</w:t>
      </w:r>
    </w:p>
    <w:p>
      <w:pPr>
        <w:spacing w:after="0" w:line="7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On July 2, 2024, we entered into a securities purchase agreement, or the Securities Purchase Agreement, for a private placement with certain institutional and accredited investors, pursuant to which we sold an aggregate of 3,563,247 shares of our Common Stock and 2,937,903 shares of our Series B Preferred Stock for an aggregate purchase price of approximately $130 million. On September 25, 2024, 2,499,976 shares of Series B Preferred Stock issued in the Private Placement converted into 2,499,976 shares of Common Stock. Each of the remaining 437,927 shares of Series B Preferred Stock is convertible into one share of Common Stock, subject to certain beneficial ownership limitations, pursuant to the Series B Certificate of Designation. This prospectus covers the resale or other disposition by the Selling Stockholders or their pledgees, donees, transferees or other successors-in-interest that receive their shares after the date of this prospectus of up to the total number of shares of Common Stock and shares of Common Stock issued or issuable upon the conversion of the Series B Preferred Stock sold to the Selling Stockholders pursuant to the Securities Purchase Agreement. Throughout this prospectus, when we refer to the “Selling Stockholders,” we are referring to the purchasers under the Securities Purchase Agreement listed in the table below.</w:t>
      </w:r>
    </w:p>
    <w:p>
      <w:pPr>
        <w:spacing w:after="0" w:line="79"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We are registering the Resale Shares to permit the Selling Stockholders and their pledgees, donees, transferees or other successors-in interest that receive their shares after the date of this prospectus to resell or otherwise dispose of the shares in the manner contemplated under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herein.</w:t>
      </w:r>
    </w:p>
    <w:p>
      <w:pPr>
        <w:spacing w:after="0" w:line="68"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disclosed herein, the Selling Stockholders do not have, and within the past three years have not had, any position, office or other material relationship with us.</w:t>
      </w:r>
    </w:p>
    <w:p>
      <w:pPr>
        <w:spacing w:after="0" w:line="5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names of the Selling Stockholders, the number of shares of our Common Stock owned by the Selling Stockholders (assuming the conversion of all outstanding shares of Series B Preferred Stock held by such Selling Stockholder), the number of shares of our Common Stock that may be offered under this prospectus (which reflects the assumed conversion of all outstanding shares of Series B Preferred Stock) and the number of shares of our Common Stock that will be owned after this offering by the Selling Stockholders assuming all of the Resale Shares registered for resale hereby are sold, in each case as of November 22, 2024.</w:t>
      </w:r>
    </w:p>
    <w:p>
      <w:pPr>
        <w:spacing w:after="0" w:line="79"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The Selling Stockholders may sell some, all or none of their Resale Shares. We do not know how long the Selling Stockholders will hold the Resale Shares before selling them, and we currently have no agreements, arrangements or understandings with the Selling Stockholders regarding the sale or other disposition of any of the Resale Shares. The Resale Shares covered hereby may be offered from time to time by the Selling Stockholders, provided that Resale Shares issued upon conversion of Series B Preferred Stock may only be offered after such shares of Series B Preferred Stock are converted to Common Stock pursuant to the terms of the Series B Certificate of Designation, subject to certain beneficial ownership limitations.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information set forth below is based upon information obtained from the Selling Stockholders and upon information in our possession regarding the issuance of the Series B Preferred Stock and Private Placement Common Shares in connection with the Private Placement, and the issuance of Private Placement Conversion Shares upon conversion of the Series B Preferred Stock. The percentages of Common Stock owned after the offering by each Selling Stockholder below are based on 25,725,306 shares of Common Stock outstanding as of November 22, 2024, and, for each Selling Stockholder, assumes the conversion of only the Series B Preferred Stock owned by such Selling Stockholder but not the Series B Preferred Stock owned by any other Selling Stockholder. The numbers of shares of Common Stock beneficially owned before and after the offering presented in the table below do not give effect to the Series B Beneficial Ownership Limitation, but do give effect to the Series A Beneficial Ownership Limitation.</w:t>
      </w:r>
    </w:p>
    <w:p>
      <w:pPr>
        <w:spacing w:after="0" w:line="2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80" w:type="dxa"/>
            <w:vAlign w:val="bottom"/>
          </w:tcPr>
          <w:p>
            <w:pPr>
              <w:spacing w:after="0"/>
              <w:rPr>
                <w:sz w:val="12"/>
                <w:szCs w:val="12"/>
                <w:color w:val="auto"/>
              </w:rPr>
            </w:pPr>
          </w:p>
        </w:tc>
        <w:tc>
          <w:tcPr>
            <w:tcW w:w="16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w:t>
            </w:r>
          </w:p>
        </w:tc>
        <w:tc>
          <w:tcPr>
            <w:tcW w:w="18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Offered</w:t>
            </w:r>
          </w:p>
        </w:tc>
        <w:tc>
          <w:tcPr>
            <w:tcW w:w="180" w:type="dxa"/>
            <w:vAlign w:val="bottom"/>
          </w:tcPr>
          <w:p>
            <w:pPr>
              <w:spacing w:after="0"/>
              <w:rPr>
                <w:sz w:val="12"/>
                <w:szCs w:val="12"/>
                <w:color w:val="auto"/>
              </w:rPr>
            </w:pPr>
          </w:p>
        </w:tc>
        <w:tc>
          <w:tcPr>
            <w:tcW w:w="1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6"/>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Stockholders</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Before</w:t>
            </w:r>
          </w:p>
        </w:tc>
        <w:tc>
          <w:tcPr>
            <w:tcW w:w="18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80" w:type="dxa"/>
            <w:vAlign w:val="bottom"/>
          </w:tcPr>
          <w:p>
            <w:pPr>
              <w:spacing w:after="0"/>
              <w:rPr>
                <w:sz w:val="12"/>
                <w:szCs w:val="12"/>
                <w:color w:val="auto"/>
              </w:rPr>
            </w:pPr>
          </w:p>
        </w:tc>
        <w:tc>
          <w:tcPr>
            <w:tcW w:w="164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Offering</w:t>
            </w:r>
            <w:r>
              <w:rPr>
                <w:rFonts w:ascii="Times New Roman" w:cs="Times New Roman" w:eastAsia="Times New Roman" w:hAnsi="Times New Roman"/>
                <w:sz w:val="23"/>
                <w:szCs w:val="23"/>
                <w:b w:val="1"/>
                <w:bCs w:val="1"/>
                <w:color w:val="auto"/>
                <w:w w:val="95"/>
                <w:vertAlign w:val="superscript"/>
              </w:rPr>
              <w:t>(2)</w:t>
            </w:r>
          </w:p>
        </w:tc>
        <w:tc>
          <w:tcPr>
            <w:tcW w:w="18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80" w:type="dxa"/>
            <w:vAlign w:val="bottom"/>
          </w:tcPr>
          <w:p>
            <w:pPr>
              <w:spacing w:after="0"/>
              <w:rPr>
                <w:sz w:val="18"/>
                <w:szCs w:val="18"/>
                <w:color w:val="auto"/>
              </w:rPr>
            </w:pPr>
          </w:p>
        </w:tc>
        <w:tc>
          <w:tcPr>
            <w:tcW w:w="1640" w:type="dxa"/>
            <w:vAlign w:val="bottom"/>
            <w:tcBorders>
              <w:bottom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Offering</w:t>
            </w:r>
            <w:r>
              <w:rPr>
                <w:rFonts w:ascii="Times New Roman" w:cs="Times New Roman" w:eastAsia="Times New Roman" w:hAnsi="Times New Roman"/>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144"/>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90"/>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Entities affiliated with Timothy A. Springer, Ph.D.</w:t>
            </w:r>
            <w:r>
              <w:rPr>
                <w:rFonts w:ascii="Times New Roman" w:cs="Times New Roman" w:eastAsia="Times New Roman" w:hAnsi="Times New Roman"/>
                <w:sz w:val="28"/>
                <w:szCs w:val="28"/>
                <w:color w:val="auto"/>
                <w:vertAlign w:val="superscript"/>
              </w:rPr>
              <w:t>(3)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9,481,816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2,359,500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7,122,316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43"/>
        </w:trPr>
        <w:tc>
          <w:tcPr>
            <w:tcW w:w="47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Schooner Century Fund LLC</w:t>
            </w:r>
            <w:r>
              <w:rPr>
                <w:rFonts w:ascii="Times New Roman" w:cs="Times New Roman" w:eastAsia="Times New Roman" w:hAnsi="Times New Roman"/>
                <w:sz w:val="28"/>
                <w:szCs w:val="28"/>
                <w:color w:val="auto"/>
                <w:vertAlign w:val="superscript"/>
              </w:rPr>
              <w:t>(4)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1,608,709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871,209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Fidelity Growth Company Commingled Pool</w:t>
            </w:r>
            <w:r>
              <w:rPr>
                <w:rFonts w:ascii="Times New Roman" w:cs="Times New Roman" w:eastAsia="Times New Roman" w:hAnsi="Times New Roman"/>
                <w:sz w:val="28"/>
                <w:szCs w:val="28"/>
                <w:color w:val="auto"/>
                <w:vertAlign w:val="superscript"/>
              </w:rPr>
              <w:t>(5)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461,147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461,147</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Fidelity Select Portfolios: Biotechnology Portfolio</w:t>
            </w:r>
            <w:r>
              <w:rPr>
                <w:rFonts w:ascii="Times New Roman" w:cs="Times New Roman" w:eastAsia="Times New Roman" w:hAnsi="Times New Roman"/>
                <w:sz w:val="28"/>
                <w:szCs w:val="28"/>
                <w:color w:val="auto"/>
                <w:vertAlign w:val="superscript"/>
              </w:rPr>
              <w:t>(6)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884,159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509,159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Citadel CEMF Investments Ltd.</w:t>
            </w:r>
            <w:r>
              <w:rPr>
                <w:rFonts w:ascii="Times New Roman" w:cs="Times New Roman" w:eastAsia="Times New Roman" w:hAnsi="Times New Roman"/>
                <w:sz w:val="28"/>
                <w:szCs w:val="28"/>
                <w:color w:val="auto"/>
                <w:vertAlign w:val="superscript"/>
              </w:rPr>
              <w:t>(7)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Fidelity Select Portfolios: Select Health Care Portfolio</w:t>
            </w:r>
            <w:r>
              <w:rPr>
                <w:rFonts w:ascii="Times New Roman" w:cs="Times New Roman" w:eastAsia="Times New Roman" w:hAnsi="Times New Roman"/>
                <w:sz w:val="28"/>
                <w:szCs w:val="28"/>
                <w:color w:val="auto"/>
                <w:vertAlign w:val="superscript"/>
              </w:rPr>
              <w:t>(8)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368,992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368,992</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47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Fidelity Mt. Vernon Street Trust: Fidelity Growth Company</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760" w:type="dxa"/>
            <w:vAlign w:val="bottom"/>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9"/>
                <w:szCs w:val="29"/>
                <w:color w:val="auto"/>
                <w:vertAlign w:val="superscript"/>
              </w:rPr>
              <w:t>(9)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341,346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341,346</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Invus Public Equities, L.P.</w:t>
            </w:r>
            <w:r>
              <w:rPr>
                <w:rFonts w:ascii="Times New Roman" w:cs="Times New Roman" w:eastAsia="Times New Roman" w:hAnsi="Times New Roman"/>
                <w:sz w:val="28"/>
                <w:szCs w:val="28"/>
                <w:color w:val="auto"/>
                <w:vertAlign w:val="superscript"/>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616,210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366,210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1"/>
        </w:trPr>
        <w:tc>
          <w:tcPr>
            <w:tcW w:w="47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Fidelity Advisor Series VII: Fidelity Advisor Health Care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760" w:type="dxa"/>
            <w:vAlign w:val="bottom"/>
            <w:shd w:val="clear" w:color="auto" w:fill="CCEEFF"/>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Fund</w:t>
            </w:r>
            <w:r>
              <w:rPr>
                <w:rFonts w:ascii="Times New Roman" w:cs="Times New Roman" w:eastAsia="Times New Roman" w:hAnsi="Times New Roman"/>
                <w:sz w:val="13"/>
                <w:szCs w:val="13"/>
                <w:color w:val="auto"/>
              </w:rPr>
              <w:t>(11)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230,254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230,254</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HBM Healthcare Investments (Cayman) Ltd.</w:t>
            </w:r>
            <w:r>
              <w:rPr>
                <w:rFonts w:ascii="Times New Roman" w:cs="Times New Roman" w:eastAsia="Times New Roman" w:hAnsi="Times New Roman"/>
                <w:sz w:val="28"/>
                <w:szCs w:val="28"/>
                <w:color w:val="auto"/>
                <w:vertAlign w:val="superscript"/>
              </w:rPr>
              <w:t>(12)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47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Fidelity Advisor Series VII: Fidelity Advisor Biotechnology</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760" w:type="dxa"/>
            <w:vAlign w:val="bottom"/>
            <w:shd w:val="clear" w:color="auto" w:fill="CCEEFF"/>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Fund</w:t>
            </w:r>
            <w:r>
              <w:rPr>
                <w:rFonts w:ascii="Times New Roman" w:cs="Times New Roman" w:eastAsia="Times New Roman" w:hAnsi="Times New Roman"/>
                <w:sz w:val="13"/>
                <w:szCs w:val="13"/>
                <w:color w:val="auto"/>
              </w:rPr>
              <w:t>(13)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167,950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167,950</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47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Fidelity Mt. Vernon Street Trust: Fidelity Growth Company K6</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760" w:type="dxa"/>
            <w:vAlign w:val="bottom"/>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Fund</w:t>
            </w:r>
            <w:r>
              <w:rPr>
                <w:rFonts w:ascii="Times New Roman" w:cs="Times New Roman" w:eastAsia="Times New Roman" w:hAnsi="Times New Roman"/>
                <w:sz w:val="13"/>
                <w:szCs w:val="13"/>
                <w:color w:val="auto"/>
              </w:rPr>
              <w:t>(14)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108,576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108,576</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Armistice Capital, LLC</w:t>
            </w:r>
            <w:r>
              <w:rPr>
                <w:rFonts w:ascii="Times New Roman" w:cs="Times New Roman" w:eastAsia="Times New Roman" w:hAnsi="Times New Roman"/>
                <w:sz w:val="28"/>
                <w:szCs w:val="28"/>
                <w:color w:val="auto"/>
                <w:vertAlign w:val="superscript"/>
              </w:rPr>
              <w:t>(15)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47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Fidelity Mt. Vernon Street Trust: Fidelity Series Growth</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760" w:type="dxa"/>
            <w:vAlign w:val="bottom"/>
          </w:tcPr>
          <w:p>
            <w:pPr>
              <w:ind w:left="180"/>
              <w:spacing w:after="0" w:line="258" w:lineRule="exact"/>
              <w:rPr>
                <w:sz w:val="20"/>
                <w:szCs w:val="20"/>
                <w:color w:val="auto"/>
              </w:rPr>
            </w:pPr>
            <w:r>
              <w:rPr>
                <w:rFonts w:ascii="Times New Roman" w:cs="Times New Roman" w:eastAsia="Times New Roman" w:hAnsi="Times New Roman"/>
                <w:sz w:val="18"/>
                <w:szCs w:val="18"/>
                <w:color w:val="auto"/>
              </w:rPr>
              <w:t>Company Fund</w:t>
            </w:r>
            <w:r>
              <w:rPr>
                <w:rFonts w:ascii="Times New Roman" w:cs="Times New Roman" w:eastAsia="Times New Roman" w:hAnsi="Times New Roman"/>
                <w:sz w:val="29"/>
                <w:szCs w:val="29"/>
                <w:color w:val="auto"/>
                <w:vertAlign w:val="superscript"/>
              </w:rPr>
              <w:t>(16)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88,931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88,931</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47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Variable Insurance Products Fund IV: VIP Health Care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760" w:type="dxa"/>
            <w:vAlign w:val="bottom"/>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Portfolio</w:t>
            </w:r>
            <w:r>
              <w:rPr>
                <w:rFonts w:ascii="Times New Roman" w:cs="Times New Roman" w:eastAsia="Times New Roman" w:hAnsi="Times New Roman"/>
                <w:sz w:val="29"/>
                <w:szCs w:val="29"/>
                <w:color w:val="auto"/>
                <w:vertAlign w:val="superscript"/>
              </w:rPr>
              <w:t>(17)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56,954</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683 Capital Partners, LP</w:t>
            </w:r>
            <w:r>
              <w:rPr>
                <w:rFonts w:ascii="Times New Roman" w:cs="Times New Roman" w:eastAsia="Times New Roman" w:hAnsi="Times New Roman"/>
                <w:sz w:val="29"/>
                <w:szCs w:val="29"/>
                <w:color w:val="auto"/>
                <w:vertAlign w:val="superscript"/>
              </w:rPr>
              <w:t>(18)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41275</wp:posOffset>
            </wp:positionV>
            <wp:extent cx="822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90" w:lineRule="exact"/>
        <w:rPr>
          <w:sz w:val="20"/>
          <w:szCs w:val="20"/>
          <w:color w:val="auto"/>
        </w:rPr>
      </w:pPr>
    </w:p>
    <w:p>
      <w:pPr>
        <w:ind w:left="640" w:right="399" w:hanging="348"/>
        <w:spacing w:after="0" w:line="24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our knowledge, unless otherwise indicated, all persons named in the table above have sole voting and investment power with respect to their shares of Common Stock. Unless otherwise indicated, the address of each beneficial owner listed below is 7495 New Horizon Way, Frederick, Maryland 21703.</w:t>
      </w:r>
    </w:p>
    <w:p>
      <w:pPr>
        <w:spacing w:after="0" w:line="14" w:lineRule="exact"/>
        <w:rPr>
          <w:rFonts w:ascii="Times New Roman" w:cs="Times New Roman" w:eastAsia="Times New Roman" w:hAnsi="Times New Roman"/>
          <w:sz w:val="14"/>
          <w:szCs w:val="14"/>
          <w:color w:val="auto"/>
        </w:rPr>
      </w:pPr>
    </w:p>
    <w:p>
      <w:pPr>
        <w:ind w:left="640" w:right="319" w:hanging="348"/>
        <w:spacing w:after="0" w:line="23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Notwithstanding the foregoing, the beneficial ownership amounts assume the sale of all Common Stock that may be offered pursuant to this prospectus without taking into account certain limitations, including the Series B Beneficial Ownership Limitation, of the total number of shares of Common Stock issued and outstanding immediately after giving effect to such conversion.</w:t>
      </w:r>
    </w:p>
    <w:p>
      <w:pPr>
        <w:spacing w:after="0" w:line="15" w:lineRule="exact"/>
        <w:rPr>
          <w:rFonts w:ascii="Times New Roman" w:cs="Times New Roman" w:eastAsia="Times New Roman" w:hAnsi="Times New Roman"/>
          <w:sz w:val="14"/>
          <w:szCs w:val="14"/>
          <w:color w:val="auto"/>
        </w:rPr>
      </w:pPr>
    </w:p>
    <w:p>
      <w:pPr>
        <w:ind w:left="640" w:right="299" w:hanging="348"/>
        <w:spacing w:after="0" w:line="227"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(i) 8,449,773 shares of Common Stock held directly by Timothy A. Springer, Ph.D., a member of our Board of Directors, (ii) 113,587 shares of Common Stock issuable upon exercise of underlying warrants exercisable within 60 days of November 22, 2024 held directly by Timothy A. Springer, Ph.D., (iii) 2,533 shares of Common Stock issuable upon exercise of outstanding options within 60 days of November 22, 2024 and held directly by Timothy A. Springer, Ph.D., (iv) 1,977 shares of Common Stock underlying restricted stock units vesting within 60 days of November 22, 2024, (v) 529,798 shares of Common Stock held by TAS Partners LLC, or TAS, directly, (vi) 33,408 shares of Common Stock issuable upon exercise of underlying warrants exercisable within 60 days of November 22, 2024 held by TAS directly, (vii) 330,695 shares of Common Stock held by Dr. Chafen Lu, Dr. Springer’s wife, and (viii) 20,045 shares of Common Stock issuable upon exercise of underlying warrants exercisable within 60 days of November 22, 2024 held by Dr. Chafen Lu. Dr. Springer is the sole managing member of TAS.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499"/>
        <w:spacing w:after="0" w:line="241" w:lineRule="auto"/>
        <w:rPr>
          <w:sz w:val="20"/>
          <w:szCs w:val="20"/>
          <w:color w:val="auto"/>
        </w:rPr>
      </w:pPr>
      <w:r>
        <w:rPr>
          <w:rFonts w:ascii="Times New Roman" w:cs="Times New Roman" w:eastAsia="Times New Roman" w:hAnsi="Times New Roman"/>
          <w:sz w:val="14"/>
          <w:szCs w:val="14"/>
          <w:color w:val="auto"/>
        </w:rPr>
        <w:t>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TAS, and Dr. Lu is 36 Woodman Road, Newton, MA, 02467.</w:t>
      </w:r>
    </w:p>
    <w:p>
      <w:pPr>
        <w:spacing w:after="0" w:line="15" w:lineRule="exact"/>
        <w:rPr>
          <w:sz w:val="20"/>
          <w:szCs w:val="20"/>
          <w:color w:val="auto"/>
        </w:rPr>
      </w:pPr>
    </w:p>
    <w:p>
      <w:pPr>
        <w:ind w:left="640" w:right="299"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the Resale Shares that are registered for resale hereby consists of 299,573 shares of Common Stock and 437,927 shares of Common Stock underlying Series B Preferred Stock held directly by Schooner Century Fund LLC. Schooner Century Fund LLC also holds 871,209 shares of Common Stock that are not registered for resale hereby. Additionally, Schooner Century Fund LLC holds 2,146,271 shares of Common Stock underlying outstanding shares of Series A Preferred Stock that are not registered for resale hereby and are not reflected in the “Common Stock Beneficially Owned After Offering” columns in the table above. Schooner Capital LLC is the Sole Manager of Schooner Century Fund LLC. Schooner Capital LLC is managed by Stephen D. Maiocco, Edward D. Henderson, and Peter K. Binas, serving as its Managing Partners. These Managing Partners, along with Vincent J. Ryan as majority member of the Sole Manager share the sole voting discretion and dispositive power with respect to all shares of Cartesian Therapeutics, Inc. held by Schooner Century Fund LLC. The ability of the shares of Series A Preferred Stock or Series B Preferred Stock held by Schooner Century Fund LLC to convert into shares of Common Stock are subject to beneficial ownership limitations, such that Schooner Century Fund LLC may not convert shares of Series A Preferred Stock or Series B Preferred Stock into Common Stock to the extent that doing so would result in such holder, together with its affiliates, beneficially owning greater than 4.9% of the Company's outstanding Common Stock after giving effect to any such conversion.</w:t>
      </w:r>
    </w:p>
    <w:p>
      <w:pPr>
        <w:spacing w:after="0" w:line="52" w:lineRule="exact"/>
        <w:rPr>
          <w:rFonts w:ascii="Times New Roman" w:cs="Times New Roman" w:eastAsia="Times New Roman" w:hAnsi="Times New Roman"/>
          <w:sz w:val="14"/>
          <w:szCs w:val="14"/>
          <w:color w:val="auto"/>
        </w:rPr>
      </w:pPr>
    </w:p>
    <w:p>
      <w:pPr>
        <w:ind w:left="640" w:right="339"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461,147 shares of Common Stock held by Fidelity Growth Company Commingled Pool.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02"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375,000 shares of Common Stock held by Fidelity Select Portfolios: Biotechnology</w:t>
      </w:r>
    </w:p>
    <w:p>
      <w:pPr>
        <w:spacing w:after="0" w:line="3" w:lineRule="exact"/>
        <w:rPr>
          <w:rFonts w:ascii="Times New Roman" w:cs="Times New Roman" w:eastAsia="Times New Roman" w:hAnsi="Times New Roman"/>
          <w:sz w:val="14"/>
          <w:szCs w:val="14"/>
          <w:color w:val="auto"/>
        </w:rPr>
      </w:pPr>
    </w:p>
    <w:p>
      <w:pPr>
        <w:ind w:left="640" w:right="319"/>
        <w:spacing w:after="0" w:line="22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Additionally, Fidelity Select Portfolios: Biotechnology Portfolio holds 509,159 shares of Common Stock that are not registered for resale hereby.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6" w:lineRule="exact"/>
        <w:rPr>
          <w:rFonts w:ascii="Times New Roman" w:cs="Times New Roman" w:eastAsia="Times New Roman" w:hAnsi="Times New Roman"/>
          <w:sz w:val="14"/>
          <w:szCs w:val="14"/>
          <w:color w:val="auto"/>
        </w:rPr>
      </w:pPr>
    </w:p>
    <w:p>
      <w:pPr>
        <w:ind w:left="640" w:right="439" w:hanging="348"/>
        <w:spacing w:after="0" w:line="23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375,000 shares of Common Stock held directly by Citadel CEMF Investments Ltd. 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 may be deemed to have shared power to vote or direct the vote of, and/or shared power to dispose or direct the disposition over, these securities. The address of Citadel CEMF Investments Ltd. is c/o Citadel Enterprise Americas LLC, Southeast Financial Center, 200 S. Biscayne Blvd., Suite 3300, Miami, FL 33131.</w:t>
      </w:r>
    </w:p>
    <w:p>
      <w:pPr>
        <w:spacing w:after="0" w:line="15" w:lineRule="exact"/>
        <w:rPr>
          <w:rFonts w:ascii="Times New Roman" w:cs="Times New Roman" w:eastAsia="Times New Roman" w:hAnsi="Times New Roman"/>
          <w:sz w:val="14"/>
          <w:szCs w:val="14"/>
          <w:color w:val="auto"/>
        </w:rPr>
      </w:pPr>
    </w:p>
    <w:p>
      <w:pPr>
        <w:ind w:left="640" w:right="299"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368,992 shares of Common Stock held by Fidelity Select Portfolios: Select Health Care Portfolio.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02" w:lineRule="exact"/>
        <w:rPr>
          <w:rFonts w:ascii="Times New Roman" w:cs="Times New Roman" w:eastAsia="Times New Roman" w:hAnsi="Times New Roman"/>
          <w:sz w:val="14"/>
          <w:szCs w:val="14"/>
          <w:color w:val="auto"/>
        </w:rPr>
      </w:pPr>
    </w:p>
    <w:p>
      <w:pPr>
        <w:ind w:left="640" w:right="339" w:hanging="348"/>
        <w:spacing w:after="0" w:line="227"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341,346 shares of Common Stock held by Fidelity Mt. Vernon Street Trust: Fidelity Growth Company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20" w:lineRule="exact"/>
        <w:rPr>
          <w:rFonts w:ascii="Times New Roman" w:cs="Times New Roman" w:eastAsia="Times New Roman" w:hAnsi="Times New Roman"/>
          <w:sz w:val="14"/>
          <w:szCs w:val="14"/>
          <w:color w:val="auto"/>
        </w:rPr>
      </w:pPr>
    </w:p>
    <w:p>
      <w:pPr>
        <w:ind w:left="640" w:right="299" w:hanging="348"/>
        <w:spacing w:after="0" w:line="227"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250,000 shares of Common Stock held directly by Invus Public Equities, L.P., or IPE. Additionally, IPE holds 322,237 shares of Common Stock and 43,973 shares of Common Stock underlying warrants that are exercisable within 60 days of the date hereof that are not registered for resale hereby. Invus Public Equities Advisors, LLC, or IPEA, controls IPE, as its general partner and accordingly, may be deemed to beneficially own the shares held by IPE. Invus Global Management, LLC, or IGM, controls IPEA, as its managing member and accordingly, may be deemed to beneficially own the shares that IPEA may be deemed to beneficially own. Siren, L.L.C., or Siren, controls IGM, as its managing member and accordingly, may be deemed to beneficially own the shares that IGM may be deemed to beneficially own. Mr. Raymond Debbane, as the managing member of Siren, controls Siren and accordingly, may be deemed to beneficially own the shares that Siren may be deemed to beneficially own. The address of Invus Public Equities, L.P. is 750 Lexington Ave, 30th Floor, New York, NY 10022.</w:t>
      </w:r>
    </w:p>
    <w:p>
      <w:pPr>
        <w:spacing w:after="0" w:line="20" w:lineRule="exact"/>
        <w:rPr>
          <w:rFonts w:ascii="Times New Roman" w:cs="Times New Roman" w:eastAsia="Times New Roman" w:hAnsi="Times New Roman"/>
          <w:sz w:val="14"/>
          <w:szCs w:val="14"/>
          <w:color w:val="auto"/>
        </w:rPr>
      </w:pPr>
    </w:p>
    <w:p>
      <w:pPr>
        <w:jc w:val="both"/>
        <w:ind w:left="640" w:right="359" w:hanging="348"/>
        <w:spacing w:after="0" w:line="24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230,254 shares of Common Stock held by Fidelity Advisor Series VII: Fidelity Advisor Health Care Fund. This fund is managed by direct or indirect subsidiaries of FMR LLC. Abigail P. Johnson is a Director, the Chairman and the Chief Executive Officer of FMR LLC. Members of the Johnson family, including Abigail P. Johnson, are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339"/>
        <w:spacing w:after="0" w:line="231" w:lineRule="auto"/>
        <w:rPr>
          <w:sz w:val="20"/>
          <w:szCs w:val="20"/>
          <w:color w:val="auto"/>
        </w:rPr>
      </w:pPr>
      <w:r>
        <w:rPr>
          <w:rFonts w:ascii="Times New Roman" w:cs="Times New Roman" w:eastAsia="Times New Roman" w:hAnsi="Times New Roman"/>
          <w:sz w:val="14"/>
          <w:szCs w:val="14"/>
          <w:color w:val="auto"/>
        </w:rPr>
        <w:t>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5" w:lineRule="exact"/>
        <w:rPr>
          <w:sz w:val="20"/>
          <w:szCs w:val="20"/>
          <w:color w:val="auto"/>
        </w:rPr>
      </w:pPr>
    </w:p>
    <w:p>
      <w:pPr>
        <w:ind w:left="640" w:right="339" w:hanging="348"/>
        <w:spacing w:after="0" w:line="23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200,000 shares of Common Stock held directly by HBM Healthcare Investments (Cayman) Ltd. Voting and investment power over the shares held by HBM Healthcare Investments (Cayman) Ltd. is exercised by the board of directors of HBM Healthcare Investments (Cayman) Ltd., or the HBM Board. The HBM Board consists of Jean-Marc Lesieur, Richard H. Coles, Sophia Harris, Dr. Andreas Wicki, Mark Kronenfeld, M.D. and Richard Paul Woodhouse, none of whom has individual voting or investment power with respect to the shares. The address of HBM Healthcare Investments (Cayman) Ltd. is Governor’s Square, 23 Lime Tree Bay Ave., PO Box 30852, Grand Cayman, KY1-1204, Cayman Islands.</w:t>
      </w:r>
    </w:p>
    <w:p>
      <w:pPr>
        <w:spacing w:after="0" w:line="15" w:lineRule="exact"/>
        <w:rPr>
          <w:rFonts w:ascii="Times New Roman" w:cs="Times New Roman" w:eastAsia="Times New Roman" w:hAnsi="Times New Roman"/>
          <w:sz w:val="14"/>
          <w:szCs w:val="14"/>
          <w:color w:val="auto"/>
        </w:rPr>
      </w:pPr>
    </w:p>
    <w:p>
      <w:pPr>
        <w:ind w:left="640" w:right="319" w:hanging="348"/>
        <w:spacing w:after="0" w:line="227"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167,950 shares of Common Stock held by Fidelity Advisor Series VII: Fidelity Advisor Biotechnology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20" w:lineRule="exact"/>
        <w:rPr>
          <w:rFonts w:ascii="Times New Roman" w:cs="Times New Roman" w:eastAsia="Times New Roman" w:hAnsi="Times New Roman"/>
          <w:sz w:val="14"/>
          <w:szCs w:val="14"/>
          <w:color w:val="auto"/>
        </w:rPr>
      </w:pPr>
    </w:p>
    <w:p>
      <w:pPr>
        <w:ind w:left="640" w:right="339" w:hanging="348"/>
        <w:spacing w:after="0" w:line="227"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108,576 shares of Common Stock held by Fidelity Mt. Vernon Street Trust: Fidelity Growth Company K6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20" w:lineRule="exact"/>
        <w:rPr>
          <w:rFonts w:ascii="Times New Roman" w:cs="Times New Roman" w:eastAsia="Times New Roman" w:hAnsi="Times New Roman"/>
          <w:sz w:val="14"/>
          <w:szCs w:val="14"/>
          <w:color w:val="auto"/>
        </w:rPr>
      </w:pPr>
    </w:p>
    <w:p>
      <w:pPr>
        <w:ind w:left="640" w:right="359" w:hanging="348"/>
        <w:spacing w:after="0" w:line="233"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100,000 shares of Common Stock. The securities are directly held by Armistice Capital Master Fund Ltd., a Cayman Islands exempted company, or the Master Fund, and may be deemed to be beneficially owned by: (i) Armistice Capital, LLC, or Armistice Capital, as the investment manager of the Master Fund; and (ii) Steven Boyd, as the Managing Member of Armistice Capital. The address of Armistice Capital Master Fund Ltd. is c/o Armistice Capital, LLC, 510 Madison Avenue, 7th Floor, New York, NY 10022.</w:t>
      </w:r>
    </w:p>
    <w:p>
      <w:pPr>
        <w:spacing w:after="0" w:line="15" w:lineRule="exact"/>
        <w:rPr>
          <w:rFonts w:ascii="Times New Roman" w:cs="Times New Roman" w:eastAsia="Times New Roman" w:hAnsi="Times New Roman"/>
          <w:sz w:val="14"/>
          <w:szCs w:val="14"/>
          <w:color w:val="auto"/>
        </w:rPr>
      </w:pPr>
    </w:p>
    <w:p>
      <w:pPr>
        <w:ind w:left="640" w:right="339" w:hanging="348"/>
        <w:spacing w:after="0" w:line="227"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88,931 shares of Common Stock held by Fidelity Mt. Vernon Street Trust: Fidelity Series Growth Company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2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56,954 shares of Common Stock held by Variable Insurance Products</w:t>
      </w:r>
    </w:p>
    <w:p>
      <w:pPr>
        <w:spacing w:after="0" w:line="3" w:lineRule="exact"/>
        <w:rPr>
          <w:rFonts w:ascii="Times New Roman" w:cs="Times New Roman" w:eastAsia="Times New Roman" w:hAnsi="Times New Roman"/>
          <w:sz w:val="14"/>
          <w:szCs w:val="14"/>
          <w:color w:val="auto"/>
        </w:rPr>
      </w:pPr>
    </w:p>
    <w:p>
      <w:pPr>
        <w:ind w:left="640" w:right="339"/>
        <w:spacing w:after="0" w:line="22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 IV: VIP Health Care Portfolio.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8" w:lineRule="exact"/>
        <w:rPr>
          <w:rFonts w:ascii="Times New Roman" w:cs="Times New Roman" w:eastAsia="Times New Roman" w:hAnsi="Times New Roman"/>
          <w:sz w:val="14"/>
          <w:szCs w:val="14"/>
          <w:color w:val="auto"/>
        </w:rPr>
      </w:pPr>
    </w:p>
    <w:p>
      <w:pPr>
        <w:ind w:left="640" w:right="379" w:hanging="348"/>
        <w:spacing w:after="0" w:line="24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30,000 shares of Common Stock. Ari Zweiman has voting and investment power with respect to these securities and therefore may be deemed to be the beneficial owner thereof. The address of 683 Capital Partners, LP is 1700 Broadway, Suite 4200, New York, NY 10019.</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Relationship with the Selling Stockholders</w:t>
      </w:r>
    </w:p>
    <w:p>
      <w:pPr>
        <w:spacing w:after="0" w:line="119"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In addition to the Securities Purchase Agreement, in connection with the Private Placement, we entered into the RRA on July 2, 2024 with the Selling Stockholders.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Private Placement</w:t>
      </w:r>
    </w:p>
    <w:p>
      <w:pPr>
        <w:spacing w:after="0" w:line="117"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Dr. Timothy A. Springer, TAS, and Dr. Springer’s spouse, Dr. Chafen Lu, purchased shares of our Series B Preferred Stock in the Private Placement. The following table sets forth the number of shares of Series B Preferred Stock purchased in the Private Placement by such parties: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of Series B Preferred</w:t>
            </w:r>
          </w:p>
        </w:tc>
        <w:tc>
          <w:tcPr>
            <w:tcW w:w="22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Total Aggregate</w:t>
            </w:r>
          </w:p>
        </w:tc>
        <w:tc>
          <w:tcPr>
            <w:tcW w:w="0" w:type="dxa"/>
            <w:vAlign w:val="bottom"/>
          </w:tcPr>
          <w:p>
            <w:pPr>
              <w:spacing w:after="0"/>
              <w:rPr>
                <w:sz w:val="1"/>
                <w:szCs w:val="1"/>
                <w:color w:val="auto"/>
              </w:rPr>
            </w:pPr>
          </w:p>
        </w:tc>
      </w:tr>
      <w:tr>
        <w:trPr>
          <w:trHeight w:val="190"/>
        </w:trPr>
        <w:tc>
          <w:tcPr>
            <w:tcW w:w="5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Stock Purchased</w:t>
            </w:r>
          </w:p>
        </w:tc>
        <w:tc>
          <w:tcPr>
            <w:tcW w:w="2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3"/>
        </w:trPr>
        <w:tc>
          <w:tcPr>
            <w:tcW w:w="5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A. Springer, Ph.D.</w:t>
            </w:r>
          </w:p>
        </w:tc>
        <w:tc>
          <w:tcPr>
            <w:tcW w:w="202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1,636,832</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$32,736,640</w:t>
            </w: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TAS Partners LLC (affiliate of Timothy A. Springer, Ph.D.)</w:t>
            </w:r>
          </w:p>
        </w:tc>
        <w:tc>
          <w:tcPr>
            <w:tcW w:w="202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721,361</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$14,427,220</w:t>
            </w: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Chafen Lu, Ph.D.</w:t>
            </w:r>
          </w:p>
        </w:tc>
        <w:tc>
          <w:tcPr>
            <w:tcW w:w="202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1,307</w:t>
            </w:r>
          </w:p>
        </w:tc>
        <w:tc>
          <w:tcPr>
            <w:tcW w:w="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26,140</w:t>
            </w:r>
          </w:p>
        </w:tc>
        <w:tc>
          <w:tcPr>
            <w:tcW w:w="0" w:type="dxa"/>
            <w:vAlign w:val="bottom"/>
          </w:tcPr>
          <w:p>
            <w:pPr>
              <w:spacing w:after="0"/>
              <w:rPr>
                <w:sz w:val="1"/>
                <w:szCs w:val="1"/>
                <w:color w:val="auto"/>
              </w:rPr>
            </w:pPr>
          </w:p>
        </w:tc>
      </w:tr>
      <w:tr>
        <w:trPr>
          <w:trHeight w:val="54"/>
        </w:trPr>
        <w:tc>
          <w:tcPr>
            <w:tcW w:w="52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8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2023 Private Placement</w:t>
      </w:r>
    </w:p>
    <w:p>
      <w:pPr>
        <w:spacing w:after="0" w:line="117"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In the 2023 Private Placement, we entered into a securities purchase agreement pursuant to which we issued and sold an aggregate of 149,330.115 shares of Series A Preferred Stock, each of which was converted or is convertible into 33.333 shares of Common Stock, for an aggregate purchase price of approximately $60.25 million. Timothy A. Springer, Ph.D., one of the Selling Stockholders and a member of our Board of Directors, participated in the 2023 Private Placement and was party to the 2023 RRA. TAS is affiliated with Dr. Springer and TAS also participated in the 2023 Private Placement and was party to the 2023 RRA. The following table sets forth the number of shares of Series A Preferred Stock purchased in 2023 Private Placement by such parties: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Series A Preferred</w:t>
            </w: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90"/>
        </w:trPr>
        <w:tc>
          <w:tcPr>
            <w:tcW w:w="5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Purchased</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3"/>
        </w:trPr>
        <w:tc>
          <w:tcPr>
            <w:tcW w:w="5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A. Springer, Ph.D.</w:t>
            </w:r>
          </w:p>
        </w:tc>
        <w:tc>
          <w:tcPr>
            <w:tcW w:w="18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123,925.407</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$50,000,000</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TAS Partners LLC (affiliate of Timothy A. Springer, Ph.D.)</w:t>
            </w:r>
          </w:p>
        </w:tc>
        <w:tc>
          <w:tcPr>
            <w:tcW w:w="188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24,785.081</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$10,000,000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the 2023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of the transaction. TAS agreed to settle its purchase for approximately $10.0 million within 30 days following the closing of the transaction. The first, second and third tranches were settled on December 13, 2023, January 12, 2024 and February 11, 2024, respectively, under which (i) 24,785.081 shares of Series A Preferred Stock were issued to each of TAS and Dr. Timothy A. Springer in the first tranche, (ii) 49,570.163 shares of Series A Preferred Stock were issued to Dr. Timothy A. Springer in the second tranche, and (iii) 49,570.163 shares of Series A Preferred Stock were issued to Dr. Timothy A. Springer in the third tranche.</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Warrant Exercise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26, 2024, TAS exercised 65,681 warrants originally issued in 2019 (and amended in</w:t>
      </w:r>
    </w:p>
    <w:p>
      <w:pPr>
        <w:spacing w:after="0" w:line="27" w:lineRule="exact"/>
        <w:rPr>
          <w:sz w:val="20"/>
          <w:szCs w:val="20"/>
          <w:color w:val="auto"/>
        </w:rPr>
      </w:pPr>
    </w:p>
    <w:p>
      <w:pPr>
        <w:ind w:left="300" w:right="399"/>
        <w:spacing w:after="0" w:line="260" w:lineRule="auto"/>
        <w:rPr>
          <w:sz w:val="20"/>
          <w:szCs w:val="20"/>
          <w:color w:val="auto"/>
        </w:rPr>
      </w:pPr>
      <w:r>
        <w:rPr>
          <w:rFonts w:ascii="Times New Roman" w:cs="Times New Roman" w:eastAsia="Times New Roman" w:hAnsi="Times New Roman"/>
          <w:sz w:val="18"/>
          <w:szCs w:val="18"/>
          <w:color w:val="auto"/>
        </w:rPr>
        <w:t>December 2022), paid the per-share exercise price of $43.80 in cash for an aggregate exercise price of $2.9 million, and received 65,681 shares of Common Stock and 1,970,443 CVRs.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Registration Rights Agreement</w:t>
      </w:r>
    </w:p>
    <w:p>
      <w:pPr>
        <w:spacing w:after="0" w:line="117"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Pursuant to the terms of the RRA, we agreed to prepare and file with the SEC a registration statement that permits the resale or other disposition of the Selling Stockholders’ shares of Common Stock issued and shares of Common Stock issuable upon conversion of the Series B Preferred Stock issued to such Selling Stockholders pursuant to the Securities Purchase Agreement and, subject to certain exceptions, use commercially reasonable efforts to keep the registration statement of which this prospectus forms a part effective under the Securities Act for so long as such securities registered for resale thereunder retain their character as Registrable Securities (as defined in the RRA). We also undertook to register the Resale Shares on a registration statement on Form S-3 promptly after such form is available to us. The registration statement of which this prospectus forms a part is intended to continue the satisfaction of these obligations, which were initially satisfied by our filing of a prior registration statement on Form S-1 relating to the resale of such securities, which we intend to terminate upon the effectiveness of this registration statement.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have also agreed, among other things, to indemnify the Selling Stockholders and each of their respective officers, directors, agents, partners, members, managers, stockholders, affiliates, investment advisers and employees, each person who controls any such Selling Stockholder and the officers, directors, partners, members, managers, stockholders, agents, investment advisers and employees of each such controlling person from certain liabilities and pay all fees and expenses (excluding any legal fees of the selling holder(s), and any underwriting discounts and selling commissions) incident to our obligations under the RRA.</w:t>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April 2022 Offering</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April 2022, we completed an SEC-registered securities offering pursuant to which we issued and sold an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aggregate of 914,285 shares of our Common Stock and accompanying warrants to purchase 685,712 shares of our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Stock, at a combined purchase price of $42.30, for aggregate net proceeds to us of approximately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$36.9 million. In this offering, TAS purchased 222,720 shares of Common Stock and warrants to purchase 167,040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of Common Stock for a total purchase price of approximately $9.4 million.</w:t>
      </w:r>
    </w:p>
    <w:p>
      <w:pPr>
        <w:spacing w:after="0" w:line="3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Support Agreements</w:t>
      </w:r>
    </w:p>
    <w:p>
      <w:pPr>
        <w:spacing w:after="0" w:line="117"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Merger Agreement, we and Old Cartesian entered into the Support Agreements with certain of our pre-Merger officers, directors and stockholders, including Dr. Springer and TAS. Pursuant to the Support Agreements, among other things, each of our pre-Merger stockholder parties thereto agreed to vote or cause to be voted all of the shares of Common Stock owned by such stockholder in favor of the proposals we submitted for stockholder approval at our March 2024 special meeting of stockholders.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Indemnification Agreements</w:t>
      </w:r>
    </w:p>
    <w:p>
      <w:pPr>
        <w:spacing w:after="0" w:line="117"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including Dr. Springer.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are registering resales of Resale Shares to permit the sale, transfer or other disposition of the Resale Shares by the Selling Stockholders or their donees, pledgees, transferees or other successors-in-interest from time to time after the date of this prospectus. We will not receive any of the proceeds from the sale by the Selling Stockholders of the Resale Shares. We will, or will procure to, bear all fees and expenses incident to our obligation to register the Resale Shares.</w:t>
      </w:r>
    </w:p>
    <w:p>
      <w:pPr>
        <w:spacing w:after="0" w:line="75"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Selling Stockholders may sell all or a portion of the Resale Shares beneficially owned by them and offered hereby from time to time, and in the case of shares of Common Stock issuable upon the conversion of the Series B Preferred Stock, may only be offered after such shares are converted to shares of Common Stock pursuant to the terms of the Series B Certificate of Designation, directly or through one or more underwriters, broker-dealers or agents. If the Resale Shares are sold through underwriters or broker-dealers, the Selling Stockholders will be responsible for underwriting discounts (it being understood that the Selling Stockholders shall not be deemed to be underwriters solely as a result of their participation in this offering) or commissions or agent’s commissions. The Resale Shares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Resale Shares:</w:t>
      </w:r>
    </w:p>
    <w:p>
      <w:pPr>
        <w:spacing w:after="0" w:line="79"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purchases by a broker-dealer as principal and resale by the broker-dealer for its account;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Resale Shares at a stipulated price per share;</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such options are listed on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ind w:left="300" w:right="599" w:firstLine="360"/>
        <w:spacing w:after="0" w:line="261"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Resale Shares in open market transactions in reliance upon Rule 144 under the Securities Act, as permitted by that rule, or Section 4(a)(1) under the Securities Act, if available, rather than under this prospectus, provided that they meet the criteria and conform to the requirements of those provisions.</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broker-dealers to participate in sales. If the Selling Stockholders effect such transactions by selling Resale Shares to or through underwriters, broker-dealers or agents, such underwriters, broker-dealers or agents may receive commissions in the form of discounts, concessions or commissions from the Selling Stockholders or commissions from purchasers of the Resale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sales of the Resale Shares or otherwise, the Selling Stockholders may enter into hedging transactions with broker-dealers or other financial institutions, which may in turn engage in short sales of the Resale Shares in the course of hedging in positions they assume. The Selling Stockholders may also sell Resale Shares short and if such short sale takes place after the date that this Registration Statement is declared effective by the SEC, the Selling Stockholders may deliver Resale Shares covered by this prospectus to close out short positions and to return borrowed Resale Shares in connection with such short sales. The Selling Stockholders may also loan or pledge Resale Shares to broker-dealers that in turn may sell such Resale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Resale Shares the resale of which has been registered on this registration statement to cover short sales of our Common Stock made prior to the date the registration statement, of which this prospectus forms a part, has been declared effective by the SEC.</w:t>
      </w:r>
    </w:p>
    <w:p>
      <w:pPr>
        <w:spacing w:after="0" w:line="88"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Resale Shares owned by them and, if they default in the performance of their secured obligations, the pledgees or secured parties may offer and sell the Resale Shares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Resale Shares in other circumstances in which case the transferees, donees, pledgees or other successors in interest will be the selling beneficial owners for purposes of this prospectus.</w:t>
      </w:r>
    </w:p>
    <w:p>
      <w:pPr>
        <w:spacing w:after="0" w:line="8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Selling Stockholders and any broker-dealer or agents participating in the distribution of the Resale Shares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Exchange Act.</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Each Selling Stockholder has informed the Company that it is not a registered broker-dealer and does not have any written or oral agreement or understanding, directly or indirectly, with any person to distribute the Resale Shares.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Resale Shares involved, (iii) the price at which such the Resale Shares were sold, (iv) the commissions paid or discounts or concessions allowed to such broker-dealer(s), where applicable, (v) that such broker-dealer(s) did not conduct any investigation to verify the information set out in this prospectus, and (vi) other facts material to the transaction. In no event shall any broker-dealer receive fees, commissions and markups, which, in the aggregate, would exceed eight percent (8.0%).</w:t>
      </w:r>
    </w:p>
    <w:p>
      <w:pPr>
        <w:spacing w:after="0" w:line="8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Under the securities laws of some U.S. states, the Resale Shares may be sold in such states only through registered or licensed brokers or dealers. In addition, in some U.S. states the Resale Shares may not be sold unless such shares have been registered or qualified for sale in such state or an exemption from registration or qualification is available and is complied with.</w:t>
      </w:r>
    </w:p>
    <w:p>
      <w:pPr>
        <w:spacing w:after="0" w:line="72"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Resale Shares registered pursuant to the shelf registration statement of which this prospectus forms a part.</w:t>
      </w:r>
    </w:p>
    <w:p>
      <w:pPr>
        <w:spacing w:after="0" w:line="54" w:lineRule="exact"/>
        <w:rPr>
          <w:sz w:val="20"/>
          <w:szCs w:val="20"/>
          <w:color w:val="auto"/>
        </w:rPr>
      </w:pPr>
    </w:p>
    <w:p>
      <w:pPr>
        <w:ind w:left="300" w:right="539" w:firstLine="360"/>
        <w:spacing w:after="0" w:line="312" w:lineRule="auto"/>
        <w:rPr>
          <w:sz w:val="20"/>
          <w:szCs w:val="20"/>
          <w:color w:val="auto"/>
        </w:rPr>
      </w:pPr>
      <w:r>
        <w:rPr>
          <w:rFonts w:ascii="Times New Roman" w:cs="Times New Roman" w:eastAsia="Times New Roman" w:hAnsi="Times New Roman"/>
          <w:sz w:val="17"/>
          <w:szCs w:val="17"/>
          <w:color w:val="auto"/>
        </w:rPr>
        <w:t>Each Selling Stockholder and any other person participating in such distribution will be subject to applicable provisions of the Exchange Act and the rules and regulations thereunder, including, without limitation, to the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extent applicable, Regulation M of the Exchange Act, which may limit the timing of purchases and sales of any of the Resale Shares by the Selling Stockholder and any other participating person. To the extent applicable, Regulation M may also restrict the ability of any person engaged in the distribution of the Resale Shares to engage in market-making activities with respect to the Resale Shares. All of the foregoing may affect the marketability of the Resale Shares and the ability of any person or entity to engage in market-making activities with respect to the Resale Shares.</w:t>
      </w:r>
    </w:p>
    <w:p>
      <w:pPr>
        <w:spacing w:after="0" w:line="7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will pay all expenses of the registration of the Resale Shares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RRA, or the Selling Stockholders will be entitled to contribution. We may be indemnified by the Selling Stockholders against certain civil liabilities set forth in the RRA, including liabilities under the Securities Act, that may arise from any written information furnished to us by the Selling Stockholders specifically for use in this prospectus, in accordance with the related RRA, or we may be entitled to contribution.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will be passed upon for us by Covington &amp; Burling LLP, New York, New York. If legal matters are passed upon by counsel for the underwriters, dealers or agents, if any, such counsel will be named in the prospectus supplement relating to such offering.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539" w:firstLine="360"/>
        <w:spacing w:after="0" w:line="256"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7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financial statements of Cartesian Therapeutics, Inc. as of and for the years ended December 31, 2022 and 2021 appearing in the Current Report on Form 8-K/A filed on January 23, 2024 of Cartesian Therapeutics, Inc. (formerly known as Selecta Biosciences, Inc.) incorporated by reference in this Prospectus and in the Registration Statement have been so incorporated in reliance on the report of BDO USA, P.C., independent auditors, given on the authority of said firm as experts in auditing and accounting.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Other Expenses of Issuance and Distribution</w:t>
      </w:r>
    </w:p>
    <w:p>
      <w:pPr>
        <w:spacing w:after="0" w:line="121"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an estimate, other than with respect to the SEC registration fee, of the expenses (all of which are to be paid by the registrant) that we may incur in connection with the securities being registered hereby.</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19,993​</w:t>
            </w:r>
          </w:p>
        </w:tc>
      </w:tr>
      <w:tr>
        <w:trPr>
          <w:trHeight w:val="23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47"/>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75,000</w:t>
            </w:r>
          </w:p>
        </w:tc>
      </w:tr>
      <w:tr>
        <w:trPr>
          <w:trHeight w:val="23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4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31"/>
        </w:trPr>
        <w:tc>
          <w:tcPr>
            <w:tcW w:w="7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r>
      <w:tr>
        <w:trPr>
          <w:trHeight w:val="257"/>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r>
      <w:tr>
        <w:trPr>
          <w:trHeight w:val="20"/>
        </w:trPr>
        <w:tc>
          <w:tcPr>
            <w:tcW w:w="7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Indemnification of Directors and Officers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Subsection (a) of Section 145 of the General Corporation Law of the State of Delaware, or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84"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84" w:lineRule="exact"/>
        <w:rPr>
          <w:sz w:val="20"/>
          <w:szCs w:val="20"/>
          <w:color w:val="auto"/>
        </w:rPr>
      </w:pPr>
    </w:p>
    <w:p>
      <w:pPr>
        <w:ind w:left="300" w:right="399" w:firstLine="360"/>
        <w:spacing w:after="0" w:line="252" w:lineRule="auto"/>
        <w:rPr>
          <w:sz w:val="20"/>
          <w:szCs w:val="20"/>
          <w:color w:val="auto"/>
        </w:rPr>
      </w:pPr>
      <w:r>
        <w:rPr>
          <w:rFonts w:ascii="Times New Roman" w:cs="Times New Roman" w:eastAsia="Times New Roman" w:hAnsi="Times New Roman"/>
          <w:sz w:val="18"/>
          <w:szCs w:val="18"/>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8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Any underwriting agreement or distribution agreement that the registrant enters into with any underwriters or agents involved in the offering or sale of any securities registered hereby may require such underwriters or dealers to indemnify the Company, some or all of its directors and officers and its controlling persons, if any, for specified liabilities, which may include liabilities under the Securities Act of 1933, as amended, or the Securities Act.</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Company’s restated certificate of incorporation, as amended, or the Charter, provides that to the fullest extent permitted by the DGCL, none of the Company’s directors shall be liable to the Company or its stockholders for monetary damages arising from a breach of fiduciary duty owed to the Company or its stockholders. In addition, the Company’s amended and restated by-laws, or the Bylaws, provide that the Company must indemnify its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w:t>
      </w:r>
    </w:p>
    <w:p>
      <w:pPr>
        <w:spacing w:after="0" w:line="84"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our directors and executive officers in which we have agreed to indemnify, defend and hold harmless, and also advance expenses as incurred, to the fullest extent permitted under applicable law, from damage arising from the fact that such person is or was an officer or director of the Company or its subsidiaries.</w:t>
      </w:r>
    </w:p>
    <w:p>
      <w:pPr>
        <w:spacing w:after="0" w:line="72" w:lineRule="exact"/>
        <w:rPr>
          <w:sz w:val="20"/>
          <w:szCs w:val="20"/>
          <w:color w:val="auto"/>
        </w:rPr>
      </w:pPr>
    </w:p>
    <w:p>
      <w:pPr>
        <w:ind w:left="300" w:right="819" w:firstLine="360"/>
        <w:spacing w:after="0" w:line="266" w:lineRule="auto"/>
        <w:rPr>
          <w:sz w:val="20"/>
          <w:szCs w:val="20"/>
          <w:color w:val="auto"/>
        </w:rPr>
      </w:pPr>
      <w:r>
        <w:rPr>
          <w:rFonts w:ascii="Times New Roman" w:cs="Times New Roman" w:eastAsia="Times New Roman" w:hAnsi="Times New Roman"/>
          <w:sz w:val="18"/>
          <w:szCs w:val="18"/>
          <w:color w:val="auto"/>
        </w:rPr>
        <w:t>The indemnification rights set forth above shall not be exclusive of any other right which an indemnified person may have or hereafter acquire under any statute, the Company’s Charter, the Company’s Bylaws, any agreement, any vote of stockholders or disinterested directors or otherwise.</w:t>
      </w:r>
    </w:p>
    <w:p>
      <w:pPr>
        <w:spacing w:after="0" w:line="68"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The Company expects to maintain standard policies of insurance that provide coverage (1) to its directors and officers against loss rising from claims made by reason of breach of duty or other wrongful act and (2) to the Company with respect to indemnification payments that it may make to such directors and officers.</w:t>
      </w:r>
    </w:p>
    <w:p>
      <w:pPr>
        <w:spacing w:after="0" w:line="68"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Company has purchased and intends to maintain insurance on behalf of Cartesian Therapeutics, Inc. and any person who is or was a director or officer against any loss arising from any claim asserted against him or her and incurred by him or her in that capacity, subject to certain exclusions and limits of the amount of coverage.</w:t>
      </w:r>
    </w:p>
    <w:p>
      <w:pPr>
        <w:spacing w:after="0" w:line="68"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40" w:type="dxa"/>
            <w:vAlign w:val="bottom"/>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2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-1270</wp:posOffset>
            </wp:positionV>
            <wp:extent cx="49549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ind w:left="920" w:right="499" w:hanging="620"/>
        <w:spacing w:after="0" w:line="276" w:lineRule="auto"/>
        <w:tabs>
          <w:tab w:leader="none" w:pos="900" w:val="left"/>
        </w:tabs>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u w:val="single" w:color="auto"/>
            <w:color w:val="0000EE"/>
          </w:rPr>
          <w:t>3.1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Restated Certificate of Incorporation of Selecta Biosciences, Inc. (incorporated herein by reference to Exhibit 3.1 of the Registrant’s Current Report on Form 8-K (File No. 001-37798) filed on June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-281940</wp:posOffset>
            </wp:positionV>
            <wp:extent cx="5349240" cy="283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5349240" cy="283210"/>
                    </a:xfrm>
                    <a:prstGeom prst="rect">
                      <a:avLst/>
                    </a:prstGeom>
                    <a:noFill/>
                  </pic:spPr>
                </pic:pic>
              </a:graphicData>
            </a:graphic>
          </wp:anchor>
        </w:drawing>
      </w:r>
    </w:p>
    <w:p>
      <w:pPr>
        <w:ind w:left="920" w:right="579" w:hanging="620"/>
        <w:spacing w:after="0" w:line="250" w:lineRule="auto"/>
        <w:tabs>
          <w:tab w:leader="none" w:pos="900" w:val="left"/>
        </w:tabs>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u w:val="single" w:color="auto"/>
            <w:color w:val="0000EE"/>
          </w:rPr>
          <w:t>3.2</w:t>
        </w:r>
      </w:hyperlink>
      <w:r>
        <w:rPr>
          <w:rFonts w:ascii="Times New Roman" w:cs="Times New Roman" w:eastAsia="Times New Roman" w:hAnsi="Times New Roman"/>
          <w:sz w:val="18"/>
          <w:szCs w:val="18"/>
          <w:color w:val="0000EE"/>
        </w:rPr>
        <w:tab/>
        <w:t>Certificate of Amendment to the Restated Certificate of Incorporation of Selecta Biosciences, Inc., dated June 21, 2022 (incorporated herein by reference to Exhibit 3.1 of the Registrant’s Current Report on Form 8-K (File No. 001-37798) filed on June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635</wp:posOffset>
            </wp:positionV>
            <wp:extent cx="5349240" cy="411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5349240" cy="411480"/>
                    </a:xfrm>
                    <a:prstGeom prst="rect">
                      <a:avLst/>
                    </a:prstGeom>
                    <a:noFill/>
                  </pic:spPr>
                </pic:pic>
              </a:graphicData>
            </a:graphic>
          </wp:anchor>
        </w:drawing>
      </w:r>
    </w:p>
    <w:p>
      <w:pPr>
        <w:jc w:val="both"/>
        <w:ind w:left="920" w:right="479" w:hanging="620"/>
        <w:spacing w:after="0" w:line="250" w:lineRule="auto"/>
        <w:tabs>
          <w:tab w:leader="none" w:pos="900" w:val="left"/>
        </w:tabs>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u w:val="single" w:color="auto"/>
            <w:color w:val="0000EE"/>
          </w:rPr>
          <w:t>3.3</w:t>
        </w:r>
      </w:hyperlink>
      <w:r>
        <w:rPr>
          <w:rFonts w:ascii="Times New Roman" w:cs="Times New Roman" w:eastAsia="Times New Roman" w:hAnsi="Times New Roman"/>
          <w:sz w:val="18"/>
          <w:szCs w:val="18"/>
          <w:color w:val="0000EE"/>
        </w:rPr>
        <w:tab/>
        <w:t>Certificate of Amendment to the Restated Certificate of Incorporation of Selecta Biosciences, Inc., dated November 13, 2023 (incorporated herein by reference to Exhibit 3.3 of the Registrant’s Current Report on Form 8-K (File No. 001-37798) filed on November 13, 2023).</w:t>
      </w:r>
    </w:p>
    <w:p>
      <w:pPr>
        <w:spacing w:after="0" w:line="1" w:lineRule="exact"/>
        <w:rPr>
          <w:sz w:val="20"/>
          <w:szCs w:val="20"/>
          <w:color w:val="auto"/>
        </w:rPr>
      </w:pPr>
    </w:p>
    <w:p>
      <w:pPr>
        <w:jc w:val="both"/>
        <w:ind w:left="920" w:right="1179" w:hanging="620"/>
        <w:spacing w:after="0" w:line="265" w:lineRule="auto"/>
        <w:tabs>
          <w:tab w:leader="none" w:pos="900" w:val="left"/>
        </w:tabs>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u w:val="single" w:color="auto"/>
            <w:color w:val="0000EE"/>
          </w:rPr>
          <w:t>3.4</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Certificate of Amendment to the Restated Certificate of Incorporation, as amended, of Cartesian Therapeutics, Inc., dated March 28, 2024 (incorporated herein by reference to Exhibit 3.2 of the Registrant’s Current Report on Form 8-K (File No. 001-37798) filed on March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0</wp:posOffset>
            </wp:positionV>
            <wp:extent cx="5349240"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2">
                      <a:extLst>
                        <a:ext uri="{28A0092B-C50C-407E-A947-70E740481C1C}"/>
                      </a:extLst>
                    </a:blip>
                    <a:srcRect/>
                    <a:stretch>
                      <a:fillRect/>
                    </a:stretch>
                  </pic:blipFill>
                  <pic:spPr bwMode="auto">
                    <a:xfrm>
                      <a:off x="0" y="0"/>
                      <a:ext cx="5349240" cy="411480"/>
                    </a:xfrm>
                    <a:prstGeom prst="rect">
                      <a:avLst/>
                    </a:prstGeom>
                    <a:noFill/>
                  </pic:spPr>
                </pic:pic>
              </a:graphicData>
            </a:graphic>
          </wp:anchor>
        </w:drawing>
      </w:r>
    </w:p>
    <w:p>
      <w:pPr>
        <w:ind w:left="920" w:right="339" w:hanging="620"/>
        <w:spacing w:after="0" w:line="250" w:lineRule="auto"/>
        <w:tabs>
          <w:tab w:leader="none" w:pos="900" w:val="left"/>
        </w:tabs>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u w:val="single" w:color="auto"/>
            <w:color w:val="0000EE"/>
          </w:rPr>
          <w:t>3.5</w:t>
        </w:r>
      </w:hyperlink>
      <w:r>
        <w:rPr>
          <w:rFonts w:ascii="Times New Roman" w:cs="Times New Roman" w:eastAsia="Times New Roman" w:hAnsi="Times New Roman"/>
          <w:sz w:val="18"/>
          <w:szCs w:val="18"/>
          <w:color w:val="0000EE"/>
        </w:rPr>
        <w:tab/>
        <w:t>Amended and Restated By-laws of Cartesian Therapeutics, Inc. (incorporated herein by reference to Exhibit 3.2 of the Registrant’s Quarterly Report on Form 10-Q (File No. 001-37798) filed on November 13, 2023).</w:t>
      </w:r>
    </w:p>
    <w:p>
      <w:pPr>
        <w:spacing w:after="0" w:line="1" w:lineRule="exact"/>
        <w:rPr>
          <w:sz w:val="20"/>
          <w:szCs w:val="20"/>
          <w:color w:val="auto"/>
        </w:rPr>
      </w:pPr>
    </w:p>
    <w:p>
      <w:pPr>
        <w:jc w:val="both"/>
        <w:ind w:left="920" w:right="779" w:hanging="620"/>
        <w:spacing w:after="0" w:line="250" w:lineRule="auto"/>
        <w:tabs>
          <w:tab w:leader="none" w:pos="900" w:val="left"/>
        </w:tabs>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u w:val="single" w:color="auto"/>
            <w:color w:val="0000EE"/>
          </w:rPr>
          <w:t>3.6</w:t>
        </w:r>
      </w:hyperlink>
      <w:r>
        <w:rPr>
          <w:rFonts w:ascii="Times New Roman" w:cs="Times New Roman" w:eastAsia="Times New Roman" w:hAnsi="Times New Roman"/>
          <w:sz w:val="18"/>
          <w:szCs w:val="18"/>
          <w:color w:val="0000EE"/>
        </w:rPr>
        <w:tab/>
        <w:t>Certificate of Designation of Preferences, Rights and Limitations of Series A Non-Voting Convertible Preferred Stock (incorporated herein by reference to Exhibit 3.4 of the Registrant’s Current Report on Form 8-K (File No. 001-37798) filed on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635</wp:posOffset>
            </wp:positionV>
            <wp:extent cx="5349240"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5">
                      <a:extLst>
                        <a:ext uri="{28A0092B-C50C-407E-A947-70E740481C1C}"/>
                      </a:extLst>
                    </a:blip>
                    <a:srcRect/>
                    <a:stretch>
                      <a:fillRect/>
                    </a:stretch>
                  </pic:blipFill>
                  <pic:spPr bwMode="auto">
                    <a:xfrm>
                      <a:off x="0" y="0"/>
                      <a:ext cx="5349240" cy="411480"/>
                    </a:xfrm>
                    <a:prstGeom prst="rect">
                      <a:avLst/>
                    </a:prstGeom>
                    <a:noFill/>
                  </pic:spPr>
                </pic:pic>
              </a:graphicData>
            </a:graphic>
          </wp:anchor>
        </w:drawing>
      </w:r>
    </w:p>
    <w:p>
      <w:pPr>
        <w:jc w:val="both"/>
        <w:ind w:left="920" w:right="519" w:hanging="620"/>
        <w:spacing w:after="0" w:line="250" w:lineRule="auto"/>
        <w:tabs>
          <w:tab w:leader="none" w:pos="900" w:val="left"/>
        </w:tabs>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u w:val="single" w:color="auto"/>
            <w:color w:val="0000EE"/>
          </w:rPr>
          <w:t>3.7</w:t>
        </w:r>
      </w:hyperlink>
      <w:r>
        <w:rPr>
          <w:rFonts w:ascii="Times New Roman" w:cs="Times New Roman" w:eastAsia="Times New Roman" w:hAnsi="Times New Roman"/>
          <w:sz w:val="18"/>
          <w:szCs w:val="18"/>
          <w:color w:val="0000EE"/>
        </w:rPr>
        <w:tab/>
        <w:t>Certificate of Amendment to the Certificate of Designation of Series A Non-Voting Convertible Preferred Stock, dated March 26, 2024 (incorporated herein by reference to Exhibit 3.1 of the Registrant’s Current Report on Form 8-K (File No. 001-37798) filed on March 28, 2024).</w:t>
      </w:r>
    </w:p>
    <w:p>
      <w:pPr>
        <w:spacing w:after="0" w:line="1" w:lineRule="exact"/>
        <w:rPr>
          <w:sz w:val="20"/>
          <w:szCs w:val="20"/>
          <w:color w:val="auto"/>
        </w:rPr>
      </w:pPr>
    </w:p>
    <w:p>
      <w:pPr>
        <w:jc w:val="both"/>
        <w:ind w:left="920" w:right="779" w:hanging="620"/>
        <w:spacing w:after="0" w:line="250" w:lineRule="auto"/>
        <w:tabs>
          <w:tab w:leader="none" w:pos="900" w:val="left"/>
        </w:tabs>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u w:val="single" w:color="auto"/>
            <w:color w:val="0000EE"/>
          </w:rPr>
          <w:t>3.8</w:t>
        </w:r>
      </w:hyperlink>
      <w:r>
        <w:rPr>
          <w:rFonts w:ascii="Times New Roman" w:cs="Times New Roman" w:eastAsia="Times New Roman" w:hAnsi="Times New Roman"/>
          <w:sz w:val="18"/>
          <w:szCs w:val="18"/>
          <w:color w:val="0000EE"/>
        </w:rPr>
        <w:tab/>
        <w:t>Certificate of Designation of Preferences, Rights and Limitations of Series B Non-Voting Convertible Preferred Stock (incorporated herein by reference to Exhibit 3.1 of the Registrant’s Current Report on Form 8-K (File No. 001-37798) filed on July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635</wp:posOffset>
            </wp:positionV>
            <wp:extent cx="534924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8">
                      <a:extLst>
                        <a:ext uri="{28A0092B-C50C-407E-A947-70E740481C1C}"/>
                      </a:extLst>
                    </a:blip>
                    <a:srcRect/>
                    <a:stretch>
                      <a:fillRect/>
                    </a:stretch>
                  </pic:blipFill>
                  <pic:spPr bwMode="auto">
                    <a:xfrm>
                      <a:off x="0" y="0"/>
                      <a:ext cx="5349240" cy="274320"/>
                    </a:xfrm>
                    <a:prstGeom prst="rect">
                      <a:avLst/>
                    </a:prstGeom>
                    <a:noFill/>
                  </pic:spPr>
                </pic:pic>
              </a:graphicData>
            </a:graphic>
          </wp:anchor>
        </w:drawing>
      </w:r>
    </w:p>
    <w:p>
      <w:pPr>
        <w:ind w:left="920" w:right="319" w:hanging="620"/>
        <w:spacing w:after="0" w:line="250" w:lineRule="auto"/>
        <w:tabs>
          <w:tab w:leader="none" w:pos="900" w:val="left"/>
        </w:tabs>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color w:val="0000EE"/>
        </w:rPr>
        <w:tab/>
        <w:t>Form of Specimen Certificate Representing Common Stock (incorporated herein by reference to Exhibit 4.2 of the Registrant's Registration Statement on Form S-1 (File No. 333-211555) filed on May 24, 2016).</w:t>
      </w:r>
    </w:p>
    <w:p>
      <w:pPr>
        <w:spacing w:after="0" w:line="1" w:lineRule="exact"/>
        <w:rPr>
          <w:sz w:val="20"/>
          <w:szCs w:val="20"/>
          <w:color w:val="auto"/>
        </w:rPr>
      </w:pPr>
    </w:p>
    <w:p>
      <w:pPr>
        <w:ind w:left="920" w:right="299" w:hanging="620"/>
        <w:spacing w:after="0" w:line="250" w:lineRule="auto"/>
        <w:tabs>
          <w:tab w:leader="none" w:pos="900" w:val="left"/>
        </w:tabs>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color w:val="0000EE"/>
        </w:rPr>
        <w:tab/>
        <w:t>Form of Registration Rights Agreement, dated as of July 2, 2024, by and among the Registrant and the several purchasers party thereto (incorporated herein by reference to Exhibit 10.2 to the Registrant’s Current Report on Form 8-K (File No. 001-37798) filed on July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635</wp:posOffset>
            </wp:positionV>
            <wp:extent cx="534924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1">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30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color w:val="auto"/>
        </w:rPr>
        <w:t>Opinion of Covington &amp; Burling LLP.</w:t>
      </w:r>
    </w:p>
    <w:p>
      <w:pPr>
        <w:spacing w:after="0" w:line="9"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color w:val="auto"/>
        </w:rPr>
        <w:t>Consent of Covington &amp; Burling LLP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5715</wp:posOffset>
            </wp:positionV>
            <wp:extent cx="534924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2">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30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23.2</w:t>
      </w:r>
      <w:r>
        <w:rPr>
          <w:sz w:val="20"/>
          <w:szCs w:val="20"/>
          <w:color w:val="auto"/>
        </w:rPr>
        <w:tab/>
      </w:r>
      <w:r>
        <w:rPr>
          <w:rFonts w:ascii="Times New Roman" w:cs="Times New Roman" w:eastAsia="Times New Roman" w:hAnsi="Times New Roman"/>
          <w:sz w:val="17"/>
          <w:szCs w:val="17"/>
          <w:color w:val="auto"/>
        </w:rPr>
        <w:t>Consent of Ernst &amp; Young LLP, independent registered public accounting firm.</w:t>
      </w:r>
    </w:p>
    <w:p>
      <w:pPr>
        <w:spacing w:after="0" w:line="9"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23.3</w:t>
      </w:r>
      <w:r>
        <w:rPr>
          <w:sz w:val="20"/>
          <w:szCs w:val="20"/>
          <w:color w:val="auto"/>
        </w:rPr>
        <w:tab/>
      </w:r>
      <w:r>
        <w:rPr>
          <w:rFonts w:ascii="Times New Roman" w:cs="Times New Roman" w:eastAsia="Times New Roman" w:hAnsi="Times New Roman"/>
          <w:sz w:val="17"/>
          <w:szCs w:val="17"/>
          <w:color w:val="auto"/>
        </w:rPr>
        <w:t>Consent of BDO USA, P.C.,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5715</wp:posOffset>
            </wp:positionV>
            <wp:extent cx="534924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3">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30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24.1</w:t>
      </w:r>
      <w:r>
        <w:rPr>
          <w:sz w:val="20"/>
          <w:szCs w:val="20"/>
          <w:color w:val="auto"/>
        </w:rPr>
        <w:tab/>
      </w:r>
      <w:r>
        <w:rPr>
          <w:rFonts w:ascii="Times New Roman" w:cs="Times New Roman" w:eastAsia="Times New Roman" w:hAnsi="Times New Roman"/>
          <w:sz w:val="17"/>
          <w:szCs w:val="17"/>
          <w:color w:val="auto"/>
        </w:rPr>
        <w:t>Powers of Attorney (incorporated by reference to the signature page hereto).</w:t>
      </w:r>
    </w:p>
    <w:p>
      <w:pPr>
        <w:spacing w:after="0" w:line="9" w:lineRule="exact"/>
        <w:rPr>
          <w:sz w:val="20"/>
          <w:szCs w:val="20"/>
          <w:color w:val="auto"/>
        </w:rPr>
      </w:pPr>
    </w:p>
    <w:p>
      <w:pPr>
        <w:ind w:left="920" w:hanging="628"/>
        <w:spacing w:after="0"/>
        <w:tabs>
          <w:tab w:leader="none" w:pos="920" w:val="left"/>
        </w:tabs>
        <w:numPr>
          <w:ilvl w:val="0"/>
          <w:numId w:val="1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w:t>
      </w:r>
    </w:p>
    <w:p>
      <w:pPr>
        <w:spacing w:after="0" w:line="257"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i w:val="1"/>
          <w:iCs w:val="1"/>
          <w:color w:val="auto"/>
        </w:rPr>
        <w:t>Undertakings</w:t>
      </w:r>
    </w:p>
    <w:p>
      <w:pPr>
        <w:spacing w:after="0" w:line="121" w:lineRule="exact"/>
        <w:rPr>
          <w:sz w:val="20"/>
          <w:szCs w:val="20"/>
          <w:color w:val="auto"/>
        </w:rPr>
      </w:pPr>
    </w:p>
    <w:p>
      <w:pPr>
        <w:ind w:left="640" w:hanging="34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1360" w:right="339" w:hanging="348"/>
        <w:spacing w:after="0" w:line="253" w:lineRule="auto"/>
        <w:tabs>
          <w:tab w:leader="none" w:pos="13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 and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60" w:right="419" w:hanging="348"/>
        <w:spacing w:after="0" w:line="312" w:lineRule="auto"/>
        <w:tabs>
          <w:tab w:leader="none" w:pos="13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30"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above do not apply if the information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77" w:lineRule="exact"/>
        <w:rPr>
          <w:sz w:val="20"/>
          <w:szCs w:val="20"/>
          <w:color w:val="auto"/>
        </w:rPr>
      </w:pPr>
    </w:p>
    <w:p>
      <w:pPr>
        <w:ind w:left="1000" w:right="43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4" w:lineRule="exact"/>
        <w:rPr>
          <w:sz w:val="20"/>
          <w:szCs w:val="20"/>
          <w:color w:val="auto"/>
        </w:rPr>
      </w:pPr>
    </w:p>
    <w:p>
      <w:pPr>
        <w:ind w:left="1000" w:hanging="348"/>
        <w:spacing w:after="0"/>
        <w:tabs>
          <w:tab w:leader="none" w:pos="10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left="1360" w:right="539" w:hanging="348"/>
        <w:spacing w:after="0" w:line="266" w:lineRule="auto"/>
        <w:tabs>
          <w:tab w:leader="none" w:pos="13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360" w:right="459" w:hanging="348"/>
        <w:spacing w:after="0" w:line="276" w:lineRule="auto"/>
        <w:tabs>
          <w:tab w:leader="none" w:pos="1360"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w:t>
      </w:r>
    </w:p>
    <w:p>
      <w:pPr>
        <w:ind w:left="1360" w:right="33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3" w:lineRule="exact"/>
        <w:rPr>
          <w:rFonts w:ascii="Times New Roman" w:cs="Times New Roman" w:eastAsia="Times New Roman" w:hAnsi="Times New Roman"/>
          <w:sz w:val="17"/>
          <w:szCs w:val="17"/>
          <w:color w:val="auto"/>
        </w:rPr>
      </w:pPr>
    </w:p>
    <w:p>
      <w:pPr>
        <w:ind w:left="640" w:right="519" w:hanging="348"/>
        <w:spacing w:after="0" w:line="256"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sz w:val="20"/>
          <w:szCs w:val="20"/>
          <w:color w:val="auto"/>
        </w:rPr>
      </w:pPr>
    </w:p>
    <w:p>
      <w:pPr>
        <w:ind w:left="640" w:right="359" w:hanging="348"/>
        <w:spacing w:after="0" w:line="253"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40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Frederick, Maryland, on December 13, 2024.</w:t>
      </w:r>
    </w:p>
    <w:p>
      <w:pPr>
        <w:spacing w:after="0" w:line="2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283" w:lineRule="exact"/>
        <w:rPr>
          <w:sz w:val="20"/>
          <w:szCs w:val="20"/>
          <w:color w:val="auto"/>
        </w:rPr>
      </w:pPr>
    </w:p>
    <w:p>
      <w:pPr>
        <w:ind w:left="4920"/>
        <w:spacing w:after="0"/>
        <w:tabs>
          <w:tab w:leader="none" w:pos="5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34290</wp:posOffset>
            </wp:positionV>
            <wp:extent cx="19113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6">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57" w:lineRule="exact"/>
        <w:rPr>
          <w:sz w:val="20"/>
          <w:szCs w:val="20"/>
          <w:color w:val="auto"/>
        </w:rPr>
      </w:pPr>
    </w:p>
    <w:p>
      <w:pPr>
        <w:jc w:val="center"/>
        <w:ind w:left="276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left="1300" w:right="1300" w:firstLine="360"/>
        <w:spacing w:after="0" w:line="253" w:lineRule="auto"/>
        <w:rPr>
          <w:sz w:val="20"/>
          <w:szCs w:val="20"/>
          <w:color w:val="auto"/>
        </w:rPr>
      </w:pPr>
      <w:r>
        <w:rPr>
          <w:rFonts w:ascii="Times New Roman" w:cs="Times New Roman" w:eastAsia="Times New Roman" w:hAnsi="Times New Roman"/>
          <w:sz w:val="18"/>
          <w:szCs w:val="18"/>
          <w:color w:val="auto"/>
        </w:rPr>
        <w:t>Each of the undersigned officers and directors of the registrant hereby severally constitutes and appoints Carsten Brunn, Ph.D. and Blaine Davis,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and to file the same, with all exhibits thereto and other documents in connection therewith, with the SEC,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82" w:lineRule="exact"/>
        <w:rPr>
          <w:sz w:val="20"/>
          <w:szCs w:val="20"/>
          <w:color w:val="auto"/>
        </w:rPr>
      </w:pPr>
    </w:p>
    <w:p>
      <w:pPr>
        <w:ind w:left="1300" w:right="168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below by the following persons on behalf of the registrant in the capacities and on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spacing w:after="0"/>
              <w:rPr>
                <w:sz w:val="16"/>
                <w:szCs w:val="16"/>
                <w:color w:val="auto"/>
              </w:rPr>
            </w:pPr>
          </w:p>
        </w:tc>
        <w:tc>
          <w:tcPr>
            <w:tcW w:w="324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15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61"/>
        </w:trPr>
        <w:tc>
          <w:tcPr>
            <w:tcW w:w="13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CARSTEN BRUNN, PH.D.</w:t>
            </w:r>
          </w:p>
        </w:tc>
        <w:tc>
          <w:tcPr>
            <w:tcW w:w="20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22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300" w:type="dxa"/>
            <w:vAlign w:val="bottom"/>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 (Principal Executive Officer)</w:t>
            </w:r>
          </w:p>
        </w:tc>
        <w:tc>
          <w:tcPr>
            <w:tcW w:w="2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3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Carsten Brunn, Ph.D.</w:t>
            </w:r>
          </w:p>
        </w:tc>
        <w:tc>
          <w:tcPr>
            <w:tcW w:w="20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2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8"/>
        </w:trPr>
        <w:tc>
          <w:tcPr>
            <w:tcW w:w="13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BLAINE DAVIS</w:t>
            </w:r>
          </w:p>
        </w:tc>
        <w:tc>
          <w:tcPr>
            <w:tcW w:w="20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w:t>
            </w:r>
          </w:p>
        </w:tc>
        <w:tc>
          <w:tcPr>
            <w:tcW w:w="22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300" w:type="dxa"/>
            <w:vAlign w:val="bottom"/>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Officer and Principal Accounting Officer)</w:t>
            </w:r>
          </w:p>
        </w:tc>
        <w:tc>
          <w:tcPr>
            <w:tcW w:w="2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3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Blaine Davis</w:t>
            </w:r>
          </w:p>
        </w:tc>
        <w:tc>
          <w:tcPr>
            <w:tcW w:w="20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2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CARRIE S. COX</w:t>
            </w:r>
          </w:p>
        </w:tc>
        <w:tc>
          <w:tcPr>
            <w:tcW w:w="20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22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Carrie S. Cox</w:t>
            </w:r>
          </w:p>
        </w:tc>
        <w:tc>
          <w:tcPr>
            <w:tcW w:w="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TIMOTHY C. BARABE</w:t>
            </w:r>
          </w:p>
        </w:tc>
        <w:tc>
          <w:tcPr>
            <w:tcW w:w="20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C. Barabe</w:t>
            </w:r>
          </w:p>
        </w:tc>
        <w:tc>
          <w:tcPr>
            <w:tcW w:w="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NISHAN DE SILVA, M.D.</w:t>
            </w:r>
          </w:p>
        </w:tc>
        <w:tc>
          <w:tcPr>
            <w:tcW w:w="20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Nishan de Silva, M.D.</w:t>
            </w:r>
          </w:p>
        </w:tc>
        <w:tc>
          <w:tcPr>
            <w:tcW w:w="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MURAT KALAYOGLU, M.D., PH.D.</w:t>
            </w:r>
          </w:p>
        </w:tc>
        <w:tc>
          <w:tcPr>
            <w:tcW w:w="20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Murat Kalayoglu, M.D., Ph.D.</w:t>
            </w:r>
          </w:p>
        </w:tc>
        <w:tc>
          <w:tcPr>
            <w:tcW w:w="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KEMAL MALIK, MBBS</w:t>
            </w:r>
          </w:p>
        </w:tc>
        <w:tc>
          <w:tcPr>
            <w:tcW w:w="20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Kemal Malik, MBBS</w:t>
            </w:r>
          </w:p>
        </w:tc>
        <w:tc>
          <w:tcPr>
            <w:tcW w:w="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II-5</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36" w:name="page37"/>
    <w:bookmarkEnd w:id="36"/>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402"/>
        </w:trPr>
        <w:tc>
          <w:tcPr>
            <w:tcW w:w="32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spacing w:after="0"/>
              <w:rPr>
                <w:sz w:val="24"/>
                <w:szCs w:val="24"/>
                <w:color w:val="auto"/>
              </w:rPr>
            </w:pPr>
          </w:p>
        </w:tc>
        <w:tc>
          <w:tcPr>
            <w:tcW w:w="324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24"/>
                <w:szCs w:val="24"/>
                <w:color w:val="auto"/>
              </w:rPr>
            </w:pPr>
          </w:p>
        </w:tc>
        <w:tc>
          <w:tcPr>
            <w:tcW w:w="15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1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480"/>
        </w:trPr>
        <w:tc>
          <w:tcPr>
            <w:tcW w:w="3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MICHAEL SINGER, M.D., PH.D.</w:t>
            </w:r>
          </w:p>
        </w:tc>
        <w:tc>
          <w:tcPr>
            <w:tcW w:w="20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2024</w:t>
            </w:r>
          </w:p>
        </w:tc>
      </w:tr>
      <w:tr>
        <w:trPr>
          <w:trHeight w:val="27"/>
        </w:trPr>
        <w:tc>
          <w:tcPr>
            <w:tcW w:w="1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3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Michael Singer, M.D., Ph.D.</w:t>
            </w:r>
          </w:p>
        </w:tc>
        <w:tc>
          <w:tcPr>
            <w:tcW w:w="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86"/>
        </w:trPr>
        <w:tc>
          <w:tcPr>
            <w:tcW w:w="3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TIMOTHY SPRINGER, PH.D.</w:t>
            </w:r>
          </w:p>
        </w:tc>
        <w:tc>
          <w:tcPr>
            <w:tcW w:w="20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2024</w:t>
            </w:r>
          </w:p>
        </w:tc>
      </w:tr>
      <w:tr>
        <w:trPr>
          <w:trHeight w:val="27"/>
        </w:trPr>
        <w:tc>
          <w:tcPr>
            <w:tcW w:w="1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3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Timothy Springer, Ph.D.</w:t>
            </w:r>
          </w:p>
        </w:tc>
        <w:tc>
          <w:tcPr>
            <w:tcW w:w="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86"/>
        </w:trPr>
        <w:tc>
          <w:tcPr>
            <w:tcW w:w="3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/S/ PATRICK ZENNER</w:t>
            </w:r>
          </w:p>
        </w:tc>
        <w:tc>
          <w:tcPr>
            <w:tcW w:w="20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2024</w:t>
            </w:r>
          </w:p>
        </w:tc>
      </w:tr>
      <w:tr>
        <w:trPr>
          <w:trHeight w:val="27"/>
        </w:trPr>
        <w:tc>
          <w:tcPr>
            <w:tcW w:w="1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3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Patrick Zenner</w:t>
            </w:r>
          </w:p>
        </w:tc>
        <w:tc>
          <w:tcPr>
            <w:tcW w:w="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86"/>
        </w:trPr>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II-6</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9019"/>
          </w:cols>
          <w:pgMar w:left="1440" w:top="262" w:right="1440" w:bottom="1440" w:gutter="0" w:footer="0" w:header="0"/>
        </w:sectPr>
      </w:pPr>
    </w:p>
    <w:bookmarkStart w:id="37" w:name="page38"/>
    <w:bookmarkEnd w:id="37"/>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2880360" cy="7200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8">
                      <a:extLst>
                        <a:ext uri="{28A0092B-C50C-407E-A947-70E740481C1C}"/>
                      </a:extLst>
                    </a:blip>
                    <a:srcRect/>
                    <a:stretch>
                      <a:fillRect/>
                    </a:stretch>
                  </pic:blipFill>
                  <pic:spPr bwMode="auto">
                    <a:xfrm>
                      <a:off x="0" y="0"/>
                      <a:ext cx="2880360" cy="720090"/>
                    </a:xfrm>
                    <a:prstGeom prst="rect">
                      <a:avLst/>
                    </a:prstGeom>
                    <a:noFill/>
                  </pic:spPr>
                </pic:pic>
              </a:graphicData>
            </a:graphic>
          </wp:anchor>
        </w:drawing>
      </w:r>
    </w:p>
    <w:p>
      <w:pPr>
        <w:spacing w:after="0" w:line="248"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7"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color w:val="auto"/>
        </w:rPr>
        <w:t>New York, NY 10018-1405</w:t>
      </w:r>
    </w:p>
    <w:p>
      <w:pPr>
        <w:spacing w:after="0" w:line="9"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color w:val="auto"/>
        </w:rPr>
        <w:t>T +1 212 841 1000</w:t>
      </w:r>
    </w:p>
    <w:p>
      <w:pPr>
        <w:spacing w:after="0" w:line="234"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December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7495 New Horizon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Frederick, Maryland 21703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acted as counsel to Cartesian Therapeutics,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in connection with the registration by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under the Securities Act of 1933, as amended (the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of the resale of up to (i) 5,813,223 shares (the “</w:t>
      </w:r>
      <w:r>
        <w:rPr>
          <w:rFonts w:ascii="Times New Roman" w:cs="Times New Roman" w:eastAsia="Times New Roman" w:hAnsi="Times New Roman"/>
          <w:sz w:val="18"/>
          <w:szCs w:val="18"/>
          <w:i w:val="1"/>
          <w:iCs w:val="1"/>
          <w:color w:val="auto"/>
        </w:rPr>
        <w:t>Issued Shares</w:t>
      </w:r>
      <w:r>
        <w:rPr>
          <w:rFonts w:ascii="Times New Roman" w:cs="Times New Roman" w:eastAsia="Times New Roman" w:hAnsi="Times New Roman"/>
          <w:sz w:val="18"/>
          <w:szCs w:val="18"/>
          <w:color w:val="auto"/>
        </w:rPr>
        <w:t>”)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par value $0.0001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and (ii) 437,927 shares (the “</w:t>
      </w:r>
      <w:r>
        <w:rPr>
          <w:rFonts w:ascii="Times New Roman" w:cs="Times New Roman" w:eastAsia="Times New Roman" w:hAnsi="Times New Roman"/>
          <w:sz w:val="18"/>
          <w:szCs w:val="18"/>
          <w:i w:val="1"/>
          <w:iCs w:val="1"/>
          <w:color w:val="auto"/>
        </w:rPr>
        <w:t>Underlying Shares</w:t>
      </w:r>
      <w:r>
        <w:rPr>
          <w:rFonts w:ascii="Times New Roman" w:cs="Times New Roman" w:eastAsia="Times New Roman" w:hAnsi="Times New Roman"/>
          <w:sz w:val="18"/>
          <w:szCs w:val="18"/>
          <w:color w:val="auto"/>
        </w:rPr>
        <w:t>”) of the Company’s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issuable upon the conversion of 437,927 shares (the “</w:t>
      </w:r>
      <w:r>
        <w:rPr>
          <w:rFonts w:ascii="Times New Roman" w:cs="Times New Roman" w:eastAsia="Times New Roman" w:hAnsi="Times New Roman"/>
          <w:sz w:val="18"/>
          <w:szCs w:val="18"/>
          <w:i w:val="1"/>
          <w:iCs w:val="1"/>
          <w:color w:val="auto"/>
        </w:rPr>
        <w:t>Preferred Shares</w:t>
      </w:r>
      <w:r>
        <w:rPr>
          <w:rFonts w:ascii="Times New Roman" w:cs="Times New Roman" w:eastAsia="Times New Roman" w:hAnsi="Times New Roman"/>
          <w:sz w:val="18"/>
          <w:szCs w:val="18"/>
          <w:color w:val="auto"/>
        </w:rPr>
        <w:t>”) of the Company’s Series B Non-Voting Convertible Preferred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share, pursuant to the registration statement on Form S-3 filed with the Securities and Exchange Commission (the “</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on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 (such registration statement, as amended to the date hereof, is herein referred to as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have reviewed such corporate records, certificates and other documents, and such questions of law, as we have considered necessary or appropriate for the purposes of this opinion. We have assumed that all signatures are genuine, that all documents submitted to us as originals are authentic and that all copies of documents submitted to us conform to the originals.</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Based upon the foregoing, we are of the opinion that the Issued Shares have been duly authorized and validly issued and are fully paid and non-assessable, and the Underlying Shares initially issuable upon conversion of the Preferred Shares have been duly authorized and reserved for issuance, and, when the Preferred Shares have been duly converted into the Underlying Shares in accordance with the terms of the Preferred Shares, the Underlying Shares will be validly issued, fully paid and non-assessable.</w:t>
      </w:r>
    </w:p>
    <w:p>
      <w:pPr>
        <w:spacing w:after="0" w:line="180"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We are members of the bar of the State of New York. We do not express any opinion herein on any laws other than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8" w:name="page39"/>
    <w:bookmarkEnd w:id="38"/>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8839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088390" cy="188595"/>
                    </a:xfrm>
                    <a:prstGeom prst="rect">
                      <a:avLst/>
                    </a:prstGeom>
                    <a:noFill/>
                  </pic:spPr>
                </pic:pic>
              </a:graphicData>
            </a:graphic>
          </wp:anchor>
        </w:drawing>
        <w:t>We hereby consent to the filing of this opinion as Exhibit 5.1 to the Registration Statement. We also hereby consent to the reference to our firm under the heading “Legal Matters” in the prospectus constituting part of the Registration Statement. In giving such consent, we do not thereby admit that we are in the category of persons whose consent is required under Section 7 of the Act.</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Covington &amp; Burling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S-3) and related Prospectus of Cartesian Therapeutics, Inc. for the registration of 6,251,150 shares of its common stock and to the incorporation by reference therein of our reports dated March 7, 2024, with respect to the consolidated financial statements of Cartesian Therapeutics, Inc. and the effectiveness of internal control over financial reporting of Cartesian Therapeutics, Inc. included in its Annual Report (Form 10-K) for the year ended December 31, 2023, filed with the Securities and Exchange Commission.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Auditor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Registration Statement of Cartesian Therapeutics, Inc. (formerly known as Selecta Biosciences, Inc.) of our report dated January 23, 2024, relating to the financial statements of Cartesian Therapeutics, Inc., appearing in Cartesian Therapeutics, Inc.’s (formerly known as Selecta Biosciences, Inc.) Current Report on Form 8-K/A filed January 23,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Potomac, Maryland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1240" w:type="dxa"/>
            <w:vAlign w:val="bottom"/>
            <w:tcBorders>
              <w:top w:val="single" w:sz="8" w:color="auto"/>
              <w:left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80" w:type="dxa"/>
            <w:vAlign w:val="bottom"/>
            <w:tcBorders>
              <w:top w:val="single" w:sz="8" w:color="auto"/>
              <w:right w:val="single" w:sz="8" w:color="auto"/>
            </w:tcBorders>
          </w:tcPr>
          <w:p>
            <w:pPr>
              <w:spacing w:after="0"/>
              <w:rPr>
                <w:sz w:val="19"/>
                <w:szCs w:val="19"/>
                <w:color w:val="auto"/>
              </w:rPr>
            </w:pPr>
          </w:p>
        </w:tc>
        <w:tc>
          <w:tcPr>
            <w:tcW w:w="128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80" w:type="dxa"/>
            <w:vAlign w:val="bottom"/>
          </w:tcPr>
          <w:p>
            <w:pPr>
              <w:spacing w:after="0"/>
              <w:rPr>
                <w:sz w:val="18"/>
                <w:szCs w:val="18"/>
                <w:color w:val="auto"/>
              </w:rPr>
            </w:pPr>
          </w:p>
        </w:tc>
        <w:tc>
          <w:tcPr>
            <w:tcW w:w="142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Fee</w:t>
            </w:r>
          </w:p>
        </w:tc>
        <w:tc>
          <w:tcPr>
            <w:tcW w:w="1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18"/>
                <w:szCs w:val="18"/>
                <w:color w:val="auto"/>
              </w:rPr>
            </w:pPr>
          </w:p>
        </w:tc>
        <w:tc>
          <w:tcPr>
            <w:tcW w:w="142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124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8"/>
                <w:szCs w:val="18"/>
                <w:color w:val="auto"/>
              </w:rPr>
            </w:pPr>
          </w:p>
        </w:tc>
        <w:tc>
          <w:tcPr>
            <w:tcW w:w="10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180" w:type="dxa"/>
            <w:vAlign w:val="bottom"/>
          </w:tcPr>
          <w:p>
            <w:pPr>
              <w:spacing w:after="0"/>
              <w:rPr>
                <w:sz w:val="18"/>
                <w:szCs w:val="18"/>
                <w:color w:val="auto"/>
              </w:rPr>
            </w:pPr>
          </w:p>
        </w:tc>
        <w:tc>
          <w:tcPr>
            <w:tcW w:w="142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3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45"/>
        </w:trPr>
        <w:tc>
          <w:tcPr>
            <w:tcW w:w="1240" w:type="dxa"/>
            <w:vAlign w:val="bottom"/>
            <w:tcBorders>
              <w:left w:val="single" w:sz="8" w:color="auto"/>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8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Fee</w:t>
            </w:r>
          </w:p>
        </w:tc>
      </w:tr>
      <w:tr>
        <w:trPr>
          <w:trHeight w:val="198"/>
        </w:trPr>
        <w:tc>
          <w:tcPr>
            <w:tcW w:w="1240" w:type="dxa"/>
            <w:vAlign w:val="bottom"/>
            <w:tcBorders>
              <w:left w:val="single" w:sz="8" w:color="auto"/>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118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Common</w:t>
            </w:r>
          </w:p>
        </w:tc>
        <w:tc>
          <w:tcPr>
            <w:tcW w:w="108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tcBorders>
              <w:right w:val="single" w:sz="8" w:color="auto"/>
            </w:tcBorders>
            <w:shd w:val="clear" w:color="auto" w:fill="CCEEFF"/>
          </w:tcPr>
          <w:p>
            <w:pPr>
              <w:spacing w:after="0"/>
              <w:rPr>
                <w:sz w:val="17"/>
                <w:szCs w:val="17"/>
                <w:color w:val="auto"/>
              </w:rPr>
            </w:pPr>
          </w:p>
        </w:tc>
        <w:tc>
          <w:tcPr>
            <w:tcW w:w="12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r>
      <w:tr>
        <w:trPr>
          <w:trHeight w:val="216"/>
        </w:trPr>
        <w:tc>
          <w:tcPr>
            <w:tcW w:w="1240" w:type="dxa"/>
            <w:vAlign w:val="bottom"/>
            <w:tcBorders>
              <w:left w:val="single" w:sz="8" w:color="auto"/>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stock,</w:t>
            </w:r>
          </w:p>
        </w:tc>
        <w:tc>
          <w:tcPr>
            <w:tcW w:w="108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r>
      <w:tr>
        <w:trPr>
          <w:trHeight w:val="216"/>
        </w:trPr>
        <w:tc>
          <w:tcPr>
            <w:tcW w:w="1240" w:type="dxa"/>
            <w:vAlign w:val="bottom"/>
            <w:tcBorders>
              <w:left w:val="single" w:sz="8" w:color="auto"/>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108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r>
      <w:tr>
        <w:trPr>
          <w:trHeight w:val="216"/>
        </w:trPr>
        <w:tc>
          <w:tcPr>
            <w:tcW w:w="1240" w:type="dxa"/>
            <w:vAlign w:val="bottom"/>
            <w:tcBorders>
              <w:left w:val="single" w:sz="8" w:color="auto"/>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$0.0001 per</w:t>
            </w:r>
          </w:p>
        </w:tc>
        <w:tc>
          <w:tcPr>
            <w:tcW w:w="108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r>
      <w:tr>
        <w:trPr>
          <w:trHeight w:val="241"/>
        </w:trPr>
        <w:tc>
          <w:tcPr>
            <w:tcW w:w="12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Fees to Be Paid</w:t>
            </w:r>
          </w:p>
        </w:tc>
        <w:tc>
          <w:tcPr>
            <w:tcW w:w="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share(1)</w:t>
            </w:r>
          </w:p>
        </w:tc>
        <w:tc>
          <w:tcPr>
            <w:tcW w:w="108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Rule 457(c)</w:t>
            </w:r>
          </w:p>
        </w:tc>
        <w:tc>
          <w:tcPr>
            <w:tcW w:w="18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6,251,150(2)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130,586,523.50(3)</w:t>
            </w:r>
          </w:p>
        </w:tc>
        <w:tc>
          <w:tcPr>
            <w:tcW w:w="12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0.0001531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19,992.80</w:t>
            </w:r>
          </w:p>
        </w:tc>
      </w:tr>
      <w:tr>
        <w:trPr>
          <w:trHeight w:val="198"/>
        </w:trPr>
        <w:tc>
          <w:tcPr>
            <w:tcW w:w="124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Fees</w:t>
            </w:r>
          </w:p>
        </w:tc>
        <w:tc>
          <w:tcPr>
            <w:tcW w:w="8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r>
      <w:tr>
        <w:trPr>
          <w:trHeight w:val="216"/>
        </w:trPr>
        <w:tc>
          <w:tcPr>
            <w:tcW w:w="1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Previously</w:t>
            </w: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41"/>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8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124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CCEEFF"/>
            </w:tcBorders>
            <w:shd w:val="clear" w:color="auto" w:fill="CCEEFF"/>
          </w:tcPr>
          <w:p>
            <w:pPr>
              <w:spacing w:after="0"/>
              <w:rPr>
                <w:sz w:val="19"/>
                <w:szCs w:val="19"/>
                <w:color w:val="auto"/>
              </w:rPr>
            </w:pPr>
          </w:p>
        </w:tc>
        <w:tc>
          <w:tcPr>
            <w:tcW w:w="1180" w:type="dxa"/>
            <w:vAlign w:val="bottom"/>
            <w:tcBorders>
              <w:bottom w:val="single" w:sz="8" w:color="auto"/>
              <w:right w:val="single" w:sz="8" w:color="CCEEFF"/>
            </w:tcBorders>
            <w:shd w:val="clear" w:color="auto" w:fill="CCEEFF"/>
          </w:tcPr>
          <w:p>
            <w:pPr>
              <w:spacing w:after="0"/>
              <w:rPr>
                <w:sz w:val="19"/>
                <w:szCs w:val="19"/>
                <w:color w:val="auto"/>
              </w:rPr>
            </w:pPr>
          </w:p>
        </w:tc>
        <w:tc>
          <w:tcPr>
            <w:tcW w:w="2540" w:type="dxa"/>
            <w:vAlign w:val="bottom"/>
            <w:tcBorders>
              <w:bottom w:val="single" w:sz="8" w:color="auto"/>
              <w:right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130,586,523.50</w:t>
            </w: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19,992.80</w:t>
            </w:r>
          </w:p>
        </w:tc>
      </w:tr>
      <w:tr>
        <w:trPr>
          <w:trHeight w:val="223"/>
        </w:trPr>
        <w:tc>
          <w:tcPr>
            <w:tcW w:w="1240" w:type="dxa"/>
            <w:vAlign w:val="bottom"/>
            <w:tcBorders>
              <w:left w:val="single" w:sz="8" w:color="auto"/>
              <w:bottom w:val="single" w:sz="8" w:color="auto"/>
              <w:right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540" w:type="dxa"/>
            <w:vAlign w:val="bottom"/>
            <w:tcBorders>
              <w:bottom w:val="single" w:sz="8" w:color="auto"/>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24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CCEEFF"/>
            </w:tcBorders>
            <w:shd w:val="clear" w:color="auto" w:fill="CCEEFF"/>
          </w:tcPr>
          <w:p>
            <w:pPr>
              <w:spacing w:after="0"/>
              <w:rPr>
                <w:sz w:val="19"/>
                <w:szCs w:val="19"/>
                <w:color w:val="auto"/>
              </w:rPr>
            </w:pPr>
          </w:p>
        </w:tc>
        <w:tc>
          <w:tcPr>
            <w:tcW w:w="1180" w:type="dxa"/>
            <w:vAlign w:val="bottom"/>
            <w:tcBorders>
              <w:bottom w:val="single" w:sz="8" w:color="auto"/>
              <w:right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right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240" w:type="dxa"/>
            <w:vAlign w:val="bottom"/>
            <w:tcBorders>
              <w:left w:val="single" w:sz="8" w:color="auto"/>
              <w:bottom w:val="single" w:sz="8" w:color="auto"/>
              <w:right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19,992.80</w:t>
            </w:r>
          </w:p>
        </w:tc>
      </w:tr>
    </w:tbl>
    <w:p>
      <w:pPr>
        <w:spacing w:after="0" w:line="198" w:lineRule="exact"/>
        <w:rPr>
          <w:sz w:val="20"/>
          <w:szCs w:val="20"/>
          <w:color w:val="auto"/>
        </w:rPr>
      </w:pPr>
    </w:p>
    <w:p>
      <w:pPr>
        <w:ind w:left="220" w:right="160" w:hanging="215"/>
        <w:spacing w:after="0" w:line="266" w:lineRule="auto"/>
        <w:rPr>
          <w:sz w:val="20"/>
          <w:szCs w:val="20"/>
          <w:color w:val="auto"/>
        </w:rPr>
      </w:pPr>
      <w:r>
        <w:rPr>
          <w:rFonts w:ascii="Times New Roman" w:cs="Times New Roman" w:eastAsia="Times New Roman" w:hAnsi="Times New Roman"/>
          <w:sz w:val="18"/>
          <w:szCs w:val="18"/>
          <w:color w:val="auto"/>
        </w:rPr>
        <w:t>(1)Pursuant to Rule 416 under the Securities Act of 1933, as amended (the “Securities Act”), this registration statement also covers such an indeterminate amount of shares of common stock, par value $0.0001 per share (“Common Stock”), as may become issuable to prevent dilution resulting from stock splits, stock dividends and similar events.</w:t>
      </w:r>
    </w:p>
    <w:p>
      <w:pPr>
        <w:spacing w:after="0" w:line="176" w:lineRule="exact"/>
        <w:rPr>
          <w:sz w:val="20"/>
          <w:szCs w:val="20"/>
          <w:color w:val="auto"/>
        </w:rPr>
      </w:pPr>
    </w:p>
    <w:p>
      <w:pPr>
        <w:ind w:left="220" w:right="100" w:hanging="215"/>
        <w:spacing w:after="0" w:line="282" w:lineRule="auto"/>
        <w:rPr>
          <w:sz w:val="20"/>
          <w:szCs w:val="20"/>
          <w:color w:val="auto"/>
        </w:rPr>
      </w:pPr>
      <w:r>
        <w:rPr>
          <w:rFonts w:ascii="Times New Roman" w:cs="Times New Roman" w:eastAsia="Times New Roman" w:hAnsi="Times New Roman"/>
          <w:sz w:val="18"/>
          <w:szCs w:val="18"/>
          <w:color w:val="auto"/>
        </w:rPr>
        <w:t>(2)The amount registered consists of up to (i) 5,813,223 shares of Common Stock, and (ii) 437,927 shares of Common Stock issuable upon the conversion of 437,927 shares of Series B Non-Voting Convertible Preferred Stock, par value $0.0001 per share.</w:t>
      </w:r>
    </w:p>
    <w:p>
      <w:pPr>
        <w:spacing w:after="0" w:line="162" w:lineRule="exact"/>
        <w:rPr>
          <w:sz w:val="20"/>
          <w:szCs w:val="20"/>
          <w:color w:val="auto"/>
        </w:rPr>
      </w:pPr>
    </w:p>
    <w:p>
      <w:pPr>
        <w:jc w:val="both"/>
        <w:ind w:left="220" w:right="200" w:hanging="215"/>
        <w:spacing w:after="0" w:line="266" w:lineRule="auto"/>
        <w:rPr>
          <w:sz w:val="20"/>
          <w:szCs w:val="20"/>
          <w:color w:val="auto"/>
        </w:rPr>
      </w:pPr>
      <w:r>
        <w:rPr>
          <w:rFonts w:ascii="Times New Roman" w:cs="Times New Roman" w:eastAsia="Times New Roman" w:hAnsi="Times New Roman"/>
          <w:sz w:val="18"/>
          <w:szCs w:val="18"/>
          <w:color w:val="auto"/>
        </w:rPr>
        <w:t>(3)Estimated solely for the purpose of calculating the registration fee, based on the average of the high and low prices of the shares of Common Stock on the Nasdaq Global Market on December 12, 2024 (such date being within five business days of the date that this registration statement was first filed with the Securities and Exchange Commission, in accordance with Rule 457(c)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lowerLetter"/>
      <w:start w:val="4"/>
    </w:lvl>
  </w:abstractNum>
  <w:abstractNum w:abstractNumId="7">
    <w:nsid w:val="109CF92E"/>
    <w:multiLevelType w:val="hybridMultilevel"/>
    <w:lvl w:ilvl="0">
      <w:lvlJc w:val="left"/>
      <w:lvlText w:val="(%1)"/>
      <w:numFmt w:val="lowerRoman"/>
      <w:start w:val="3"/>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4"/>
    </w:lvl>
  </w:abstractNum>
  <w:abstractNum w:abstractNumId="10">
    <w:nsid w:val="1BEFD79F"/>
    <w:multiLevelType w:val="hybridMultilevel"/>
    <w:lvl w:ilvl="0">
      <w:lvlJc w:val="left"/>
      <w:lvlText w:val="(%1)"/>
      <w:numFmt w:val="decimal"/>
      <w:start w:val="12"/>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07"/>
    </w:lvl>
  </w:abstractNum>
  <w:abstractNum w:abstractNumId="13">
    <w:nsid w:val="4E6AFB6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
    <w:nsid w:val="25E45D32"/>
    <w:multiLevelType w:val="hybridMultilevel"/>
    <w:lvl w:ilvl="0">
      <w:lvlJc w:val="left"/>
      <w:lvlText w:val="(%1)"/>
      <w:numFmt w:val="lowerRoman"/>
      <w:start w:val="3"/>
    </w:lvl>
  </w:abstractNum>
  <w:abstractNum w:abstractNumId="15">
    <w:nsid w:val="519B500D"/>
    <w:multiLevelType w:val="hybridMultilevel"/>
    <w:lvl w:ilvl="0">
      <w:lvlJc w:val="left"/>
      <w:lvlText w:val="(%1)"/>
      <w:numFmt w:val="decimal"/>
      <w:start w:val="2"/>
    </w:lvl>
  </w:abstractNum>
  <w:abstractNum w:abstractNumId="16">
    <w:nsid w:val="431BD7B7"/>
    <w:multiLevelType w:val="hybridMultilevel"/>
    <w:lvl w:ilvl="0">
      <w:lvlJc w:val="left"/>
      <w:lvlText w:val="%1"/>
      <w:numFmt w:val="lowerLetter"/>
      <w:start w:val="1"/>
    </w:lvl>
    <w:lvl w:ilvl="1">
      <w:lvlJc w:val="left"/>
      <w:lvlText w:val="(%2)"/>
      <w:numFmt w:val="decimal"/>
      <w:start w:val="5"/>
    </w:lvl>
    <w:lvl w:ilvl="2">
      <w:lvlJc w:val="left"/>
      <w:lvlText w:val="(%3)"/>
      <w:numFmt w:val="upperLetter"/>
      <w:start w:val="1"/>
    </w:lvl>
  </w:abstractNum>
  <w:abstractNum w:abstractNumId="17">
    <w:nsid w:val="3F2DBA31"/>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8">
    <w:nsid w:val="7C83E458"/>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46" Type="http://schemas.openxmlformats.org/officeDocument/2006/relationships/image" Target="media/image19.pn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 Id="rId52" Type="http://schemas.openxmlformats.org/officeDocument/2006/relationships/image" Target="media/image25.png"/><Relationship Id="rId53" Type="http://schemas.openxmlformats.org/officeDocument/2006/relationships/image" Target="media/image26.png"/><Relationship Id="rId54" Type="http://schemas.openxmlformats.org/officeDocument/2006/relationships/image" Target="media/image27.png"/><Relationship Id="rId55" Type="http://schemas.openxmlformats.org/officeDocument/2006/relationships/image" Target="media/image28.pn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7" Type="http://schemas.openxmlformats.org/officeDocument/2006/relationships/image" Target="media/image49.png"/><Relationship Id="rId79" Type="http://schemas.openxmlformats.org/officeDocument/2006/relationships/image" Target="media/image50.png"/><Relationship Id="rId82" Type="http://schemas.openxmlformats.org/officeDocument/2006/relationships/image" Target="media/image51.png"/><Relationship Id="rId85" Type="http://schemas.openxmlformats.org/officeDocument/2006/relationships/image" Target="media/image52.png"/><Relationship Id="rId88" Type="http://schemas.openxmlformats.org/officeDocument/2006/relationships/image" Target="media/image53.png"/><Relationship Id="rId91" Type="http://schemas.openxmlformats.org/officeDocument/2006/relationships/image" Target="media/image54.png"/><Relationship Id="rId92" Type="http://schemas.openxmlformats.org/officeDocument/2006/relationships/image" Target="media/image55.png"/><Relationship Id="rId93" Type="http://schemas.openxmlformats.org/officeDocument/2006/relationships/image" Target="media/image56.png"/><Relationship Id="rId94" Type="http://schemas.openxmlformats.org/officeDocument/2006/relationships/image" Target="media/image57.png"/><Relationship Id="rId95" Type="http://schemas.openxmlformats.org/officeDocument/2006/relationships/image" Target="media/image58.png"/><Relationship Id="rId96" Type="http://schemas.openxmlformats.org/officeDocument/2006/relationships/image" Target="media/image59.png"/><Relationship Id="rId97" Type="http://schemas.openxmlformats.org/officeDocument/2006/relationships/image" Target="media/image60.png"/><Relationship Id="rId98" Type="http://schemas.openxmlformats.org/officeDocument/2006/relationships/image" Target="media/image61.jpeg"/><Relationship Id="rId99" Type="http://schemas.openxmlformats.org/officeDocument/2006/relationships/image" Target="media/image62.png"/><Relationship Id="rId100" Type="http://schemas.openxmlformats.org/officeDocument/2006/relationships/image" Target="media/image63.jpeg"/><Relationship Id="rId101" Type="http://schemas.openxmlformats.org/officeDocument/2006/relationships/image" Target="media/image64.png"/><Relationship Id="rId102" Type="http://schemas.openxmlformats.org/officeDocument/2006/relationships/image" Target="media/image65.png"/><Relationship Id="rId103" Type="http://schemas.openxmlformats.org/officeDocument/2006/relationships/image" Target="media/image66.png"/><Relationship Id="rId104" Type="http://schemas.openxmlformats.org/officeDocument/2006/relationships/image" Target="media/image67.png"/><Relationship Id="rId105" Type="http://schemas.openxmlformats.org/officeDocument/2006/relationships/image" Target="media/image68.png"/><Relationship Id="rId106" Type="http://schemas.openxmlformats.org/officeDocument/2006/relationships/image" Target="media/image69.png"/><Relationship Id="rId107" Type="http://schemas.openxmlformats.org/officeDocument/2006/relationships/image" Target="media/image70.png"/><Relationship Id="rId26" Type="http://schemas.openxmlformats.org/officeDocument/2006/relationships/hyperlink" Target="https://www.sec.gov/ix?doc=/Archives/edgar/data/1453687/000145368724000036/rnac-20231231.htm" TargetMode="External"/><Relationship Id="rId27" Type="http://schemas.openxmlformats.org/officeDocument/2006/relationships/hyperlink" Target="https://www.sec.gov/ix?doc=/Archives/edgar/data/1453687/000145368724000076/rnac-20240426.htm" TargetMode="External"/><Relationship Id="rId28" Type="http://schemas.openxmlformats.org/officeDocument/2006/relationships/hyperlink" Target="https://www.sec.gov/ix?doc=/Archives/edgar/data/1453687/000145368724000082/rnac-20240331.htm" TargetMode="External"/><Relationship Id="rId29" Type="http://schemas.openxmlformats.org/officeDocument/2006/relationships/hyperlink" Target="https://www.sec.gov/ix?doc=/Archives/edgar/data/1453687/000145368724000102/rnac-20240630.htm" TargetMode="External"/><Relationship Id="rId30" Type="http://schemas.openxmlformats.org/officeDocument/2006/relationships/hyperlink" Target="https://www.sec.gov/ix?doc=/Archives/edgar/data/1453687/000145368724000124/rnac-20240930.htm" TargetMode="External"/><Relationship Id="rId31" Type="http://schemas.openxmlformats.org/officeDocument/2006/relationships/hyperlink" Target="https://www.sec.gov/ix?doc=/Archives/edgar/data/1453687/000145368724000030/rnac-20240117.htm" TargetMode="External"/><Relationship Id="rId32" Type="http://schemas.openxmlformats.org/officeDocument/2006/relationships/hyperlink" Target="https://www.sec.gov/ix?doc=/Archives/edgar/data/1453687/000114036124003407/ny20014884x4_8ka.htm" TargetMode="External"/><Relationship Id="rId33" Type="http://schemas.openxmlformats.org/officeDocument/2006/relationships/hyperlink" Target="https://www.sec.gov/ix?doc=/Archives/edgar/data/1453687/000114036124011282/ef20023144_8k.htm" TargetMode="External"/><Relationship Id="rId34" Type="http://schemas.openxmlformats.org/officeDocument/2006/relationships/hyperlink" Target="https://www.sec.gov/ix?doc=/Archives/edgar/data/1453687/000145368724000039/rnac-20240308.htm" TargetMode="External"/><Relationship Id="rId35" Type="http://schemas.openxmlformats.org/officeDocument/2006/relationships/hyperlink" Target="https://www.sec.gov/ix?doc=/Archives/edgar/data/1453687/000145368724000048/rnac-20240326.htm" TargetMode="External"/><Relationship Id="rId36" Type="http://schemas.openxmlformats.org/officeDocument/2006/relationships/hyperlink" Target="https://www.sec.gov/ix?doc=/Archives/edgar/data/1453687/000145368724000052/rnac-20240326.htm" TargetMode="External"/><Relationship Id="rId37" Type="http://schemas.openxmlformats.org/officeDocument/2006/relationships/hyperlink" Target="https://www.sec.gov/ix?doc=/Archives/edgar/data/1453687/000145368724000055/rnac-20240408.htm" TargetMode="External"/><Relationship Id="rId38" Type="http://schemas.openxmlformats.org/officeDocument/2006/relationships/hyperlink" Target="https://www.sec.gov/ix?doc=/Archives/edgar/data/1453687/000145368724000072/rnac-20240419.htm" TargetMode="External"/><Relationship Id="rId39" Type="http://schemas.openxmlformats.org/officeDocument/2006/relationships/hyperlink" Target="https://www.sec.gov/ix?doc=/Archives/edgar/data/1453687/000145368724000084/rnac-20240522.htm" TargetMode="External"/><Relationship Id="rId40" Type="http://schemas.openxmlformats.org/officeDocument/2006/relationships/hyperlink" Target="https://www.sec.gov/ix?doc=/Archives/edgar/data/1453687/000145368724000088/rnac-20240614.htm" TargetMode="External"/><Relationship Id="rId41" Type="http://schemas.openxmlformats.org/officeDocument/2006/relationships/hyperlink" Target="https://www.sec.gov/ix?doc=/Archives/edgar/data/1453687/000114036124032080/ef20031962_8k.htm" TargetMode="External"/><Relationship Id="rId42" Type="http://schemas.openxmlformats.org/officeDocument/2006/relationships/hyperlink" Target="https://www.sec.gov/ix?doc=/Archives/edgar/data/1453687/000145368724000108/rnac-20240920.htm" TargetMode="External"/><Relationship Id="rId43" Type="http://schemas.openxmlformats.org/officeDocument/2006/relationships/hyperlink" Target="https://www.sec.gov/ix?doc=/Archives/edgar/data/1453687/000145368724000110/rnac-20240925.htm" TargetMode="External"/><Relationship Id="rId44" Type="http://schemas.openxmlformats.org/officeDocument/2006/relationships/hyperlink" Target="https://www.sec.gov/ix?doc=/Archives/edgar/data/1453687/000145368724000143/rnac-20241203.htm" TargetMode="External"/><Relationship Id="rId45" Type="http://schemas.openxmlformats.org/officeDocument/2006/relationships/hyperlink" Target="https://www.sec.gov/Archives/edgar/data/1453687/000145368724000036/exhibit414descriptionofsec.htm" TargetMode="External"/><Relationship Id="rId76" Type="http://schemas.openxmlformats.org/officeDocument/2006/relationships/hyperlink" Target="https://www.sec.gov/Archives/edgar/data/1453687/000110465916129891/a16-14002_1ex3d1.htm" TargetMode="External"/><Relationship Id="rId78" Type="http://schemas.openxmlformats.org/officeDocument/2006/relationships/hyperlink" Target="https://www.sec.gov/Archives/edgar/data/1453687/000145368722000109/exhibit31_charteramendment.htm" TargetMode="External"/><Relationship Id="rId80" Type="http://schemas.openxmlformats.org/officeDocument/2006/relationships/hyperlink" Target="https://www.sec.gov/Archives/edgar/data/1453687/000119312523275461/d869185dex33.htm" TargetMode="External"/><Relationship Id="rId81" Type="http://schemas.openxmlformats.org/officeDocument/2006/relationships/hyperlink" Target="https://www.sec.gov/Archives/edgar/data/1453687/000145368724000048/exhibit32certificateofamen.htm" TargetMode="External"/><Relationship Id="rId83" Type="http://schemas.openxmlformats.org/officeDocument/2006/relationships/hyperlink" Target="https://www.sec.gov/Archives/edgar/data/1453687/000119312523276086/d549858dex32.htm" TargetMode="External"/><Relationship Id="rId84" Type="http://schemas.openxmlformats.org/officeDocument/2006/relationships/hyperlink" Target="https://www.sec.gov/Archives/edgar/data/1453687/000119312523275461/d869185dex34.htm" TargetMode="External"/><Relationship Id="rId86" Type="http://schemas.openxmlformats.org/officeDocument/2006/relationships/hyperlink" Target="https://www.sec.gov/Archives/edgar/data/1453687/000145368724000048/exhibit31certificateofamen.htm" TargetMode="External"/><Relationship Id="rId87" Type="http://schemas.openxmlformats.org/officeDocument/2006/relationships/hyperlink" Target="https://www.sec.gov/Archives/edgar/data/1453687/000114036124032080/ef20031962_ex3-1.htm" TargetMode="External"/><Relationship Id="rId89" Type="http://schemas.openxmlformats.org/officeDocument/2006/relationships/hyperlink" Target="https://www.sec.gov/Archives/edgar/data/1453687/000104746916013398/a2228672zex-4_2.htm" TargetMode="External"/><Relationship Id="rId90" Type="http://schemas.openxmlformats.org/officeDocument/2006/relationships/hyperlink" Target="https://www.sec.gov/Archives/edgar/data/1453687/000114036124032080/ef20031962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2024-12-13T15:17:19Z</dcterms:created>
  <dcterms:modified xsi:type="dcterms:W3CDTF">2024-12-13T15:17:19Z</dcterms:modified>
</cp:coreProperties>
</file>