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CURRENT REPORT</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Pursuant to Section 13 or 15(d) of</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Date of Report (Date of earliest event reported): September 30, 2019</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SELECTA BIOSCIENCES,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80"/>
          </w:cols>
          <w:pgMar w:left="220" w:top="193" w:right="29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760"/>
        <w:spacing w:after="0"/>
        <w:rPr>
          <w:sz w:val="20"/>
          <w:szCs w:val="20"/>
          <w:color w:val="auto"/>
        </w:rPr>
      </w:pPr>
      <w:r>
        <w:rPr>
          <w:rFonts w:ascii="Arial" w:cs="Arial" w:eastAsia="Arial" w:hAnsi="Arial"/>
          <w:sz w:val="10"/>
          <w:szCs w:val="10"/>
          <w:b w:val="1"/>
          <w:bCs w:val="1"/>
          <w:color w:val="auto"/>
        </w:rPr>
        <w:t>001-37798</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26-1622110</w:t>
      </w:r>
    </w:p>
    <w:p>
      <w:pPr>
        <w:spacing w:after="0" w:line="69" w:lineRule="exact"/>
        <w:rPr>
          <w:sz w:val="24"/>
          <w:szCs w:val="24"/>
          <w:color w:val="auto"/>
        </w:rPr>
      </w:pPr>
    </w:p>
    <w:p>
      <w:pPr>
        <w:sectPr>
          <w:pgSz w:w="11900" w:h="16838" w:orient="portrait"/>
          <w:cols w:equalWidth="0" w:num="3">
            <w:col w:w="4700" w:space="720"/>
            <w:col w:w="3280" w:space="720"/>
            <w:col w:w="1960"/>
          </w:cols>
          <w:pgMar w:left="220" w:top="193" w:right="299" w:bottom="1440" w:gutter="0" w:footer="0" w:header="0"/>
          <w:type w:val="continuous"/>
        </w:sectPr>
      </w:pPr>
    </w:p>
    <w:p>
      <w:pPr>
        <w:jc w:val="center"/>
        <w:ind w:right="1220"/>
        <w:spacing w:after="0"/>
        <w:rPr>
          <w:sz w:val="20"/>
          <w:szCs w:val="20"/>
          <w:color w:val="auto"/>
        </w:rPr>
      </w:pPr>
      <w:r>
        <w:rPr>
          <w:rFonts w:ascii="Arial" w:cs="Arial" w:eastAsia="Arial" w:hAnsi="Arial"/>
          <w:sz w:val="11"/>
          <w:szCs w:val="11"/>
          <w:color w:val="auto"/>
        </w:rPr>
        <w:t>(State or other jurisdiction</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240"/>
        <w:spacing w:after="0"/>
        <w:rPr>
          <w:sz w:val="20"/>
          <w:szCs w:val="20"/>
          <w:color w:val="auto"/>
        </w:rPr>
      </w:pPr>
      <w:r>
        <w:rPr>
          <w:rFonts w:ascii="Arial" w:cs="Arial" w:eastAsia="Arial" w:hAnsi="Arial"/>
          <w:sz w:val="11"/>
          <w:szCs w:val="11"/>
          <w:color w:val="auto"/>
        </w:rPr>
        <w:t>Identification No.)</w:t>
      </w:r>
    </w:p>
    <w:p>
      <w:pPr>
        <w:spacing w:after="0" w:line="103" w:lineRule="exact"/>
        <w:rPr>
          <w:sz w:val="24"/>
          <w:szCs w:val="24"/>
          <w:color w:val="auto"/>
        </w:rPr>
      </w:pPr>
    </w:p>
    <w:p>
      <w:pPr>
        <w:sectPr>
          <w:pgSz w:w="11900" w:h="16838" w:orient="portrait"/>
          <w:cols w:equalWidth="0" w:num="3">
            <w:col w:w="4640" w:space="720"/>
            <w:col w:w="3180" w:space="720"/>
            <w:col w:w="2120"/>
          </w:cols>
          <w:pgMar w:left="220" w:top="193" w:right="299" w:bottom="1440" w:gutter="0" w:footer="0" w:header="0"/>
          <w:type w:val="continuous"/>
        </w:sectPr>
      </w:pPr>
    </w:p>
    <w:p>
      <w:pPr>
        <w:ind w:left="5300"/>
        <w:spacing w:after="0"/>
        <w:rPr>
          <w:sz w:val="20"/>
          <w:szCs w:val="20"/>
          <w:color w:val="auto"/>
        </w:rPr>
      </w:pPr>
      <w:r>
        <w:rPr>
          <w:rFonts w:ascii="Arial" w:cs="Arial" w:eastAsia="Arial" w:hAnsi="Arial"/>
          <w:sz w:val="12"/>
          <w:szCs w:val="12"/>
          <w:b w:val="1"/>
          <w:bCs w:val="1"/>
          <w:color w:val="auto"/>
        </w:rPr>
        <w:t>480 Arsenal Way</w:t>
      </w:r>
    </w:p>
    <w:p>
      <w:pPr>
        <w:spacing w:after="0" w:line="19" w:lineRule="exact"/>
        <w:rPr>
          <w:sz w:val="24"/>
          <w:szCs w:val="24"/>
          <w:color w:val="auto"/>
        </w:rPr>
      </w:pPr>
    </w:p>
    <w:p>
      <w:pPr>
        <w:ind w:left="5160"/>
        <w:spacing w:after="0"/>
        <w:rPr>
          <w:sz w:val="20"/>
          <w:szCs w:val="20"/>
          <w:color w:val="auto"/>
        </w:rPr>
      </w:pPr>
      <w:r>
        <w:rPr>
          <w:rFonts w:ascii="Arial" w:cs="Arial" w:eastAsia="Arial" w:hAnsi="Arial"/>
          <w:sz w:val="12"/>
          <w:szCs w:val="12"/>
          <w:b w:val="1"/>
          <w:bCs w:val="1"/>
          <w:color w:val="auto"/>
        </w:rPr>
        <w:t>Watertown, MA 02472</w:t>
      </w:r>
    </w:p>
    <w:p>
      <w:pPr>
        <w:spacing w:after="0" w:line="6" w:lineRule="exact"/>
        <w:rPr>
          <w:sz w:val="24"/>
          <w:szCs w:val="24"/>
          <w:color w:val="auto"/>
        </w:rPr>
      </w:pPr>
    </w:p>
    <w:p>
      <w:pPr>
        <w:ind w:left="4600"/>
        <w:spacing w:after="0"/>
        <w:rPr>
          <w:sz w:val="20"/>
          <w:szCs w:val="20"/>
          <w:color w:val="auto"/>
        </w:rPr>
      </w:pPr>
      <w:r>
        <w:rPr>
          <w:rFonts w:ascii="Arial" w:cs="Arial" w:eastAsia="Arial" w:hAnsi="Arial"/>
          <w:sz w:val="11"/>
          <w:szCs w:val="11"/>
          <w:color w:val="auto"/>
        </w:rPr>
        <w:t>(Address of principal executive offices) (Zip Code)</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(617) 923-1400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80"/>
          </w:cols>
          <w:pgMar w:left="220" w:top="193" w:right="299" w:bottom="1440" w:gutter="0" w:footer="0" w:header="0"/>
          <w:type w:val="continuous"/>
        </w:sectPr>
      </w:pPr>
    </w:p>
    <w:p>
      <w:pPr>
        <w:spacing w:after="0" w:line="164"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380"/>
          </w:cols>
          <w:pgMar w:left="220" w:top="193" w:right="299" w:bottom="1440" w:gutter="0" w:footer="0" w:header="0"/>
          <w:type w:val="continuous"/>
        </w:sectPr>
      </w:pPr>
    </w:p>
    <w:p>
      <w:pPr>
        <w:spacing w:after="0" w:line="127" w:lineRule="exact"/>
        <w:rPr>
          <w:sz w:val="24"/>
          <w:szCs w:val="24"/>
          <w:color w:val="auto"/>
        </w:rPr>
      </w:pPr>
    </w:p>
    <w:p>
      <w:pPr>
        <w:jc w:val="center"/>
        <w:ind w:left="60"/>
        <w:spacing w:after="0"/>
        <w:rPr>
          <w:sz w:val="20"/>
          <w:szCs w:val="20"/>
          <w:color w:val="auto"/>
        </w:rPr>
      </w:pPr>
      <w:r>
        <w:rPr>
          <w:rFonts w:ascii="Arial" w:cs="Arial" w:eastAsia="Arial" w:hAnsi="Arial"/>
          <w:sz w:val="10"/>
          <w:szCs w:val="10"/>
          <w:color w:val="auto"/>
        </w:rPr>
        <w:t>Title of each class</w:t>
      </w:r>
    </w:p>
    <w:p>
      <w:pPr>
        <w:spacing w:after="0" w:line="65" w:lineRule="exact"/>
        <w:rPr>
          <w:sz w:val="24"/>
          <w:szCs w:val="24"/>
          <w:color w:val="auto"/>
        </w:rPr>
      </w:pPr>
    </w:p>
    <w:p>
      <w:pPr>
        <w:jc w:val="center"/>
        <w:ind w:left="60"/>
        <w:spacing w:after="0"/>
        <w:rPr>
          <w:sz w:val="20"/>
          <w:szCs w:val="20"/>
          <w:color w:val="auto"/>
        </w:rPr>
      </w:pPr>
      <w:r>
        <w:rPr>
          <w:rFonts w:ascii="Arial" w:cs="Arial" w:eastAsia="Arial" w:hAnsi="Arial"/>
          <w:sz w:val="12"/>
          <w:szCs w:val="12"/>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Arial" w:cs="Arial" w:eastAsia="Arial" w:hAnsi="Arial"/>
          <w:sz w:val="11"/>
          <w:szCs w:val="11"/>
          <w:color w:val="auto"/>
        </w:rPr>
        <w:t>Trading Symbol(s)</w:t>
      </w:r>
    </w:p>
    <w:p>
      <w:pPr>
        <w:spacing w:after="0" w:line="54" w:lineRule="exact"/>
        <w:rPr>
          <w:sz w:val="24"/>
          <w:szCs w:val="24"/>
          <w:color w:val="auto"/>
        </w:rPr>
      </w:pPr>
    </w:p>
    <w:p>
      <w:pPr>
        <w:jc w:val="center"/>
        <w:ind w:right="1200"/>
        <w:spacing w:after="0"/>
        <w:rPr>
          <w:sz w:val="20"/>
          <w:szCs w:val="20"/>
          <w:color w:val="auto"/>
        </w:rPr>
      </w:pPr>
      <w:r>
        <w:rPr>
          <w:rFonts w:ascii="Arial" w:cs="Arial" w:eastAsia="Arial" w:hAnsi="Arial"/>
          <w:sz w:val="12"/>
          <w:szCs w:val="12"/>
          <w:color w:val="auto"/>
        </w:rPr>
        <w:t>SELB</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Arial" w:cs="Arial" w:eastAsia="Arial" w:hAnsi="Arial"/>
          <w:sz w:val="10"/>
          <w:szCs w:val="10"/>
          <w:color w:val="auto"/>
        </w:rPr>
        <w:t>Name of each exchange on which registered</w:t>
      </w:r>
    </w:p>
    <w:p>
      <w:pPr>
        <w:spacing w:after="0" w:line="65" w:lineRule="exact"/>
        <w:rPr>
          <w:sz w:val="24"/>
          <w:szCs w:val="24"/>
          <w:color w:val="auto"/>
        </w:rPr>
      </w:pPr>
    </w:p>
    <w:p>
      <w:pPr>
        <w:jc w:val="center"/>
        <w:ind w:right="1200"/>
        <w:spacing w:after="0"/>
        <w:rPr>
          <w:sz w:val="20"/>
          <w:szCs w:val="20"/>
          <w:color w:val="auto"/>
        </w:rPr>
      </w:pPr>
      <w:r>
        <w:rPr>
          <w:rFonts w:ascii="Arial" w:cs="Arial" w:eastAsia="Arial" w:hAnsi="Arial"/>
          <w:sz w:val="12"/>
          <w:szCs w:val="12"/>
          <w:color w:val="auto"/>
        </w:rPr>
        <w:t>Nasdaq Global Market</w:t>
      </w:r>
    </w:p>
    <w:p>
      <w:pPr>
        <w:spacing w:after="0" w:line="42" w:lineRule="exact"/>
        <w:rPr>
          <w:sz w:val="24"/>
          <w:szCs w:val="24"/>
          <w:color w:val="auto"/>
        </w:rPr>
      </w:pPr>
    </w:p>
    <w:p>
      <w:pPr>
        <w:sectPr>
          <w:pgSz w:w="11900" w:h="16838" w:orient="portrait"/>
          <w:cols w:equalWidth="0" w:num="3">
            <w:col w:w="4520" w:space="720"/>
            <w:col w:w="2100" w:space="720"/>
            <w:col w:w="3320"/>
          </w:cols>
          <w:pgMar w:left="220" w:top="193" w:right="299" w:bottom="1440" w:gutter="0" w:footer="0" w:header="0"/>
          <w:type w:val="continuous"/>
        </w:sectPr>
      </w:pPr>
    </w:p>
    <w:p>
      <w:pPr>
        <w:ind w:left="1620"/>
        <w:spacing w:after="0"/>
        <w:rPr>
          <w:sz w:val="20"/>
          <w:szCs w:val="20"/>
          <w:color w:val="auto"/>
        </w:rPr>
      </w:pPr>
      <w:r>
        <w:rPr>
          <w:rFonts w:ascii="Arial" w:cs="Arial" w:eastAsia="Arial" w:hAnsi="Arial"/>
          <w:sz w:val="10"/>
          <w:szCs w:val="10"/>
          <w:color w:val="auto"/>
        </w:rPr>
        <w:t>$0.0001 par value per share</w:t>
      </w:r>
    </w:p>
    <w:p>
      <w:pPr>
        <w:sectPr>
          <w:pgSz w:w="11900" w:h="16838" w:orient="portrait"/>
          <w:cols w:equalWidth="0" w:num="1">
            <w:col w:w="11380"/>
          </w:cols>
          <w:pgMar w:left="220" w:top="193" w:right="299" w:bottom="1440" w:gutter="0" w:footer="0" w:header="0"/>
          <w:type w:val="continuous"/>
        </w:sectPr>
      </w:pPr>
    </w:p>
    <w:p>
      <w:pPr>
        <w:spacing w:after="0" w:line="128" w:lineRule="exact"/>
        <w:rPr>
          <w:sz w:val="24"/>
          <w:szCs w:val="24"/>
          <w:color w:val="auto"/>
        </w:rPr>
      </w:pPr>
    </w:p>
    <w:p>
      <w:pPr>
        <w:ind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19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244"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92"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 Exhibits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relating to Item 7.01 shall be deemed to be furnished, and not filed.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gridSpan w:val="4"/>
          </w:tcPr>
          <w:p>
            <w:pPr>
              <w:ind w:left="2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480" w:type="dxa"/>
            <w:vAlign w:val="bottom"/>
          </w:tcPr>
          <w:p>
            <w:pPr>
              <w:spacing w:after="0"/>
              <w:rPr>
                <w:sz w:val="10"/>
                <w:szCs w:val="10"/>
                <w:color w:val="auto"/>
              </w:rPr>
            </w:pPr>
          </w:p>
        </w:tc>
      </w:tr>
      <w:tr>
        <w:trPr>
          <w:trHeight w:val="146"/>
        </w:trPr>
        <w:tc>
          <w:tcPr>
            <w:tcW w:w="2280" w:type="dxa"/>
            <w:vAlign w:val="bottom"/>
            <w:gridSpan w:val="4"/>
          </w:tcPr>
          <w:p>
            <w:pPr>
              <w:ind w:left="20"/>
              <w:spacing w:after="0"/>
              <w:rPr>
                <w:sz w:val="20"/>
                <w:szCs w:val="20"/>
                <w:color w:val="auto"/>
              </w:rPr>
            </w:pPr>
            <w:r>
              <w:rPr>
                <w:rFonts w:ascii="Arial" w:cs="Arial" w:eastAsia="Arial" w:hAnsi="Arial"/>
                <w:sz w:val="10"/>
                <w:szCs w:val="10"/>
                <w:b w:val="1"/>
                <w:bCs w:val="1"/>
                <w:color w:val="auto"/>
              </w:rPr>
              <w:t>No.</w:t>
            </w:r>
          </w:p>
        </w:tc>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80" w:type="dxa"/>
            <w:vAlign w:val="bottom"/>
          </w:tcPr>
          <w:p>
            <w:pPr>
              <w:ind w:left="640"/>
              <w:spacing w:after="0"/>
              <w:rPr>
                <w:sz w:val="20"/>
                <w:szCs w:val="20"/>
                <w:color w:val="auto"/>
              </w:rPr>
            </w:pPr>
            <w:r>
              <w:rPr>
                <w:rFonts w:ascii="Arial" w:cs="Arial" w:eastAsia="Arial" w:hAnsi="Arial"/>
                <w:sz w:val="10"/>
                <w:szCs w:val="10"/>
                <w:b w:val="1"/>
                <w:bCs w:val="1"/>
                <w:color w:val="auto"/>
              </w:rPr>
              <w:t>Description</w:t>
            </w:r>
          </w:p>
        </w:tc>
      </w:tr>
      <w:tr>
        <w:trPr>
          <w:trHeight w:val="128"/>
        </w:trPr>
        <w:tc>
          <w:tcPr>
            <w:tcW w:w="900" w:type="dxa"/>
            <w:vAlign w:val="bottom"/>
            <w:tcBorders>
              <w:top w:val="single" w:sz="8" w:color="auto"/>
            </w:tcBorders>
            <w:gridSpan w:val="2"/>
          </w:tcPr>
          <w:p>
            <w:pPr>
              <w:jc w:val="right"/>
              <w:spacing w:after="0" w:line="128" w:lineRule="exact"/>
              <w:rPr>
                <w:rFonts w:ascii="Arial" w:cs="Arial" w:eastAsia="Arial" w:hAnsi="Arial"/>
                <w:sz w:val="12"/>
                <w:szCs w:val="12"/>
                <w:color w:val="0000FF"/>
              </w:rPr>
            </w:pPr>
            <w:hyperlink w:anchor="page4">
              <w:r>
                <w:rPr>
                  <w:rFonts w:ascii="Arial" w:cs="Arial" w:eastAsia="Arial" w:hAnsi="Arial"/>
                  <w:sz w:val="12"/>
                  <w:szCs w:val="12"/>
                  <w:color w:val="0000FF"/>
                </w:rPr>
                <w:t>99.</w:t>
              </w:r>
              <w:r>
                <w:rPr>
                  <w:rFonts w:ascii="Arial" w:cs="Arial" w:eastAsia="Arial" w:hAnsi="Arial"/>
                  <w:sz w:val="12"/>
                  <w:szCs w:val="12"/>
                  <w:u w:val="single" w:color="auto"/>
                  <w:color w:val="0000FF"/>
                </w:rPr>
                <w:t>1</w:t>
              </w:r>
            </w:hyperlink>
          </w:p>
        </w:tc>
        <w:tc>
          <w:tcPr>
            <w:tcW w:w="7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0" w:type="dxa"/>
            <w:vAlign w:val="bottom"/>
            <w:tcBorders>
              <w:top w:val="single" w:sz="8" w:color="auto"/>
            </w:tcBorders>
            <w:gridSpan w:val="3"/>
          </w:tcPr>
          <w:p>
            <w:pPr>
              <w:ind w:left="20"/>
              <w:spacing w:after="0" w:line="128" w:lineRule="exact"/>
              <w:rPr>
                <w:rFonts w:ascii="Arial" w:cs="Arial" w:eastAsia="Arial" w:hAnsi="Arial"/>
                <w:sz w:val="12"/>
                <w:szCs w:val="12"/>
                <w:color w:val="0000FF"/>
              </w:rPr>
            </w:pPr>
            <w:hyperlink w:anchor="page4">
              <w:r>
                <w:rPr>
                  <w:rFonts w:ascii="Arial" w:cs="Arial" w:eastAsia="Arial" w:hAnsi="Arial"/>
                  <w:sz w:val="12"/>
                  <w:szCs w:val="12"/>
                  <w:color w:val="0000FF"/>
                </w:rPr>
                <w:t>Corporate slide presentation of Selecta Biosciences, Inc. dated October 2019</w:t>
              </w:r>
            </w:hyperlink>
          </w:p>
        </w:tc>
      </w:tr>
      <w:tr>
        <w:trPr>
          <w:trHeight w:val="20"/>
        </w:trPr>
        <w:tc>
          <w:tcPr>
            <w:tcW w:w="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ectPr>
          <w:pgSz w:w="11900" w:h="16838" w:orient="portrait"/>
          <w:cols w:equalWidth="0" w:num="1">
            <w:col w:w="11480"/>
          </w:cols>
          <w:pgMar w:left="220" w:top="325"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440" w:type="dxa"/>
            <w:vAlign w:val="bottom"/>
          </w:tcPr>
          <w:p>
            <w:pPr>
              <w:spacing w:after="0"/>
              <w:rPr>
                <w:sz w:val="13"/>
                <w:szCs w:val="13"/>
                <w:color w:val="auto"/>
              </w:rPr>
            </w:pPr>
          </w:p>
        </w:tc>
        <w:tc>
          <w:tcPr>
            <w:tcW w:w="8020" w:type="dxa"/>
            <w:vAlign w:val="bottom"/>
            <w:gridSpan w:val="2"/>
          </w:tcPr>
          <w:p>
            <w:pPr>
              <w:ind w:left="2180"/>
              <w:spacing w:after="0"/>
              <w:rPr>
                <w:sz w:val="20"/>
                <w:szCs w:val="20"/>
                <w:color w:val="auto"/>
              </w:rPr>
            </w:pPr>
            <w:r>
              <w:rPr>
                <w:rFonts w:ascii="Arial" w:cs="Arial" w:eastAsia="Arial" w:hAnsi="Arial"/>
                <w:sz w:val="12"/>
                <w:szCs w:val="12"/>
                <w:color w:val="auto"/>
              </w:rPr>
              <w:t>SELECTA BIOSCIENCES, INC.</w:t>
            </w:r>
          </w:p>
        </w:tc>
      </w:tr>
      <w:tr>
        <w:trPr>
          <w:trHeight w:val="549"/>
        </w:trPr>
        <w:tc>
          <w:tcPr>
            <w:tcW w:w="3440" w:type="dxa"/>
            <w:vAlign w:val="bottom"/>
          </w:tcPr>
          <w:p>
            <w:pPr>
              <w:spacing w:after="0"/>
              <w:rPr>
                <w:sz w:val="20"/>
                <w:szCs w:val="20"/>
                <w:color w:val="auto"/>
              </w:rPr>
            </w:pPr>
            <w:r>
              <w:rPr>
                <w:rFonts w:ascii="Arial" w:cs="Arial" w:eastAsia="Arial" w:hAnsi="Arial"/>
                <w:sz w:val="12"/>
                <w:szCs w:val="12"/>
                <w:color w:val="auto"/>
              </w:rPr>
              <w:t>Date: September 30, 2019</w:t>
            </w:r>
          </w:p>
        </w:tc>
        <w:tc>
          <w:tcPr>
            <w:tcW w:w="2740" w:type="dxa"/>
            <w:vAlign w:val="bottom"/>
          </w:tcPr>
          <w:p>
            <w:pPr>
              <w:ind w:left="2180"/>
              <w:spacing w:after="0"/>
              <w:rPr>
                <w:sz w:val="20"/>
                <w:szCs w:val="20"/>
                <w:color w:val="auto"/>
              </w:rPr>
            </w:pPr>
            <w:r>
              <w:rPr>
                <w:rFonts w:ascii="Arial" w:cs="Arial" w:eastAsia="Arial" w:hAnsi="Arial"/>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Carsten Brunn, Ph.D.</w:t>
            </w:r>
          </w:p>
        </w:tc>
      </w:tr>
      <w:tr>
        <w:trPr>
          <w:trHeight w:val="160"/>
        </w:trPr>
        <w:tc>
          <w:tcPr>
            <w:tcW w:w="3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Carsten Brunn, Ph.D.</w:t>
            </w:r>
          </w:p>
        </w:tc>
      </w:tr>
      <w:tr>
        <w:trPr>
          <w:trHeight w:val="180"/>
        </w:trPr>
        <w:tc>
          <w:tcPr>
            <w:tcW w:w="3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480"/>
          </w:cols>
          <w:pgMar w:left="220" w:top="289"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4758055</wp:posOffset>
            </wp:positionV>
            <wp:extent cx="724471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6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451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2019-12-28T05:35:56Z</dcterms:created>
  <dcterms:modified xsi:type="dcterms:W3CDTF">2019-12-28T05:35:56Z</dcterms:modified>
</cp:coreProperties>
</file>