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SELECTA BIOSCIENCES,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2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001-37798</w:t>
            </w:r>
          </w:p>
        </w:tc>
        <w:tc>
          <w:tcPr>
            <w:tcW w:w="17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26-1622110</w:t>
            </w:r>
          </w:p>
        </w:tc>
      </w:tr>
      <w:tr>
        <w:trPr>
          <w:trHeight w:val="216"/>
        </w:trPr>
        <w:tc>
          <w:tcPr>
            <w:tcW w:w="2400" w:type="dxa"/>
            <w:vAlign w:val="bottom"/>
          </w:tcPr>
          <w:p>
            <w:pPr>
              <w:jc w:val="center"/>
              <w:ind w:right="210"/>
              <w:spacing w:after="0"/>
              <w:rPr>
                <w:sz w:val="20"/>
                <w:szCs w:val="20"/>
                <w:color w:val="auto"/>
              </w:rPr>
            </w:pPr>
            <w:r>
              <w:rPr>
                <w:rFonts w:ascii="Arial" w:cs="Arial" w:eastAsia="Arial" w:hAnsi="Arial"/>
                <w:sz w:val="18"/>
                <w:szCs w:val="18"/>
                <w:color w:val="auto"/>
                <w:w w:val="93"/>
              </w:rPr>
              <w:t>(State or other jurisdiction of</w:t>
            </w:r>
          </w:p>
        </w:tc>
        <w:tc>
          <w:tcPr>
            <w:tcW w:w="5420" w:type="dxa"/>
            <w:vAlign w:val="bottom"/>
          </w:tcPr>
          <w:p>
            <w:pPr>
              <w:jc w:val="center"/>
              <w:ind w:right="150"/>
              <w:spacing w:after="0"/>
              <w:rPr>
                <w:sz w:val="20"/>
                <w:szCs w:val="20"/>
                <w:color w:val="auto"/>
              </w:rPr>
            </w:pPr>
            <w:r>
              <w:rPr>
                <w:rFonts w:ascii="Arial" w:cs="Arial" w:eastAsia="Arial" w:hAnsi="Arial"/>
                <w:sz w:val="18"/>
                <w:szCs w:val="18"/>
                <w:color w:val="auto"/>
                <w:w w:val="93"/>
              </w:rPr>
              <w:t>(Commission</w:t>
            </w:r>
          </w:p>
        </w:tc>
        <w:tc>
          <w:tcPr>
            <w:tcW w:w="178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400" w:type="dxa"/>
            <w:vAlign w:val="bottom"/>
          </w:tcPr>
          <w:p>
            <w:pPr>
              <w:jc w:val="center"/>
              <w:ind w:right="150"/>
              <w:spacing w:after="0"/>
              <w:rPr>
                <w:sz w:val="20"/>
                <w:szCs w:val="20"/>
                <w:color w:val="auto"/>
              </w:rPr>
            </w:pPr>
            <w:r>
              <w:rPr>
                <w:rFonts w:ascii="Arial" w:cs="Arial" w:eastAsia="Arial" w:hAnsi="Arial"/>
                <w:sz w:val="18"/>
                <w:szCs w:val="18"/>
                <w:color w:val="auto"/>
                <w:w w:val="92"/>
              </w:rPr>
              <w:t>incorporation or organization)</w:t>
            </w:r>
          </w:p>
        </w:tc>
        <w:tc>
          <w:tcPr>
            <w:tcW w:w="5420" w:type="dxa"/>
            <w:vAlign w:val="bottom"/>
          </w:tcPr>
          <w:p>
            <w:pPr>
              <w:jc w:val="center"/>
              <w:ind w:right="190"/>
              <w:spacing w:after="0"/>
              <w:rPr>
                <w:sz w:val="20"/>
                <w:szCs w:val="20"/>
                <w:color w:val="auto"/>
              </w:rPr>
            </w:pPr>
            <w:r>
              <w:rPr>
                <w:rFonts w:ascii="Arial" w:cs="Arial" w:eastAsia="Arial" w:hAnsi="Arial"/>
                <w:sz w:val="18"/>
                <w:szCs w:val="18"/>
                <w:color w:val="auto"/>
                <w:w w:val="94"/>
              </w:rPr>
              <w:t>File Number)</w:t>
            </w:r>
          </w:p>
        </w:tc>
        <w:tc>
          <w:tcPr>
            <w:tcW w:w="1780" w:type="dxa"/>
            <w:vAlign w:val="bottom"/>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445"/>
        </w:trPr>
        <w:tc>
          <w:tcPr>
            <w:tcW w:w="2400" w:type="dxa"/>
            <w:vAlign w:val="bottom"/>
          </w:tcPr>
          <w:p>
            <w:pPr>
              <w:spacing w:after="0"/>
              <w:rPr>
                <w:sz w:val="24"/>
                <w:szCs w:val="24"/>
                <w:color w:val="auto"/>
              </w:rPr>
            </w:pPr>
          </w:p>
        </w:tc>
        <w:tc>
          <w:tcPr>
            <w:tcW w:w="5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78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 (Zip Code)</w:t>
            </w:r>
          </w:p>
        </w:tc>
        <w:tc>
          <w:tcPr>
            <w:tcW w:w="1780" w:type="dxa"/>
            <w:vAlign w:val="bottom"/>
          </w:tcPr>
          <w:p>
            <w:pPr>
              <w:spacing w:after="0"/>
              <w:rPr>
                <w:sz w:val="20"/>
                <w:szCs w:val="20"/>
                <w:color w:val="auto"/>
              </w:rPr>
            </w:pPr>
          </w:p>
        </w:tc>
      </w:tr>
      <w:tr>
        <w:trPr>
          <w:trHeight w:val="418"/>
        </w:trPr>
        <w:tc>
          <w:tcPr>
            <w:tcW w:w="2400" w:type="dxa"/>
            <w:vAlign w:val="bottom"/>
          </w:tcPr>
          <w:p>
            <w:pPr>
              <w:spacing w:after="0"/>
              <w:rPr>
                <w:sz w:val="24"/>
                <w:szCs w:val="24"/>
                <w:color w:val="auto"/>
              </w:rPr>
            </w:pPr>
          </w:p>
        </w:tc>
        <w:tc>
          <w:tcPr>
            <w:tcW w:w="5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(617) 923-1400</w:t>
            </w:r>
          </w:p>
        </w:tc>
        <w:tc>
          <w:tcPr>
            <w:tcW w:w="178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89"/>
              </w:rPr>
              <w:t>(Registrant’s telephone number, include area code)</w:t>
            </w:r>
          </w:p>
        </w:tc>
        <w:tc>
          <w:tcPr>
            <w:tcW w:w="1780" w:type="dxa"/>
            <w:vAlign w:val="bottom"/>
          </w:tcPr>
          <w:p>
            <w:pPr>
              <w:spacing w:after="0"/>
              <w:rPr>
                <w:sz w:val="20"/>
                <w:szCs w:val="20"/>
                <w:color w:val="auto"/>
              </w:rPr>
            </w:pPr>
          </w:p>
        </w:tc>
      </w:tr>
      <w:tr>
        <w:trPr>
          <w:trHeight w:val="418"/>
        </w:trPr>
        <w:tc>
          <w:tcPr>
            <w:tcW w:w="2400" w:type="dxa"/>
            <w:vAlign w:val="bottom"/>
          </w:tcPr>
          <w:p>
            <w:pPr>
              <w:spacing w:after="0"/>
              <w:rPr>
                <w:sz w:val="24"/>
                <w:szCs w:val="24"/>
                <w:color w:val="auto"/>
              </w:rPr>
            </w:pPr>
          </w:p>
        </w:tc>
        <w:tc>
          <w:tcPr>
            <w:tcW w:w="5420" w:type="dxa"/>
            <w:vAlign w:val="bottom"/>
          </w:tcPr>
          <w:p>
            <w:pPr>
              <w:jc w:val="center"/>
              <w:ind w:right="130"/>
              <w:spacing w:after="0"/>
              <w:rPr>
                <w:sz w:val="20"/>
                <w:szCs w:val="20"/>
                <w:color w:val="auto"/>
              </w:rPr>
            </w:pPr>
            <w:r>
              <w:rPr>
                <w:rFonts w:ascii="Arial" w:cs="Arial" w:eastAsia="Arial" w:hAnsi="Arial"/>
                <w:sz w:val="18"/>
                <w:szCs w:val="18"/>
                <w:b w:val="1"/>
                <w:bCs w:val="1"/>
                <w:color w:val="auto"/>
              </w:rPr>
              <w:t>N/A</w:t>
            </w:r>
          </w:p>
        </w:tc>
        <w:tc>
          <w:tcPr>
            <w:tcW w:w="1780" w:type="dxa"/>
            <w:vAlign w:val="bottom"/>
          </w:tcPr>
          <w:p>
            <w:pPr>
              <w:spacing w:after="0"/>
              <w:rPr>
                <w:sz w:val="24"/>
                <w:szCs w:val="24"/>
                <w:color w:val="auto"/>
              </w:rPr>
            </w:pPr>
          </w:p>
        </w:tc>
      </w:tr>
      <w:tr>
        <w:trPr>
          <w:trHeight w:val="230"/>
        </w:trPr>
        <w:tc>
          <w:tcPr>
            <w:tcW w:w="2400" w:type="dxa"/>
            <w:vAlign w:val="bottom"/>
          </w:tcPr>
          <w:p>
            <w:pPr>
              <w:spacing w:after="0"/>
              <w:rPr>
                <w:sz w:val="20"/>
                <w:szCs w:val="20"/>
                <w:color w:val="auto"/>
              </w:rPr>
            </w:pP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660"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120" w:hanging="482"/>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120" w:hanging="482"/>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20" w:hanging="482"/>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20" w:hanging="482"/>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14" w:lineRule="exact"/>
        <w:rPr>
          <w:sz w:val="24"/>
          <w:szCs w:val="24"/>
          <w:color w:val="auto"/>
        </w:rPr>
      </w:pPr>
    </w:p>
    <w:p>
      <w:pPr>
        <w:ind w:left="660"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660"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On August 6, 2020, Selecta Biosciences, Inc. (the “Company”) entered into an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(the “Sale Agreement”) with Jefferies LLC (“Jefferies”) to sell shares of the Company’s common stock, par value $0.0001 per share (the “Common Stock”), with aggregate gross sales proceeds of up to $50,000,000, from time to time, through an “at the market” equity offering program under which Jefferies will act as sales agent. The shares of Common Stock sold pursuant to the Sale Agreement will be issued pursuant to the Company’s shelf registration statement on Form S-3 (File No. 333-241692) and related prospectus supplement, each filed on August 6, 2020 with the Securities and Exchange Commission.</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Sale Agreement, the Company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Sale Agreement, Jefferies may sell the shares by methods deemed to be an “at the market offering” as defined in Rule 415(a)(4) promulgated under the Securities Act of 1933, as amended (the “Securities Act”), in negotiated transactions at market prices prevailing at the time of sale or at prices related to such prevailing market prices and/or any other method permitted by law. If the Company and Jefferies so agree, Jefferies may act as principal in connection with the sale of shares under the Sale Agreement. The Company will pay Jefferies a commission of up to 3.0% of the gross sales proceeds of any shares of Common Stock sold through Jefferies under the Sale Agreement, and also has provided Jefferies with customary indemnification rights. The offering of shares of Common Stock pursuant to the Sales Agreement will terminate upon the earlier of (i) the sale of all shares of Common Stock subject to the Sales Agreement and (ii) the termination of the Sales Agreement as permitted therein.</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material terms of the Sale Agreement is qualified in its entirety by reference to the full agreement, a copy of which is filed as Exhibit 1.1 to this Current Report on Form 8-K and is incorporated herein by reference.</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any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420" w:type="dxa"/>
            <w:vAlign w:val="bottom"/>
            <w:gridSpan w:val="3"/>
          </w:tcPr>
          <w:p>
            <w:pPr>
              <w:ind w:left="80"/>
              <w:spacing w:after="0"/>
              <w:rPr>
                <w:sz w:val="20"/>
                <w:szCs w:val="20"/>
                <w:color w:val="auto"/>
              </w:rPr>
            </w:pPr>
            <w:r>
              <w:rPr>
                <w:rFonts w:ascii="Arial" w:cs="Arial" w:eastAsia="Arial" w:hAnsi="Arial"/>
                <w:sz w:val="18"/>
                <w:szCs w:val="18"/>
                <w:color w:val="auto"/>
              </w:rPr>
              <w:t>(d) Exhibits</w:t>
            </w:r>
          </w:p>
        </w:tc>
      </w:tr>
      <w:tr>
        <w:trPr>
          <w:trHeight w:val="427"/>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234"/>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3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8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1.1#</w:t>
              </w:r>
            </w:hyperlink>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Open Market Sale Agreement, dated as of August 6, 2020, by and between Selecta Biosciences, Inc. and Jefferies LLC.</w:t>
              </w:r>
            </w:hyperlink>
          </w:p>
        </w:tc>
      </w:tr>
    </w:tbl>
    <w:p>
      <w:pPr>
        <w:spacing w:after="0" w:line="214" w:lineRule="exact"/>
        <w:rPr>
          <w:sz w:val="20"/>
          <w:szCs w:val="20"/>
          <w:color w:val="auto"/>
        </w:rPr>
      </w:pPr>
    </w:p>
    <w:p>
      <w:pPr>
        <w:ind w:right="260" w:firstLine="8"/>
        <w:spacing w:after="0" w:line="25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were made only for purposes of the transactions contemplated by the agreement as of specific dates and may have been qualified by certain disclosures between the parties and a contractual standard of materiality different from those generally applicable under securities laws, among other limitations. The representations and warranties were made for purposes of allocating contractual risk between the parties to the agreement and should not be relied upon as a disclosure of factual information relating to the Company, Jefferies or the transactions described in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SELECTA BIOSCIENCES,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6, 2020</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Carsten Brunn, Ph.D.</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Carsten Brunn, Ph.D.</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1.1</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29"/>
          <w:szCs w:val="29"/>
          <w:b w:val="1"/>
          <w:bCs w:val="1"/>
          <w:color w:val="auto"/>
          <w:vertAlign w:val="superscript"/>
        </w:rPr>
        <w:t>SM</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Selecta Biosciences,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subject to the terms and conditions stated herein, to issue and sell from time to time through Jefferies LLC, as sales agent and/or principal (the “</w:t>
      </w:r>
      <w:r>
        <w:rPr>
          <w:rFonts w:ascii="Arial" w:cs="Arial" w:eastAsia="Arial" w:hAnsi="Arial"/>
          <w:sz w:val="16"/>
          <w:szCs w:val="16"/>
          <w:b w:val="1"/>
          <w:bCs w:val="1"/>
          <w:color w:val="auto"/>
        </w:rPr>
        <w:t>Agent</w:t>
      </w:r>
      <w:r>
        <w:rPr>
          <w:rFonts w:ascii="Arial" w:cs="Arial" w:eastAsia="Arial" w:hAnsi="Arial"/>
          <w:sz w:val="16"/>
          <w:szCs w:val="16"/>
          <w:color w:val="auto"/>
        </w:rPr>
        <w:t>”), shares of the Company’s common stock, par value $0.0001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having an aggregate offering price of up to $50,000,000 on the terms set forth in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left="1560" w:hanging="904"/>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capitalized terms used herein and not otherwise defined shall have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 meanings: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first-mentioned Person. The term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means the possession, direct or indirect, of the power to direct or cause the direction of the management and policies of a Person, whether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ownership of voting securities, by contract or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Period</w:t>
      </w:r>
      <w:r>
        <w:rPr>
          <w:rFonts w:ascii="Arial" w:cs="Arial" w:eastAsia="Arial" w:hAnsi="Arial"/>
          <w:sz w:val="18"/>
          <w:szCs w:val="18"/>
          <w:color w:val="auto"/>
        </w:rPr>
        <w:t xml:space="preserve">” means the period commencing on the date of this Agreement and expiring on the earliest to occur of (x) the date on which the Agent shall have placed the Maximum Program Amount pursuant to this Agreement, (y) the date this Agreement is terminated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(z) the third anniversary of the date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up to three percent (3.0%) of the gross proceeds from the sale of any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r>
        <w:rPr>
          <w:rFonts w:ascii="Arial" w:cs="Arial" w:eastAsia="Arial" w:hAnsi="Arial"/>
          <w:sz w:val="18"/>
          <w:szCs w:val="18"/>
          <w:color w:val="0000FF"/>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Common Shares issued or issuable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represents and warrants to, and agrees with, the Agent that as of (1) the date of this Agreement, (2) each Issuance Notice Date, (3) each Settlement Date, (4)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and</w:t>
      </w:r>
    </w:p>
    <w:p>
      <w:pPr>
        <w:jc w:val="both"/>
        <w:ind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Time of Sale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Time of Sale Information (including the Prospectus and any documents incorporated by reference therein and any supplements thereto) on or before a Representation Date:</w:t>
      </w:r>
    </w:p>
    <w:p>
      <w:pPr>
        <w:spacing w:after="0" w:line="189" w:lineRule="exact"/>
        <w:rPr>
          <w:rFonts w:ascii="Arial" w:cs="Arial" w:eastAsia="Arial" w:hAnsi="Arial"/>
          <w:sz w:val="18"/>
          <w:szCs w:val="18"/>
          <w:color w:val="auto"/>
        </w:rPr>
      </w:pPr>
    </w:p>
    <w:p>
      <w:pPr>
        <w:jc w:val="both"/>
        <w:ind w:firstLine="656"/>
        <w:spacing w:after="0" w:line="286" w:lineRule="auto"/>
        <w:tabs>
          <w:tab w:leader="none" w:pos="1806"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or will prepare and file with the Commission a shelf registration statement on Form S-3 (or a successor registration statement on such form pertaining to the Shares to be sold pursuant to this Agreement) that contains a base prospectus relating to the issuance and sale of Shares under this Agreement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Such registration statement,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Base Prospectus,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At the time the Registration Statement was or will be originally declared effective, the Company met or will meet the then-applicable requirements for use of Form S-3 under the Securities Act. During the Agency Period, each time the Company has filed or files an annual report on Form 10-K the Company will meet the then-applicable requirements for use of Form S-3 under the Securities Act, including, but not limited to, General Instruction I.B.1 thereto.</w:t>
      </w:r>
    </w:p>
    <w:p>
      <w:pPr>
        <w:spacing w:after="0" w:line="187" w:lineRule="exact"/>
        <w:rPr>
          <w:sz w:val="20"/>
          <w:szCs w:val="20"/>
          <w:color w:val="auto"/>
        </w:rPr>
      </w:pPr>
    </w:p>
    <w:p>
      <w:pPr>
        <w:jc w:val="both"/>
        <w:ind w:firstLine="656"/>
        <w:spacing w:after="0" w:line="296" w:lineRule="auto"/>
        <w:tabs>
          <w:tab w:leader="none" w:pos="188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Compliance with Registration Requirements</w:t>
      </w:r>
      <w:r>
        <w:rPr>
          <w:rFonts w:ascii="Arial" w:cs="Arial" w:eastAsia="Arial" w:hAnsi="Arial"/>
          <w:sz w:val="16"/>
          <w:szCs w:val="16"/>
          <w:color w:val="auto"/>
        </w:rPr>
        <w:t>. The Original Registration Statement has been and any Rule 462(b) Registration Statement will have been or will be declared effective by the Commission under the Securities Act. The Company has complied or will comply to the Commission’s satisfaction with all requests of the Commission for additional or supplemental information with respect to the Registration Statement.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6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Prospectus when filed complied in all material respects with the Securities Act and, if filed by electronic transmission through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xml:space="preserve">”)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as the case may be, in all material respects with the Securities Act and did not and will not, as the case may be, contain any untrue statement of a material fact or omit to state a material fact required to be stated therein or necessary to make the statements therein not misleading (except that the foregoing shall not apply to those parts of the Registration Statement that constitute the Statement of Eligibility (Form T-1) under the Trust Indenture Act of 1939). As of the date of this Agreement, the Prospectus and any Free Writing Prospectus considered together do not contain any untrue statement of a material fact or omit to state a material fact necessary to make the statements therein, in the light of the circumstances under which they were made, not misleading. The Prospectus as of its date and at each Representation Date, does not and will not, as the case may be,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Free Writing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 Registration Statement and the offer and sale of the Shares as contemplated hereby meet the requirements of Rule 415 under the Securities Act and comply in all material respects with said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left="-656" w:firstLine="656"/>
        <w:spacing w:after="0" w:line="269" w:lineRule="auto"/>
        <w:tabs>
          <w:tab w:leader="none" w:pos="86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Ineligible Issuer Status</w:t>
      </w:r>
      <w:r>
        <w:rPr>
          <w:rFonts w:ascii="Arial" w:cs="Arial" w:eastAsia="Arial" w:hAnsi="Arial"/>
          <w:sz w:val="17"/>
          <w:szCs w:val="17"/>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as the case may be, in all material respects with the requirements of Rule 433 under the Securities Act, including timely filing with the Commission or retention where required and legending pursuant to Rule 433 under the Securities Act,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as then amended and supplemented. Except for the Free Writing Prospectuses, if any, and electronic road shows related to the offering of Shares, if any, in each case, furnished to you before first use, the Company has not prepared, used or referred to, and will not, without your prior consent, prepare, use or refer to, any Free Writing Prospectus.</w:t>
      </w:r>
    </w:p>
    <w:p>
      <w:pPr>
        <w:spacing w:after="0" w:line="181" w:lineRule="exact"/>
        <w:rPr>
          <w:rFonts w:ascii="Arial" w:cs="Arial" w:eastAsia="Arial" w:hAnsi="Arial"/>
          <w:sz w:val="17"/>
          <w:szCs w:val="17"/>
          <w:color w:val="auto"/>
        </w:rPr>
      </w:pPr>
    </w:p>
    <w:p>
      <w:pPr>
        <w:jc w:val="both"/>
        <w:ind w:left="-656" w:firstLine="656"/>
        <w:spacing w:after="0" w:line="301" w:lineRule="auto"/>
        <w:tabs>
          <w:tab w:leader="none" w:pos="984"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7" w:lineRule="exact"/>
        <w:rPr>
          <w:rFonts w:ascii="Arial" w:cs="Arial" w:eastAsia="Arial" w:hAnsi="Arial"/>
          <w:sz w:val="16"/>
          <w:szCs w:val="16"/>
          <w:color w:val="auto"/>
        </w:rPr>
      </w:pPr>
    </w:p>
    <w:p>
      <w:pPr>
        <w:jc w:val="both"/>
        <w:ind w:left="-656" w:firstLine="656"/>
        <w:spacing w:after="0" w:line="254"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The documents incorporated or deemed to be incorporated by reference in the Prospectus, at the time they were or hereafter are filed with the Commission or became effective under the Exchange Act, as the case may be, and any Free Writing Prospectus or amendment or supplement related thereto complied or will comply, at the time of such filing or effectiveness, in all material respects with the requirements of the Exchange Act, and, when read together with the other information in the Prospectus, at the time the Registration Statement and any amendments thereto become effective and at each Representation Date,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94" w:lineRule="exact"/>
        <w:rPr>
          <w:rFonts w:ascii="Arial" w:cs="Arial" w:eastAsia="Arial" w:hAnsi="Arial"/>
          <w:sz w:val="18"/>
          <w:szCs w:val="18"/>
          <w:color w:val="auto"/>
        </w:rPr>
      </w:pPr>
    </w:p>
    <w:p>
      <w:pPr>
        <w:ind w:left="-656" w:right="300" w:firstLine="656"/>
        <w:spacing w:after="0" w:line="277" w:lineRule="auto"/>
        <w:tabs>
          <w:tab w:leader="none" w:pos="89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EGC Status</w:t>
      </w:r>
      <w:r>
        <w:rPr>
          <w:rFonts w:ascii="Arial" w:cs="Arial" w:eastAsia="Arial" w:hAnsi="Arial"/>
          <w:sz w:val="18"/>
          <w:szCs w:val="18"/>
          <w:color w:val="auto"/>
        </w:rPr>
        <w:t>. The Company qualifies as an emerging growth company, as defined in Section 2(a)(19) of the Securities Act, until no later than December 31, 2021.</w:t>
      </w:r>
    </w:p>
    <w:p>
      <w:pPr>
        <w:spacing w:after="0" w:line="170" w:lineRule="exact"/>
        <w:rPr>
          <w:sz w:val="20"/>
          <w:szCs w:val="20"/>
          <w:color w:val="auto"/>
        </w:rPr>
      </w:pPr>
    </w:p>
    <w:p>
      <w:pPr>
        <w:jc w:val="both"/>
        <w:ind w:left="-656" w:firstLine="656"/>
        <w:spacing w:after="0" w:line="259" w:lineRule="auto"/>
        <w:tabs>
          <w:tab w:leader="none" w:pos="999"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 Agreement</w:t>
      </w:r>
      <w:r>
        <w:rPr>
          <w:rFonts w:ascii="Arial" w:cs="Arial" w:eastAsia="Arial" w:hAnsi="Arial"/>
          <w:sz w:val="18"/>
          <w:szCs w:val="18"/>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264795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 w:name="page9"/>
    <w:bookmarkEnd w:id="8"/>
    <w:p>
      <w:pPr>
        <w:jc w:val="both"/>
        <w:ind w:left="-656" w:firstLine="656"/>
        <w:spacing w:after="0" w:line="273" w:lineRule="auto"/>
        <w:tabs>
          <w:tab w:leader="none" w:pos="87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 has an authorized and outstanding capitalization as set forth in the sections of the Registration Statement and the Prospectus entitled “Capitalization” and “Description of Capital Stock” (subject to the issuance of Common Shares upon exercise of stock options and warrants disclosed as outstanding in the Registration Statement and the Prospectus and the grant of options under existing stock option plans described in the Registration Statement and the Prospectus); all of the issued and outstanding shares of capital stock of the Company, including the Common Shares, have been duly authorized and validly issued and are fully paid and non-assessable, have been issued in compliance with all applicable securities laws and were not issued in violation of any preemptive right, resale right, right of first refusal or similar right.</w:t>
      </w:r>
    </w:p>
    <w:p>
      <w:pPr>
        <w:spacing w:after="0" w:line="177" w:lineRule="exact"/>
        <w:rPr>
          <w:rFonts w:ascii="Arial" w:cs="Arial" w:eastAsia="Arial" w:hAnsi="Arial"/>
          <w:sz w:val="17"/>
          <w:szCs w:val="17"/>
          <w:color w:val="auto"/>
        </w:rPr>
      </w:pPr>
    </w:p>
    <w:p>
      <w:pPr>
        <w:jc w:val="both"/>
        <w:ind w:left="-656" w:firstLine="656"/>
        <w:spacing w:after="0" w:line="311" w:lineRule="auto"/>
        <w:tabs>
          <w:tab w:leader="none" w:pos="89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Good Standing of Company</w:t>
      </w:r>
      <w:r>
        <w:rPr>
          <w:rFonts w:ascii="Arial" w:cs="Arial" w:eastAsia="Arial" w:hAnsi="Arial"/>
          <w:sz w:val="16"/>
          <w:szCs w:val="16"/>
          <w:color w:val="auto"/>
        </w:rPr>
        <w:t>. 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and the Prospectus, and to execute and deliver this Agreement and to issue, sell and deliver the Shares as contemplated herein.</w:t>
      </w:r>
    </w:p>
    <w:p>
      <w:pPr>
        <w:spacing w:after="0" w:line="148" w:lineRule="exact"/>
        <w:rPr>
          <w:rFonts w:ascii="Arial" w:cs="Arial" w:eastAsia="Arial" w:hAnsi="Arial"/>
          <w:sz w:val="16"/>
          <w:szCs w:val="16"/>
          <w:color w:val="auto"/>
        </w:rPr>
      </w:pPr>
    </w:p>
    <w:p>
      <w:pPr>
        <w:jc w:val="both"/>
        <w:ind w:left="-656" w:firstLine="656"/>
        <w:spacing w:after="0" w:line="254" w:lineRule="auto"/>
        <w:tabs>
          <w:tab w:leader="none" w:pos="96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Foreign Qualification of Company</w:t>
      </w:r>
      <w:r>
        <w:rPr>
          <w:rFonts w:ascii="Arial" w:cs="Arial" w:eastAsia="Arial" w:hAnsi="Arial"/>
          <w:sz w:val="18"/>
          <w:szCs w:val="18"/>
          <w:color w:val="auto"/>
        </w:rPr>
        <w:t>. 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a material adverse effect on the business, properties, financial condition, results of operations or prospects related thereto of the Company and the Subsidiaries taken as a whole, (ii) prevent or materially interfere with the consummation of the transactions contemplated hereby or (iii) result in the delisting of the Common Shares from the Nasdaq Global Market (the occurrence of any such effect or any such prevention or interference or any such result described in the foregoing clauses (i), (ii) or (iii) being herein referred to as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656" w:firstLine="656"/>
        <w:spacing w:after="0" w:line="267" w:lineRule="auto"/>
        <w:tabs>
          <w:tab w:leader="none" w:pos="1088"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Good Standing and Foreign Qualification of Subsidiaries</w:t>
      </w:r>
      <w:r>
        <w:rPr>
          <w:rFonts w:ascii="Arial" w:cs="Arial" w:eastAsia="Arial" w:hAnsi="Arial"/>
          <w:sz w:val="17"/>
          <w:szCs w:val="17"/>
          <w:color w:val="auto"/>
        </w:rPr>
        <w:t>. The Company has no subsidiaries (as defined under the Securities Act) other than the subsidiaries most recently disclosed in its filings available on EDGAR (collectively, the “</w:t>
      </w:r>
      <w:r>
        <w:rPr>
          <w:rFonts w:ascii="Arial" w:cs="Arial" w:eastAsia="Arial" w:hAnsi="Arial"/>
          <w:sz w:val="17"/>
          <w:szCs w:val="17"/>
          <w:b w:val="1"/>
          <w:bCs w:val="1"/>
          <w:color w:val="auto"/>
        </w:rPr>
        <w:t>Subsidiaries</w:t>
      </w:r>
      <w:r>
        <w:rPr>
          <w:rFonts w:ascii="Arial" w:cs="Arial" w:eastAsia="Arial" w:hAnsi="Arial"/>
          <w:sz w:val="17"/>
          <w:szCs w:val="17"/>
          <w:color w:val="auto"/>
        </w:rPr>
        <w:t>”); the Company owns all of the issued and outstanding membership interests or capital stock of each of the Subsidiaries;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or similar governing documents of the Company and each Subsidiary and all amendments thereto have been delivered to you (including by being made available to you through EDGAR), and no changes therein will be made on or after the date hereof through and including the time of any time of purchase;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Registration Statement and the Prospectus;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and each “significant subsidiary” of the Company, as that term is defined in Rule 1-02(w) of Regulation S-X under the Securities Act, is listed in Exhibit 21.1 to the Company’s most recent Annual Report on Form 10-K (or otherwise in a subsequent filing available on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9" w:name="page10"/>
    <w:bookmarkEnd w:id="9"/>
    <w:p>
      <w:pPr>
        <w:jc w:val="both"/>
        <w:ind w:left="-656" w:firstLine="656"/>
        <w:spacing w:after="0" w:line="273" w:lineRule="auto"/>
        <w:tabs>
          <w:tab w:leader="none" w:pos="110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Authorization of the Shares</w:t>
      </w:r>
      <w:r>
        <w:rPr>
          <w:rFonts w:ascii="Arial" w:cs="Arial" w:eastAsia="Arial" w:hAnsi="Arial"/>
          <w:sz w:val="17"/>
          <w:szCs w:val="17"/>
          <w:color w:val="auto"/>
        </w:rPr>
        <w:t>. The Shares have been duly and validly authorized and, when issued and delivered against payment therefor as provided herein, will be duly and validly issued, fully paid and non-assessable and free of statutory and contractual preemptive rights, resale rights, rights of first refusal and similar rights, except for any such rights that have been waived; the Shares, when issued and delivered against payment therefor as provided herein, will be free of any restriction upon the voting or transfer thereof pursuant to the Delaware General Corporation Law or the Company’s charter and bylaws, each as amended to date and in the form filed as an exhibit to the Registration Statement, and any agreement or other instrument to which the Company is a party, except for any such rights that have been waived.</w:t>
      </w:r>
    </w:p>
    <w:p>
      <w:pPr>
        <w:spacing w:after="0" w:line="177" w:lineRule="exact"/>
        <w:rPr>
          <w:rFonts w:ascii="Arial" w:cs="Arial" w:eastAsia="Arial" w:hAnsi="Arial"/>
          <w:sz w:val="17"/>
          <w:szCs w:val="17"/>
          <w:color w:val="auto"/>
        </w:rPr>
      </w:pPr>
    </w:p>
    <w:p>
      <w:pPr>
        <w:ind w:left="-656" w:firstLine="656"/>
        <w:spacing w:after="0" w:line="277" w:lineRule="auto"/>
        <w:tabs>
          <w:tab w:leader="none" w:pos="116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Description of Capital Stock</w:t>
      </w:r>
      <w:r>
        <w:rPr>
          <w:rFonts w:ascii="Arial" w:cs="Arial" w:eastAsia="Arial" w:hAnsi="Arial"/>
          <w:sz w:val="18"/>
          <w:szCs w:val="18"/>
          <w:color w:val="auto"/>
        </w:rPr>
        <w:t>. The capital stock of the Company, including the Shares, conforms in all material respects to each description thereof, if any, contained or incorporated by reference in the Registration Statement and the Prospectus.</w:t>
      </w:r>
    </w:p>
    <w:p>
      <w:pPr>
        <w:spacing w:after="0" w:line="170" w:lineRule="exact"/>
        <w:rPr>
          <w:rFonts w:ascii="Arial" w:cs="Arial" w:eastAsia="Arial" w:hAnsi="Arial"/>
          <w:sz w:val="18"/>
          <w:szCs w:val="18"/>
          <w:color w:val="auto"/>
        </w:rPr>
      </w:pPr>
    </w:p>
    <w:p>
      <w:pPr>
        <w:jc w:val="both"/>
        <w:ind w:left="-656" w:firstLine="656"/>
        <w:spacing w:after="0" w:line="284" w:lineRule="auto"/>
        <w:tabs>
          <w:tab w:leader="none" w:pos="83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the Company nor any of the Subsidiaries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(A) its charter or bylaws or similar governing documents, or (B) any indenture, mortgage, deed of trust, bank loan or credit agreement or other evidence of indebtedness, or any material license, lease, contract or other agreement or instrument to which it is a party or by which it or any of its properties may be bound or affected, or (C) any U.S. or Russian federal, state, local or foreign law, regulation or rule, or (D) any rule or regulation of any self-regulatory organization or other non-governmental regulatory authority having jurisdiction over the Company or the Subsidiaries (including, without limitation, the rules and regulations of the Nasdaq Global Market), or (E) any decree, judgment or order applicable to it or any of its properties, except in the case of the foregoing clauses (B), (C), (D) and (E), for any such breaches, violations, defaults or events that would not, individually or in the aggregate, reasonably be expected to have a Material Adverse Effect; 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 similar organizational documents of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 (C) any U.S. or Russian federal, state, local or foreign law, regulation or rule, or (D) any rule or regulation of any self-regulatory organization or other non-governmental regulatory authority having jurisdiction over the Company or the Shares (including, without limitation, the rules and regulations of the Nasdaq Global Market), or (E) any decree, judgment or order applicable to the Company or any of the Subsidiaries or any of their respective properties, except in the case of the foregoing clauses (B), (C), (D) and (E), for any such breaches, violations, defaults, repurchases, redemptions, repayments or events that would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259715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jc w:val="both"/>
        <w:ind w:left="-8" w:firstLine="656"/>
        <w:spacing w:after="0" w:line="284" w:lineRule="auto"/>
        <w:tabs>
          <w:tab w:leader="none" w:pos="1659"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No Further Authorizations or Approvals Required</w:t>
      </w:r>
      <w:r>
        <w:rPr>
          <w:rFonts w:ascii="Arial" w:cs="Arial" w:eastAsia="Arial" w:hAnsi="Arial"/>
          <w:sz w:val="16"/>
          <w:szCs w:val="16"/>
          <w:color w:val="auto"/>
        </w:rPr>
        <w: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Nasdaq Global Market), or approval of the stockholders of the Company is required in connection with the issuance and sale of the Shares or the consummation by the Company of the transactions contemplated hereby, other than (i) the registration of the Shares under the Securities Act ,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by the Agent, (iii) under the Conduct Rules of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listing applications and related consents or any notices required by the Nasdaq Global Market in the ordinary course of the offering of the Shares or</w:t>
      </w:r>
    </w:p>
    <w:p>
      <w:pPr>
        <w:spacing w:after="0" w:line="32" w:lineRule="exact"/>
        <w:rPr>
          <w:rFonts w:ascii="Arial" w:cs="Arial" w:eastAsia="Arial" w:hAnsi="Arial"/>
          <w:sz w:val="16"/>
          <w:szCs w:val="16"/>
          <w:color w:val="auto"/>
        </w:rPr>
      </w:pPr>
    </w:p>
    <w:p>
      <w:pPr>
        <w:jc w:val="both"/>
        <w:ind w:left="-8" w:firstLine="8"/>
        <w:spacing w:after="0" w:line="255"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filings with the Commission pursuant to Rule 424(b) under the Securities Act, except as have already been made, obtained or waived or where the failure to obtain any such approval, authorization, consent, order or filing would not impair the ability of the Company to issue and sell the Shares or to consummate the transactions contemplated by this Agreement.</w:t>
      </w:r>
    </w:p>
    <w:p>
      <w:pPr>
        <w:spacing w:after="0" w:line="189" w:lineRule="exact"/>
        <w:rPr>
          <w:rFonts w:ascii="Arial" w:cs="Arial" w:eastAsia="Arial" w:hAnsi="Arial"/>
          <w:sz w:val="18"/>
          <w:szCs w:val="18"/>
          <w:color w:val="auto"/>
        </w:rPr>
      </w:pPr>
    </w:p>
    <w:p>
      <w:pPr>
        <w:jc w:val="both"/>
        <w:ind w:left="-8" w:firstLine="656"/>
        <w:spacing w:after="0" w:line="291" w:lineRule="auto"/>
        <w:tabs>
          <w:tab w:leader="none" w:pos="1686"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No Preemptive or Similar Rights</w:t>
      </w:r>
      <w:r>
        <w:rPr>
          <w:rFonts w:ascii="Arial" w:cs="Arial" w:eastAsia="Arial" w:hAnsi="Arial"/>
          <w:sz w:val="16"/>
          <w:szCs w:val="16"/>
          <w:color w:val="auto"/>
        </w:rPr>
        <w:t>. Except as described in the Registration Statement and the Prospectus or as otherwise have been waived (i) no person has the right, contractual or otherwise, to cause the Company to issue or sell to it any Common Shares or shares of any other capital stock or other equity interests of the Company, (ii) no person has any preemptive rights, resale rights, rights of first refusal or other rights to purchase any Common Shares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Securities Act any Common Shares or shares of any other capital stock of or other equity interests in the Company or to include any such shares or interests in the Registration Statement or the offering contemplated thereby other than those that have been otherwise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1" w:name="page12"/>
    <w:bookmarkEnd w:id="11"/>
    <w:p>
      <w:pPr>
        <w:jc w:val="both"/>
        <w:ind w:left="-656" w:firstLine="656"/>
        <w:spacing w:after="0" w:line="253"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Regulatory Compliance</w:t>
      </w:r>
      <w:r>
        <w:rPr>
          <w:rFonts w:ascii="Arial" w:cs="Arial" w:eastAsia="Arial" w:hAnsi="Arial"/>
          <w:sz w:val="18"/>
          <w:szCs w:val="18"/>
          <w:color w:val="auto"/>
        </w:rPr>
        <w:t>. Except for licenses, authorizations, consents and approvals required to be obtained from the Food and Drug Administration of the U.S. Department of Health and Human Services, each of the Company and the Subsidiaries has obtained all necessary licenses, authorizations, consents and approvals from all applicable authorities, in each case, as required to conduct their respective businesses as currently conducted, except where the failure to obtain such license, authorization, consent or approval or make such filing would not, individually or in the aggregate, reasonably be expected to have a Material Adverse Effect; neither the Company nor any of the Subsidiaries is in violation of, or in default under, or has received written notice of any proceedings from any applicable governmental or regulatory authority relating to the revocation or adverse modification of, any such license, authorization, consent or approval, except as described in the Registration Statement and the Prospectus or where such violation, default, revocation or adverse modification would not, individually or in the aggregate, reasonably be expected to have a Material Adverse Effect.</w:t>
      </w:r>
    </w:p>
    <w:p>
      <w:pPr>
        <w:spacing w:after="0" w:line="196" w:lineRule="exact"/>
        <w:rPr>
          <w:rFonts w:ascii="Arial" w:cs="Arial" w:eastAsia="Arial" w:hAnsi="Arial"/>
          <w:sz w:val="18"/>
          <w:szCs w:val="18"/>
          <w:color w:val="auto"/>
        </w:rPr>
      </w:pPr>
    </w:p>
    <w:p>
      <w:pPr>
        <w:jc w:val="both"/>
        <w:ind w:left="-656" w:firstLine="656"/>
        <w:spacing w:after="0" w:line="255" w:lineRule="auto"/>
        <w:tabs>
          <w:tab w:leader="none" w:pos="102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Disclosure of Proceedings</w:t>
      </w:r>
      <w:r>
        <w:rPr>
          <w:rFonts w:ascii="Arial" w:cs="Arial" w:eastAsia="Arial" w:hAnsi="Arial"/>
          <w:sz w:val="18"/>
          <w:szCs w:val="18"/>
          <w:color w:val="auto"/>
        </w:rPr>
        <w:t>. Except as described in the Registration Statement and the Prospectus, there is no legal, governmental, administrative or regulatory investigation, action, suit, claim or proceeding pending or, to the Company’s knowledge, threatened to 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192" w:lineRule="exact"/>
        <w:rPr>
          <w:rFonts w:ascii="Arial" w:cs="Arial" w:eastAsia="Arial" w:hAnsi="Arial"/>
          <w:sz w:val="18"/>
          <w:szCs w:val="18"/>
          <w:color w:val="auto"/>
        </w:rPr>
      </w:pPr>
    </w:p>
    <w:p>
      <w:pPr>
        <w:jc w:val="both"/>
        <w:ind w:left="-656" w:firstLine="656"/>
        <w:spacing w:after="0" w:line="263" w:lineRule="auto"/>
        <w:tabs>
          <w:tab w:leader="none" w:pos="118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Ernst &amp; Young LLP, whose report on the consolidated financial statements of the Company and the Subsidiaries is included in the Registration Statement and the Prospectus, are independent registered public accountants as required by the Securities Act and the rules of the Public Company Accounting Oversight Board.</w:t>
      </w:r>
    </w:p>
    <w:p>
      <w:pPr>
        <w:spacing w:after="0" w:line="183" w:lineRule="exact"/>
        <w:rPr>
          <w:rFonts w:ascii="Arial" w:cs="Arial" w:eastAsia="Arial" w:hAnsi="Arial"/>
          <w:sz w:val="18"/>
          <w:szCs w:val="18"/>
          <w:color w:val="auto"/>
        </w:rPr>
      </w:pPr>
    </w:p>
    <w:p>
      <w:pPr>
        <w:jc w:val="both"/>
        <w:ind w:left="-656" w:firstLine="656"/>
        <w:spacing w:after="0" w:line="285" w:lineRule="auto"/>
        <w:tabs>
          <w:tab w:leader="none" w:pos="100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in the Registration Statement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Securities Act and the Exchange Act and in conformity with United States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during the periods involved, and all adjustments necessary for a fair presentation of results for such periods have been made; all pro forma financial information included in the Registration Statement and the Prospectus presents fairly in all material respects the information shown therein, has been prepared in accordance with the provisions of the Securities Act and the Rules and Regulations with respect to pro forma financial information, has been properly compiled on the pro forma bases described therein in accordance with the provisions of the Securities Act and the Rules and Regulations, and the assumptions used in the preparation thereof are reasonable and the adjustments therein are appropriate to give effect to the transactions or circumstances referred to therein; the summary and selected combined financial and operating data included in the Registration Statement and the Prospectus present fairly in all material respects the information shown therein and such data have been compiled on a basis consistent with the financial statements presented therein and the books and records of the Company; there are no financial statements (historical or pro forma) that are required to be included in the Registration Statement or the Prospectus that are not included as required; the Company and the Subsidiaries do not have any material liabilities or obligations, direct or contingent (including any off-balance sheet obligations), that are not described in the Registration Statement and the Prospectus; and any disclosures contained in the Registration Statement and the Prospectus that constitute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407670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12" w:name="page13"/>
    <w:bookmarkEnd w:id="12"/>
    <w:p>
      <w:pPr>
        <w:jc w:val="both"/>
        <w:ind w:left="-656" w:firstLine="656"/>
        <w:spacing w:after="0" w:line="269" w:lineRule="auto"/>
        <w:tabs>
          <w:tab w:leader="none" w:pos="8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Stock Option Grants</w:t>
      </w:r>
      <w:r>
        <w:rPr>
          <w:rFonts w:ascii="Arial" w:cs="Arial" w:eastAsia="Arial" w:hAnsi="Arial"/>
          <w:sz w:val="17"/>
          <w:szCs w:val="17"/>
          <w:color w:val="auto"/>
        </w:rPr>
        <w:t>. Except as would not, individually or in the aggregate, reasonably be expected to have a Material Adverse Effect, each stock option granted under any stock option plan of the Company or any Subsidiary (each, a “</w:t>
      </w:r>
      <w:r>
        <w:rPr>
          <w:rFonts w:ascii="Arial" w:cs="Arial" w:eastAsia="Arial" w:hAnsi="Arial"/>
          <w:sz w:val="17"/>
          <w:szCs w:val="17"/>
          <w:b w:val="1"/>
          <w:bCs w:val="1"/>
          <w:color w:val="auto"/>
        </w:rPr>
        <w:t>Stock Plan</w:t>
      </w:r>
      <w:r>
        <w:rPr>
          <w:rFonts w:ascii="Arial" w:cs="Arial" w:eastAsia="Arial" w:hAnsi="Arial"/>
          <w:sz w:val="17"/>
          <w:szCs w:val="17"/>
          <w:color w:val="auto"/>
        </w:rPr>
        <w:t>”) was granted with a per share exercise price no less than the fair market value per Common Share, or, with respect to incentive stock options granted to an employee who on the date of grant was the owner of stock possessing more than 10% of the total combined voting power of all classes of stock of the Company (after taking into account the attribution of stock ownership rules of Section 424(d)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no less than 110% of the fair market value per Common Share, on the grant date of such option, as determined by the Company’s board of directors, and no such grant involved any “back-dating,” “forward-dating” or similar practice with respect to the effective date of such grant; except as would not, individually or in the aggregate, reasonably be expected to have a Material Adverse Effect, each such option (i) was granted in compliance with applicable law and with the applicable Stock Plan(s), (ii) was duly approved by the board of directors (or a duly authorized committee thereof or an officer of the Company duly authorized by the board of directors or authorized committee thereof to make such grants) of the Company or such Subsidiary, as applicable, and (iii) has been properly accounted for in the Company’s financial statements in accordance with GAAP.</w:t>
      </w:r>
    </w:p>
    <w:p>
      <w:pPr>
        <w:spacing w:after="0" w:line="181" w:lineRule="exact"/>
        <w:rPr>
          <w:rFonts w:ascii="Arial" w:cs="Arial" w:eastAsia="Arial" w:hAnsi="Arial"/>
          <w:sz w:val="17"/>
          <w:szCs w:val="17"/>
          <w:color w:val="auto"/>
        </w:rPr>
      </w:pPr>
    </w:p>
    <w:p>
      <w:pPr>
        <w:jc w:val="both"/>
        <w:ind w:left="-656" w:firstLine="656"/>
        <w:spacing w:after="0" w:line="286" w:lineRule="auto"/>
        <w:tabs>
          <w:tab w:leader="none" w:pos="99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otherwise set forth or contemplated in, or subsequently incorporated by reference into, the Registration Statement or the Prospectus, subsequent to the respective dates as of which information is given in the Registration Statement and the Prospectus, there has not been (i) any material adverse change, or any development involving a prospective material adverse change, in the business, properties, management, financial condition or results of operations of the Company and the Subsidiaries taken as a whole (a “</w:t>
      </w:r>
      <w:r>
        <w:rPr>
          <w:rFonts w:ascii="Arial" w:cs="Arial" w:eastAsia="Arial" w:hAnsi="Arial"/>
          <w:sz w:val="16"/>
          <w:szCs w:val="16"/>
          <w:b w:val="1"/>
          <w:bCs w:val="1"/>
          <w:color w:val="auto"/>
        </w:rPr>
        <w:t>Material Adverse</w:t>
      </w:r>
      <w:r>
        <w:rPr>
          <w:rFonts w:ascii="Arial" w:cs="Arial" w:eastAsia="Arial" w:hAnsi="Arial"/>
          <w:sz w:val="16"/>
          <w:szCs w:val="16"/>
          <w:color w:val="auto"/>
        </w:rPr>
        <w:t xml:space="preserve"> </w:t>
      </w:r>
      <w:r>
        <w:rPr>
          <w:rFonts w:ascii="Arial" w:cs="Arial" w:eastAsia="Arial" w:hAnsi="Arial"/>
          <w:sz w:val="16"/>
          <w:szCs w:val="16"/>
          <w:b w:val="1"/>
          <w:bCs w:val="1"/>
          <w:color w:val="auto"/>
        </w:rPr>
        <w:t>Change</w:t>
      </w:r>
      <w:r>
        <w:rPr>
          <w:rFonts w:ascii="Arial" w:cs="Arial" w:eastAsia="Arial" w:hAnsi="Arial"/>
          <w:sz w:val="16"/>
          <w:szCs w:val="16"/>
          <w:color w:val="auto"/>
        </w:rPr>
        <w:t>”), (ii) any transaction which is material to the Company and the Subsidiaries taken as a whole, (iii) any obligation or liability, direct or contingent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off-balance sheet obligations), incurred by the Company or any Subsidiary, which is material to the Company and the Subsidiaries taken as a whole, (iv) any change in the capital stock or outstanding indebtedness of the Company or any Subsidiaries (other than borrowings in the ordinary course of business under the Company’s Loan and Security Agreement, as amended on December 31, 2015 (as the same may be amended, restated or replaced), and as described in the Registration Statement and the Prospectus, the issuance of Common Shares upon exercise of stock options and warrants described as outstanding in the Registration Statement and the Prospectus, the grant in the ordinary course of business of awards under equity incentive plans described in the Registration Statement and the Prospectus and the repurchase by the Company or forfeiture of shares of common stock by the holder thereof pursuant to the terms of equity awards described as outstanding in the Registration Statement and the Prospectus) or (v) any dividend or distribution of any kind declared, paid or made on the capital stock of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410845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 w:name="page14"/>
    <w:bookmarkEnd w:id="13"/>
    <w:p>
      <w:pPr>
        <w:jc w:val="both"/>
        <w:ind w:left="-656" w:firstLine="656"/>
        <w:spacing w:after="0" w:line="279" w:lineRule="auto"/>
        <w:tabs>
          <w:tab w:leader="none" w:pos="98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Neither the Company nor any Subsidiary is and, after giving effect to the offering and sale of the Shares and the application of the proceeds thereof, neither of the Company nor any Subsidiary will be, an “investment company” or an entity “controlled” by an “investment company,” as such terms are defined in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or a “passive foreign investment company” or a “controlled foreign corporation,” as such terms are defined in the Code.</w:t>
      </w:r>
    </w:p>
    <w:p>
      <w:pPr>
        <w:spacing w:after="0" w:line="171" w:lineRule="exact"/>
        <w:rPr>
          <w:rFonts w:ascii="Arial" w:cs="Arial" w:eastAsia="Arial" w:hAnsi="Arial"/>
          <w:sz w:val="17"/>
          <w:szCs w:val="17"/>
          <w:color w:val="auto"/>
        </w:rPr>
      </w:pPr>
    </w:p>
    <w:p>
      <w:pPr>
        <w:jc w:val="both"/>
        <w:ind w:left="-656" w:firstLine="656"/>
        <w:spacing w:after="0" w:line="270" w:lineRule="auto"/>
        <w:tabs>
          <w:tab w:leader="none" w:pos="91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Neither the Company nor the Subsidiaries own any real property; the Company and each of the Subsidiaries have good and marketable title to all tangible personal property described in the Registration Statement and the Prospectus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Registration Statement and the Prospectus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80" w:lineRule="exact"/>
        <w:rPr>
          <w:rFonts w:ascii="Arial" w:cs="Arial" w:eastAsia="Arial" w:hAnsi="Arial"/>
          <w:sz w:val="17"/>
          <w:szCs w:val="17"/>
          <w:color w:val="auto"/>
        </w:rPr>
      </w:pPr>
    </w:p>
    <w:p>
      <w:pPr>
        <w:jc w:val="both"/>
        <w:ind w:left="-656" w:firstLine="656"/>
        <w:spacing w:after="0" w:line="266" w:lineRule="auto"/>
        <w:tabs>
          <w:tab w:leader="none" w:pos="92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as disclosed in the Registration Statement and the Prospectus, the Company and the Subsidiaries own, or have obtained valid and enforceable licenses for, or other rights to use, the patent applications, patents, 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Registration Statement and the Prospectus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except as such failure to own or obtain rights would not result in a Material Adverse Effect; except as disclosed in the Registration Statement and the Prospectus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Registration Statement and the Prospectus, in the current or proposed conduct of the businesses of the Company in the manner and to the extent described in the Registration Statement and the Prospectus,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Arial" w:cs="Arial" w:eastAsia="Arial" w:hAnsi="Arial"/>
          <w:sz w:val="17"/>
          <w:szCs w:val="17"/>
          <w:b w:val="1"/>
          <w:bCs w:val="1"/>
          <w:color w:val="auto"/>
        </w:rPr>
        <w:t>USPTO</w:t>
      </w:r>
      <w:r>
        <w:rPr>
          <w:rFonts w:ascii="Arial" w:cs="Arial" w:eastAsia="Arial" w:hAnsi="Arial"/>
          <w:sz w:val="17"/>
          <w:szCs w:val="17"/>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Registration Statement and the Prospectus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Registration Statement and the Prospectus is accurate and complete in all material respects and presents fairly the information purported to be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425450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4" w:name="page15"/>
    <w:bookmarkEnd w:id="14"/>
    <w:p>
      <w:pPr>
        <w:jc w:val="both"/>
        <w:ind w:left="-656" w:firstLine="656"/>
        <w:spacing w:after="0" w:line="255" w:lineRule="auto"/>
        <w:tabs>
          <w:tab w:leader="none" w:pos="110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Labor Matters</w:t>
      </w:r>
      <w:r>
        <w:rPr>
          <w:rFonts w:ascii="Arial" w:cs="Arial" w:eastAsia="Arial" w:hAnsi="Arial"/>
          <w:sz w:val="18"/>
          <w:szCs w:val="18"/>
          <w:color w:val="auto"/>
        </w:rPr>
        <w:t>. Except for matters which would not, individually or in the aggregate, 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 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192" w:lineRule="exact"/>
        <w:rPr>
          <w:rFonts w:ascii="Arial" w:cs="Arial" w:eastAsia="Arial" w:hAnsi="Arial"/>
          <w:sz w:val="18"/>
          <w:szCs w:val="18"/>
          <w:color w:val="auto"/>
        </w:rPr>
      </w:pPr>
    </w:p>
    <w:p>
      <w:pPr>
        <w:jc w:val="both"/>
        <w:ind w:left="-656" w:firstLine="656"/>
        <w:spacing w:after="0" w:line="286" w:lineRule="auto"/>
        <w:tabs>
          <w:tab w:leader="none" w:pos="89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Environmental Matters</w:t>
      </w:r>
      <w:r>
        <w:rPr>
          <w:rFonts w:ascii="Arial" w:cs="Arial" w:eastAsia="Arial" w:hAnsi="Arial"/>
          <w:sz w:val="16"/>
          <w:szCs w:val="16"/>
          <w:color w:val="auto"/>
        </w:rPr>
        <w:t>. The Company and the Subsidiaries are in compliance with, and hold all permits, 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(including, without limitation, pollutants, contaminants, hazardous or toxic substances or wastes) that is regulated by or may give rise to liability under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5" w:name="page16"/>
    <w:bookmarkEnd w:id="15"/>
    <w:p>
      <w:pPr>
        <w:jc w:val="both"/>
        <w:ind w:left="-8" w:firstLine="656"/>
        <w:spacing w:after="0" w:line="301" w:lineRule="auto"/>
        <w:tabs>
          <w:tab w:leader="none" w:pos="157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Except as described in the Registration Statement and the Prospectus,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157" w:lineRule="exact"/>
        <w:rPr>
          <w:rFonts w:ascii="Arial" w:cs="Arial" w:eastAsia="Arial" w:hAnsi="Arial"/>
          <w:sz w:val="16"/>
          <w:szCs w:val="16"/>
          <w:color w:val="auto"/>
        </w:rPr>
      </w:pPr>
    </w:p>
    <w:p>
      <w:pPr>
        <w:jc w:val="both"/>
        <w:ind w:left="-8" w:firstLine="656"/>
        <w:spacing w:after="0" w:line="291" w:lineRule="auto"/>
        <w:tabs>
          <w:tab w:leader="none" w:pos="164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Insurance Matters</w:t>
      </w:r>
      <w:r>
        <w:rPr>
          <w:rFonts w:ascii="Arial" w:cs="Arial" w:eastAsia="Arial" w:hAnsi="Arial"/>
          <w:sz w:val="16"/>
          <w:szCs w:val="16"/>
          <w:color w:val="auto"/>
        </w:rPr>
        <w:t>. The Company and each of the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each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66" w:lineRule="exact"/>
        <w:rPr>
          <w:rFonts w:ascii="Arial" w:cs="Arial" w:eastAsia="Arial" w:hAnsi="Arial"/>
          <w:sz w:val="16"/>
          <w:szCs w:val="16"/>
          <w:color w:val="auto"/>
        </w:rPr>
      </w:pPr>
    </w:p>
    <w:p>
      <w:pPr>
        <w:jc w:val="both"/>
        <w:ind w:left="-8" w:firstLine="656"/>
        <w:spacing w:after="0" w:line="259" w:lineRule="auto"/>
        <w:tabs>
          <w:tab w:leader="none" w:pos="154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Notices</w:t>
      </w:r>
      <w:r>
        <w:rPr>
          <w:rFonts w:ascii="Arial" w:cs="Arial" w:eastAsia="Arial" w:hAnsi="Arial"/>
          <w:sz w:val="18"/>
          <w:szCs w:val="18"/>
          <w:color w:val="auto"/>
        </w:rPr>
        <w:t>. Except as referred to or described in the Registration Statement or the Prospectus, neither the Company nor any Subsidiary has sent or received any communication regarding termination of, or intent not to renew, any of the contracts or agreements referred to or described in the Registration Statement or the Prospectus, and no such termination or non-renewal has been threatened by the Company or any Subsidiary or, to the Company’s knowledge, any counterparty to any such contract or agreement.</w:t>
      </w:r>
    </w:p>
    <w:p>
      <w:pPr>
        <w:spacing w:after="0" w:line="186" w:lineRule="exact"/>
        <w:rPr>
          <w:rFonts w:ascii="Arial" w:cs="Arial" w:eastAsia="Arial" w:hAnsi="Arial"/>
          <w:sz w:val="18"/>
          <w:szCs w:val="18"/>
          <w:color w:val="auto"/>
        </w:rPr>
      </w:pPr>
    </w:p>
    <w:p>
      <w:pPr>
        <w:jc w:val="both"/>
        <w:ind w:left="-8" w:firstLine="656"/>
        <w:spacing w:after="0" w:line="283" w:lineRule="auto"/>
        <w:tabs>
          <w:tab w:leader="none" w:pos="1592"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and the Subsidiaries maintain a system of “internal controls over financial 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Registration Statement and the Prospectus, there are no material weaknesses in the Company’s internal controls. The auditors and the Audit Committee of the Board of Directors of the Company have been advised of:</w:t>
      </w:r>
    </w:p>
    <w:p>
      <w:pPr>
        <w:spacing w:after="0" w:line="4" w:lineRule="exact"/>
        <w:rPr>
          <w:rFonts w:ascii="Arial" w:cs="Arial" w:eastAsia="Arial" w:hAnsi="Arial"/>
          <w:sz w:val="16"/>
          <w:szCs w:val="16"/>
          <w:color w:val="auto"/>
        </w:rPr>
      </w:pPr>
    </w:p>
    <w:p>
      <w:pPr>
        <w:jc w:val="both"/>
        <w:ind w:left="-8" w:right="20" w:firstLine="8"/>
        <w:spacing w:after="0" w:line="253"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6" w:name="page17"/>
    <w:bookmarkEnd w:id="16"/>
    <w:p>
      <w:pPr>
        <w:jc w:val="both"/>
        <w:ind w:left="-656" w:firstLine="656"/>
        <w:spacing w:after="0" w:line="287" w:lineRule="auto"/>
        <w:tabs>
          <w:tab w:leader="none" w:pos="122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and its Subsidiaries have established and maintain and evaluate “disclosure controls and procedures” (as such term is defined in Rule 13a-15 under the Exchange Act); such disclosure controls and procedures have been designed to ensure that material information relating to the Company, including its consolidated subsidiaries, is made known to the Company’s Chief Executive Officer and its Chief Financial Officer by others within those entities, and such disclosure controls and procedures are effective to perform the functions for which they were established; no “significant deficiencies” or “material weaknesses” (as such terms are defined in Rule 1-02(a)(4) of Regulation S-X under the Act) of the Company were identified in connection with the audit by the Company’s independent registered public accountants of the Company’s financial statements for the fiscal year ended December 31, 2019;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and the principal executive officer and principal financial officer of the Company have made all certifications required by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and any related rules and regulations promulgated by the Commission, and the statements contained in each such certification are complete and correct in all material respects.</w:t>
      </w:r>
    </w:p>
    <w:p>
      <w:pPr>
        <w:spacing w:after="0" w:line="171" w:lineRule="exact"/>
        <w:rPr>
          <w:rFonts w:ascii="Arial" w:cs="Arial" w:eastAsia="Arial" w:hAnsi="Arial"/>
          <w:sz w:val="16"/>
          <w:szCs w:val="16"/>
          <w:color w:val="auto"/>
        </w:rPr>
      </w:pPr>
    </w:p>
    <w:p>
      <w:pPr>
        <w:jc w:val="both"/>
        <w:ind w:left="-656" w:firstLine="656"/>
        <w:spacing w:after="0" w:line="263"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Sarbanes-Oxley Compliance</w:t>
      </w:r>
      <w:r>
        <w:rPr>
          <w:rFonts w:ascii="Arial" w:cs="Arial" w:eastAsia="Arial" w:hAnsi="Arial"/>
          <w:sz w:val="18"/>
          <w:szCs w:val="18"/>
          <w:color w:val="auto"/>
        </w:rPr>
        <w:t>. The Company has taken all actions reasonably necessary to ensure that the Company and the Subsidiaries and their respective officers and directors, in their capacities as such, are in compliance in all material respects with the applicable provisions of the Sarbanes-Oxley Act and the rules and regulations promulgated in connection therewith.</w:t>
      </w:r>
    </w:p>
    <w:p>
      <w:pPr>
        <w:spacing w:after="0" w:line="183" w:lineRule="exact"/>
        <w:rPr>
          <w:rFonts w:ascii="Arial" w:cs="Arial" w:eastAsia="Arial" w:hAnsi="Arial"/>
          <w:sz w:val="18"/>
          <w:szCs w:val="18"/>
          <w:color w:val="auto"/>
        </w:rPr>
      </w:pPr>
    </w:p>
    <w:p>
      <w:pPr>
        <w:jc w:val="both"/>
        <w:ind w:left="-656" w:firstLine="656"/>
        <w:spacing w:after="0" w:line="263" w:lineRule="auto"/>
        <w:tabs>
          <w:tab w:leader="none" w:pos="91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Each “forward-looking statement” (within the meaning of Section 27A of the Securities Act or Section 21E of the Exchange Act) contained in the Registration Statement and the Prospectus has been made or reaffirmed with a reasonable basis and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 w:name="page18"/>
    <w:bookmarkEnd w:id="17"/>
    <w:p>
      <w:pPr>
        <w:ind w:left="-8" w:right="20" w:firstLine="656"/>
        <w:spacing w:after="0" w:line="277" w:lineRule="auto"/>
        <w:tabs>
          <w:tab w:leader="none" w:pos="154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All statistical and market-related data included in the Registration Statement and the Prospectus are based on or derived from sources that the Company believes to be reliable and accurate.</w:t>
      </w:r>
    </w:p>
    <w:p>
      <w:pPr>
        <w:spacing w:after="0" w:line="170" w:lineRule="exact"/>
        <w:rPr>
          <w:rFonts w:ascii="Arial" w:cs="Arial" w:eastAsia="Arial" w:hAnsi="Arial"/>
          <w:sz w:val="18"/>
          <w:szCs w:val="18"/>
          <w:color w:val="auto"/>
        </w:rPr>
      </w:pPr>
    </w:p>
    <w:p>
      <w:pPr>
        <w:jc w:val="both"/>
        <w:ind w:left="-8" w:firstLine="656"/>
        <w:spacing w:after="0" w:line="290" w:lineRule="auto"/>
        <w:tabs>
          <w:tab w:leader="none" w:pos="1629"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FCPA, etc</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 has, directly or indirectly, made, offered, promised, or authorized the unlawful payment or provision of anything of value to any foreign or domestic government official or employee, including of any government-owned or controlled entity or of any public international organization, or any person acting in an official capacity for or on behalf of any of the foregoing, or any political party or party official or candidate for political office, or (ii)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knowledge of the Company, its controlled affiliates have instituted and maintain policies and procedures designed to ensure continued compliance therewith.</w:t>
      </w:r>
    </w:p>
    <w:p>
      <w:pPr>
        <w:spacing w:after="0" w:line="165" w:lineRule="exact"/>
        <w:rPr>
          <w:rFonts w:ascii="Arial" w:cs="Arial" w:eastAsia="Arial" w:hAnsi="Arial"/>
          <w:sz w:val="16"/>
          <w:szCs w:val="16"/>
          <w:color w:val="auto"/>
        </w:rPr>
      </w:pPr>
    </w:p>
    <w:p>
      <w:pPr>
        <w:jc w:val="both"/>
        <w:ind w:left="-8" w:firstLine="656"/>
        <w:spacing w:after="0" w:line="293" w:lineRule="auto"/>
        <w:tabs>
          <w:tab w:leader="none" w:pos="191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and the Subsidiaries are and have been 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164" w:lineRule="exact"/>
        <w:rPr>
          <w:rFonts w:ascii="Arial" w:cs="Arial" w:eastAsia="Arial" w:hAnsi="Arial"/>
          <w:sz w:val="16"/>
          <w:szCs w:val="16"/>
          <w:color w:val="auto"/>
        </w:rPr>
      </w:pPr>
    </w:p>
    <w:p>
      <w:pPr>
        <w:jc w:val="both"/>
        <w:ind w:left="-8" w:firstLine="656"/>
        <w:spacing w:after="0" w:line="291" w:lineRule="auto"/>
        <w:tabs>
          <w:tab w:leader="none" w:pos="163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is currently subject to or has been subject in the last five</w:t>
      </w:r>
    </w:p>
    <w:p>
      <w:pPr>
        <w:jc w:val="both"/>
        <w:ind w:left="-8" w:firstLine="8"/>
        <w:spacing w:after="0" w:line="268" w:lineRule="auto"/>
        <w:tabs>
          <w:tab w:leader="none" w:pos="2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years to any sanctions administered or enforced by the Office of Foreign Assets Control of the U.S. Treasury Department, the United Nations Security Council, the European Union, Her Majesty’s Treasury or any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or any of its Subsidiaries organized or resident in a country or territory that is the subject of Sanctions, including, without limitation, Crimea, Cuba, Iran, North Korea, and Syria (each, a “</w:t>
      </w:r>
      <w:r>
        <w:rPr>
          <w:rFonts w:ascii="Arial" w:cs="Arial" w:eastAsia="Arial" w:hAnsi="Arial"/>
          <w:sz w:val="17"/>
          <w:szCs w:val="17"/>
          <w:b w:val="1"/>
          <w:bCs w:val="1"/>
          <w:color w:val="auto"/>
        </w:rPr>
        <w:t>Sanctioned Country</w:t>
      </w:r>
      <w:r>
        <w:rPr>
          <w:rFonts w:ascii="Arial" w:cs="Arial" w:eastAsia="Arial" w:hAnsi="Arial"/>
          <w:sz w:val="17"/>
          <w:szCs w:val="17"/>
          <w:color w:val="auto"/>
        </w:rPr>
        <w:t>”), and the Company will not directly or indirectly use the proceeds of the offering of the Shares contemplated hereby, or lend, contribute or otherwise make available such proceeds to any Subsidiary, joint venture partner or other person or entity (i) to fund or facilitate any activities of or business with any person or country that, at the time of such funding or facilitation, is the subject of Sanctions or a Sanctioned Country, respectively, or (ii) in any other manner that will result in a violation by any person (including any person participating in the transaction, whether as underwriter, advisor, investor, or otherwise) of Sanctions. For the past five years, none of the Company or any Subsidiaries has engaged in any direct or indirect dealings or transactions with any person or country that, at the time of such dealing or transaction, was the subject of Sanctions or a Sanctioned Country,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8" w:name="page19"/>
    <w:bookmarkEnd w:id="18"/>
    <w:p>
      <w:pPr>
        <w:jc w:val="both"/>
        <w:ind w:left="-656" w:firstLine="656"/>
        <w:spacing w:after="0" w:line="286" w:lineRule="auto"/>
        <w:tabs>
          <w:tab w:leader="none" w:pos="954"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Patriot Act</w:t>
      </w:r>
      <w:r>
        <w:rPr>
          <w:rFonts w:ascii="Arial" w:cs="Arial" w:eastAsia="Arial" w:hAnsi="Arial"/>
          <w:sz w:val="17"/>
          <w:szCs w:val="17"/>
          <w:color w:val="auto"/>
        </w:rPr>
        <w:t>. The Company acknowledges that, in accordance with the requirements of the USA PATRIOT Act, the Agent is required to obtain, verify and record information that identifies their respective clients, including the Company, which information may include the name and address of their respective clients, as well as other information that will allow the Agent to properly identify their respective clients</w:t>
      </w:r>
    </w:p>
    <w:p>
      <w:pPr>
        <w:spacing w:after="0" w:line="165" w:lineRule="exact"/>
        <w:rPr>
          <w:rFonts w:ascii="Arial" w:cs="Arial" w:eastAsia="Arial" w:hAnsi="Arial"/>
          <w:sz w:val="17"/>
          <w:szCs w:val="17"/>
          <w:color w:val="auto"/>
        </w:rPr>
      </w:pPr>
    </w:p>
    <w:p>
      <w:pPr>
        <w:jc w:val="both"/>
        <w:ind w:left="-656" w:firstLine="656"/>
        <w:spacing w:after="0" w:line="259" w:lineRule="auto"/>
        <w:tabs>
          <w:tab w:leader="none" w:pos="98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Dividend Restrictions</w:t>
      </w:r>
      <w:r>
        <w:rPr>
          <w:rFonts w:ascii="Arial" w:cs="Arial" w:eastAsia="Arial" w:hAnsi="Arial"/>
          <w:sz w:val="18"/>
          <w:szCs w:val="18"/>
          <w:color w:val="auto"/>
        </w:rPr>
        <w:t>.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and the Prospectus.</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91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Health Regulatory Compliance</w:t>
      </w:r>
      <w:r>
        <w:rPr>
          <w:rFonts w:ascii="Arial" w:cs="Arial" w:eastAsia="Arial" w:hAnsi="Arial"/>
          <w:sz w:val="17"/>
          <w:szCs w:val="17"/>
          <w:color w:val="auto"/>
        </w:rPr>
        <w:t>. The preclinical studies and clinical trials conducted by or, to the Company’s knowledge, on behalf of the Company that are described in, or the results of which are referred to in, the Registration Statement and the Prospectus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and the Prospectus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and the Prospectus; and except as disclosed in the Registration Statement and the Prospectus,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requiring the termination, suspension or material adverse modification of any clinical trials that are described or referred to in the Registration Statement and the Prospectus;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86" w:lineRule="exact"/>
        <w:rPr>
          <w:rFonts w:ascii="Arial" w:cs="Arial" w:eastAsia="Arial" w:hAnsi="Arial"/>
          <w:sz w:val="17"/>
          <w:szCs w:val="17"/>
          <w:color w:val="auto"/>
        </w:rPr>
      </w:pPr>
    </w:p>
    <w:p>
      <w:pPr>
        <w:jc w:val="both"/>
        <w:ind w:left="-656" w:firstLine="656"/>
        <w:spacing w:after="0" w:line="284" w:lineRule="auto"/>
        <w:tabs>
          <w:tab w:leader="none" w:pos="89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Compliance with Health Care Laws.</w:t>
      </w:r>
      <w:r>
        <w:rPr>
          <w:rFonts w:ascii="Arial" w:cs="Arial" w:eastAsia="Arial" w:hAnsi="Arial"/>
          <w:sz w:val="16"/>
          <w:szCs w:val="16"/>
          <w:color w:val="auto"/>
        </w:rPr>
        <w:t xml:space="preserve"> The Company and the Subsidiaries are, and since January 1, 2017 have been, in compliance with all applicable Health Care Laws except where failure to be in compliance would not be expected reasonably to have a Material Adverse Effect.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means: (i) the Federal Food, Drug, and Cosmetic Act (21 U.S.C. §§ 301 et seq.), and the regulations promulgated thereunder; (ii) all applicable federal, state, local and foreign health care related fraud and abuse laws, 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 §§ 1320d et seq.), the Civil Monetary Penalties Law (42 U.S.C. § 1320a-7a), the exclusion laws (42 U.S.C. § 1320a-7), the Medicare statute (Title XVIII of the Social Security Act), and the Medicaid statute (Title XIX of the Social Security Act) and the regulations promulgated pursuant to such statutes; (iii) 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410210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9" w:name="page20"/>
    <w:bookmarkEnd w:id="19"/>
    <w:p>
      <w:pPr>
        <w:jc w:val="both"/>
        <w:ind w:left="-656" w:firstLine="656"/>
        <w:spacing w:after="0" w:line="267" w:lineRule="auto"/>
        <w:tabs>
          <w:tab w:leader="none" w:pos="1102"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Cybersecurity and Data Privacy</w:t>
      </w:r>
      <w:r>
        <w:rPr>
          <w:rFonts w:ascii="Arial" w:cs="Arial" w:eastAsia="Arial" w:hAnsi="Arial"/>
          <w:sz w:val="17"/>
          <w:szCs w:val="17"/>
          <w:color w:val="auto"/>
        </w:rPr>
        <w:t>. The Company and the Subsidiaries’ information technology assets and equipment, computers, systems, networks, hardware, software, websites, applications, and databases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 regulated data (collectively, the “</w:t>
      </w:r>
      <w:r>
        <w:rPr>
          <w:rFonts w:ascii="Arial" w:cs="Arial" w:eastAsia="Arial" w:hAnsi="Arial"/>
          <w:sz w:val="17"/>
          <w:szCs w:val="17"/>
          <w:b w:val="1"/>
          <w:bCs w:val="1"/>
          <w:color w:val="auto"/>
        </w:rPr>
        <w:t>Confidential Data</w:t>
      </w:r>
      <w:r>
        <w:rPr>
          <w:rFonts w:ascii="Arial" w:cs="Arial" w:eastAsia="Arial" w:hAnsi="Arial"/>
          <w:sz w:val="17"/>
          <w:szCs w:val="17"/>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w:t>
      </w:r>
      <w:r>
        <w:rPr>
          <w:rFonts w:ascii="Arial" w:cs="Arial" w:eastAsia="Arial" w:hAnsi="Arial"/>
          <w:sz w:val="17"/>
          <w:szCs w:val="17"/>
          <w:b w:val="1"/>
          <w:bCs w:val="1"/>
          <w:color w:val="auto"/>
        </w:rPr>
        <w:t>Personal Data</w:t>
      </w:r>
      <w:r>
        <w:rPr>
          <w:rFonts w:ascii="Arial" w:cs="Arial" w:eastAsia="Arial" w:hAnsi="Arial"/>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General Data Protection Regulation, and (v) any other piece of information that allows the identification of such natural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421640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0" w:name="page21"/>
    <w:bookmarkEnd w:id="20"/>
    <w:p>
      <w:pPr>
        <w:jc w:val="both"/>
        <w:ind w:left="-656" w:firstLine="656"/>
        <w:spacing w:after="0" w:line="311" w:lineRule="auto"/>
        <w:tabs>
          <w:tab w:leader="none" w:pos="96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The issuance and sale of the Shares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capital stock of the Company, except as have been otherwise waived.</w:t>
      </w:r>
    </w:p>
    <w:p>
      <w:pPr>
        <w:spacing w:after="0" w:line="148" w:lineRule="exact"/>
        <w:rPr>
          <w:rFonts w:ascii="Arial" w:cs="Arial" w:eastAsia="Arial" w:hAnsi="Arial"/>
          <w:sz w:val="16"/>
          <w:szCs w:val="16"/>
          <w:color w:val="auto"/>
        </w:rPr>
      </w:pPr>
    </w:p>
    <w:p>
      <w:pPr>
        <w:jc w:val="both"/>
        <w:ind w:left="-656" w:firstLine="656"/>
        <w:spacing w:after="0" w:line="263" w:lineRule="auto"/>
        <w:tabs>
          <w:tab w:leader="none" w:pos="110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pursuant to this Agreement, neither the Company nor any of the Subsidiaries has incurred any liability for any finder’s or broker’s fee or agent’s commission in connection with the execution and delivery of this Agreement or the consummation of the transactions contemplated hereby or by the Registration Statement.</w:t>
      </w:r>
    </w:p>
    <w:p>
      <w:pPr>
        <w:spacing w:after="0" w:line="183" w:lineRule="exact"/>
        <w:rPr>
          <w:rFonts w:ascii="Arial" w:cs="Arial" w:eastAsia="Arial" w:hAnsi="Arial"/>
          <w:sz w:val="18"/>
          <w:szCs w:val="18"/>
          <w:color w:val="auto"/>
        </w:rPr>
      </w:pPr>
    </w:p>
    <w:p>
      <w:pPr>
        <w:jc w:val="both"/>
        <w:ind w:left="-656" w:firstLine="656"/>
        <w:spacing w:after="0" w:line="296" w:lineRule="auto"/>
        <w:tabs>
          <w:tab w:leader="none" w:pos="86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No Price Stabilization or Manipulation; Compliance with Regulation M</w:t>
      </w:r>
      <w:r>
        <w:rPr>
          <w:rFonts w:ascii="Arial" w:cs="Arial" w:eastAsia="Arial" w:hAnsi="Arial"/>
          <w:sz w:val="16"/>
          <w:szCs w:val="16"/>
          <w:color w:val="auto"/>
        </w:rPr>
        <w:t>. None of the Company, any of the Subsidiaries or any of their respective directors, officers or affiliates has taken, directly or indirectly, any action designed, or which has constituted or might reasonably be expected to cause or result in the stabilization or manipulation of the price of any security of the Company to facilitate the sale or resale of the Shares in violation of Regulation M under the Exchange Act. The Company acknowledges that the Agent may engage in passive market making transactions in the Shares on the Nasdaq Global Market in accordance with Regulation M. The Common Shares are “actively traded securities” (as defined in Regulation M).</w:t>
      </w:r>
    </w:p>
    <w:p>
      <w:pPr>
        <w:spacing w:after="0" w:line="161" w:lineRule="exact"/>
        <w:rPr>
          <w:rFonts w:ascii="Arial" w:cs="Arial" w:eastAsia="Arial" w:hAnsi="Arial"/>
          <w:sz w:val="16"/>
          <w:szCs w:val="16"/>
          <w:color w:val="auto"/>
        </w:rPr>
      </w:pPr>
    </w:p>
    <w:p>
      <w:pPr>
        <w:jc w:val="both"/>
        <w:ind w:left="-656" w:firstLine="656"/>
        <w:spacing w:after="0" w:line="259" w:lineRule="auto"/>
        <w:tabs>
          <w:tab w:leader="none" w:pos="86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To the Company’s knowledge, there are no affiliations or 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and the Prospectus.</w:t>
      </w:r>
    </w:p>
    <w:p>
      <w:pPr>
        <w:spacing w:after="0" w:line="186" w:lineRule="exact"/>
        <w:rPr>
          <w:rFonts w:ascii="Arial" w:cs="Arial" w:eastAsia="Arial" w:hAnsi="Arial"/>
          <w:sz w:val="18"/>
          <w:szCs w:val="18"/>
          <w:color w:val="auto"/>
        </w:rPr>
      </w:pPr>
    </w:p>
    <w:p>
      <w:pPr>
        <w:jc w:val="both"/>
        <w:ind w:left="-656" w:firstLine="656"/>
        <w:spacing w:after="0" w:line="269" w:lineRule="auto"/>
        <w:tabs>
          <w:tab w:leader="none" w:pos="1052"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ERISA Matters</w:t>
      </w:r>
      <w:r>
        <w:rPr>
          <w:rFonts w:ascii="Arial" w:cs="Arial" w:eastAsia="Arial" w:hAnsi="Arial"/>
          <w:sz w:val="17"/>
          <w:szCs w:val="17"/>
          <w:color w:val="auto"/>
        </w:rPr>
        <w:t>. 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of its “Controlled Group” (defined as any organization that is a member of a controlled group of corporations within the meaning of Section 414 of the Code, including its subsidiaries, would have liability (each a “</w:t>
      </w:r>
      <w:r>
        <w:rPr>
          <w:rFonts w:ascii="Arial" w:cs="Arial" w:eastAsia="Arial" w:hAnsi="Arial"/>
          <w:sz w:val="17"/>
          <w:szCs w:val="17"/>
          <w:b w:val="1"/>
          <w:bCs w:val="1"/>
          <w:color w:val="auto"/>
        </w:rPr>
        <w:t>Plan</w:t>
      </w:r>
      <w:r>
        <w:rPr>
          <w:rFonts w:ascii="Arial" w:cs="Arial" w:eastAsia="Arial" w:hAnsi="Arial"/>
          <w:sz w:val="17"/>
          <w:szCs w:val="17"/>
          <w:color w:val="auto"/>
        </w:rPr>
        <w:t>”)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414020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1" w:name="page22"/>
    <w:bookmarkEnd w:id="21"/>
    <w:p>
      <w:pPr>
        <w:jc w:val="both"/>
        <w:ind w:right="20" w:firstLine="656"/>
        <w:spacing w:after="0" w:line="279" w:lineRule="auto"/>
        <w:tabs>
          <w:tab w:leader="none" w:pos="170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Stock Exchange Listing</w:t>
      </w:r>
      <w:r>
        <w:rPr>
          <w:rFonts w:ascii="Arial" w:cs="Arial" w:eastAsia="Arial" w:hAnsi="Arial"/>
          <w:sz w:val="17"/>
          <w:szCs w:val="17"/>
          <w:color w:val="auto"/>
        </w:rPr>
        <w:t>. The Common Shares are registered pursuant to Section 12(b) of the Exchange Act and are listed on the Nasdaq Global Market, and the Company has taken no action designed to, or likely to have the effect of, terminating the registration of the Common Shares under the Exchange Act or delisting the Common Shares from the Nasdaq Global Market, nor has the Company received any notification that the Commission or the Nasdaq Global Market is contemplating terminating such registration or listing.</w:t>
      </w:r>
    </w:p>
    <w:p>
      <w:pPr>
        <w:spacing w:after="0" w:line="171" w:lineRule="exact"/>
        <w:rPr>
          <w:rFonts w:ascii="Arial" w:cs="Arial" w:eastAsia="Arial" w:hAnsi="Arial"/>
          <w:sz w:val="17"/>
          <w:szCs w:val="17"/>
          <w:color w:val="auto"/>
        </w:rPr>
      </w:pPr>
    </w:p>
    <w:p>
      <w:pPr>
        <w:ind w:right="20" w:firstLine="656"/>
        <w:spacing w:after="0" w:line="277" w:lineRule="auto"/>
        <w:tabs>
          <w:tab w:leader="none" w:pos="161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Selecta RUS</w:t>
      </w:r>
      <w:r>
        <w:rPr>
          <w:rFonts w:ascii="Arial" w:cs="Arial" w:eastAsia="Arial" w:hAnsi="Arial"/>
          <w:sz w:val="18"/>
          <w:szCs w:val="18"/>
          <w:color w:val="auto"/>
        </w:rPr>
        <w:t>. Selecta (RUS) Limited Liability Company (i) does not own any Intellectual Property or assets that are material to the Company’s business and (ii) does not have any operations that are material to the Company’s business or prospects.</w:t>
      </w:r>
    </w:p>
    <w:p>
      <w:pPr>
        <w:spacing w:after="0" w:line="170" w:lineRule="exact"/>
        <w:rPr>
          <w:rFonts w:ascii="Arial" w:cs="Arial" w:eastAsia="Arial" w:hAnsi="Arial"/>
          <w:sz w:val="18"/>
          <w:szCs w:val="18"/>
          <w:color w:val="auto"/>
        </w:rPr>
      </w:pPr>
    </w:p>
    <w:p>
      <w:pPr>
        <w:ind w:left="1580" w:hanging="924"/>
        <w:spacing w:after="0"/>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Timely Filing</w:t>
      </w:r>
      <w:r>
        <w:rPr>
          <w:rFonts w:ascii="Arial" w:cs="Arial" w:eastAsia="Arial" w:hAnsi="Arial"/>
          <w:sz w:val="18"/>
          <w:szCs w:val="18"/>
          <w:color w:val="auto"/>
        </w:rPr>
        <w:t>. The Company has timely made all filings required to be made under the Exchange Act.</w:t>
      </w:r>
    </w:p>
    <w:p>
      <w:pPr>
        <w:spacing w:after="0" w:line="225" w:lineRule="exact"/>
        <w:rPr>
          <w:rFonts w:ascii="Arial" w:cs="Arial" w:eastAsia="Arial" w:hAnsi="Arial"/>
          <w:sz w:val="18"/>
          <w:szCs w:val="18"/>
          <w:color w:val="auto"/>
        </w:rPr>
      </w:pPr>
    </w:p>
    <w:p>
      <w:pPr>
        <w:ind w:firstLine="656"/>
        <w:spacing w:after="0" w:line="277" w:lineRule="auto"/>
        <w:tabs>
          <w:tab w:leader="none" w:pos="168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jc w:val="both"/>
        <w:ind w:firstLine="656"/>
        <w:spacing w:after="0" w:line="259" w:lineRule="auto"/>
        <w:tabs>
          <w:tab w:leader="none" w:pos="176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664" w:hanging="664"/>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70" w:lineRule="auto"/>
        <w:tabs>
          <w:tab w:leader="none" w:pos="1191"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Issuance Notice</w:t>
      </w:r>
      <w:r>
        <w:rPr>
          <w:rFonts w:ascii="Arial" w:cs="Arial" w:eastAsia="Arial" w:hAnsi="Arial"/>
          <w:sz w:val="17"/>
          <w:szCs w:val="17"/>
          <w:color w:val="auto"/>
        </w:rPr>
        <w:t xml:space="preserve">. Upon the terms and subject to the conditions set forth herein, on any Trading Day during the Agency Period on which the conditions set forth in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have been satisfied, the Company may exercise its right to request an issuance of Shares by delivering to the Agent an Issuance Notice;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so identified in writing by the Agent and confirmed by the Company by telephone (including a voicemail message to the persons so identified), with the understanding that, with adequate prior written notice, the Agent may modify the list of such persons from time to time.</w:t>
      </w:r>
    </w:p>
    <w:p>
      <w:pPr>
        <w:spacing w:after="0" w:line="180" w:lineRule="exact"/>
        <w:rPr>
          <w:rFonts w:ascii="Arial" w:cs="Arial" w:eastAsia="Arial" w:hAnsi="Arial"/>
          <w:sz w:val="17"/>
          <w:szCs w:val="17"/>
          <w:color w:val="auto"/>
        </w:rPr>
      </w:pPr>
    </w:p>
    <w:p>
      <w:pPr>
        <w:jc w:val="both"/>
        <w:ind w:left="4" w:firstLine="644"/>
        <w:spacing w:after="0" w:line="255" w:lineRule="auto"/>
        <w:tabs>
          <w:tab w:leader="none" w:pos="124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Agent Efforts</w:t>
      </w:r>
      <w:r>
        <w:rPr>
          <w:rFonts w:ascii="Arial" w:cs="Arial" w:eastAsia="Arial" w:hAnsi="Arial"/>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92" w:lineRule="exact"/>
        <w:rPr>
          <w:rFonts w:ascii="Arial" w:cs="Arial" w:eastAsia="Arial" w:hAnsi="Arial"/>
          <w:sz w:val="18"/>
          <w:szCs w:val="18"/>
          <w:color w:val="auto"/>
        </w:rPr>
      </w:pPr>
    </w:p>
    <w:p>
      <w:pPr>
        <w:ind w:left="1224" w:hanging="576"/>
        <w:spacing w:after="0"/>
        <w:tabs>
          <w:tab w:leader="none" w:pos="1224"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negotiated transactions with the consent of the Company or</w:t>
      </w:r>
    </w:p>
    <w:p>
      <w:pPr>
        <w:spacing w:after="0" w:line="46" w:lineRule="exact"/>
        <w:rPr>
          <w:rFonts w:ascii="Arial" w:cs="Arial" w:eastAsia="Arial" w:hAnsi="Arial"/>
          <w:sz w:val="16"/>
          <w:szCs w:val="16"/>
          <w:color w:val="auto"/>
        </w:rPr>
      </w:pPr>
    </w:p>
    <w:p>
      <w:pPr>
        <w:jc w:val="both"/>
        <w:ind w:left="4"/>
        <w:spacing w:after="0" w:line="295" w:lineRule="auto"/>
        <w:rPr>
          <w:rFonts w:ascii="Arial" w:cs="Arial" w:eastAsia="Arial" w:hAnsi="Arial"/>
          <w:sz w:val="16"/>
          <w:szCs w:val="16"/>
          <w:color w:val="auto"/>
        </w:rPr>
      </w:pPr>
      <w:r>
        <w:rPr>
          <w:rFonts w:ascii="Arial" w:cs="Arial" w:eastAsia="Arial" w:hAnsi="Arial"/>
          <w:sz w:val="16"/>
          <w:szCs w:val="16"/>
          <w:color w:val="auto"/>
        </w:rPr>
        <w:t>(B) by any other method permitted by law deemed to be an “at the market” offering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61" w:lineRule="exact"/>
        <w:rPr>
          <w:rFonts w:ascii="Arial" w:cs="Arial" w:eastAsia="Arial" w:hAnsi="Arial"/>
          <w:sz w:val="16"/>
          <w:szCs w:val="16"/>
          <w:color w:val="auto"/>
        </w:rPr>
      </w:pPr>
    </w:p>
    <w:p>
      <w:pPr>
        <w:jc w:val="both"/>
        <w:ind w:left="4" w:firstLine="644"/>
        <w:spacing w:after="0" w:line="311" w:lineRule="auto"/>
        <w:tabs>
          <w:tab w:leader="none" w:pos="124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Confirmation to the Company</w:t>
      </w:r>
      <w:r>
        <w:rPr>
          <w:rFonts w:ascii="Arial" w:cs="Arial" w:eastAsia="Arial" w:hAnsi="Arial"/>
          <w:sz w:val="16"/>
          <w:szCs w:val="16"/>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394970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23" w:name="page24"/>
    <w:bookmarkEnd w:id="23"/>
    <w:p>
      <w:pPr>
        <w:jc w:val="both"/>
        <w:ind w:left="4" w:firstLine="644"/>
        <w:spacing w:after="0" w:line="254" w:lineRule="auto"/>
        <w:tabs>
          <w:tab w:leader="none" w:pos="1217"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4" w:firstLine="644"/>
        <w:spacing w:after="0" w:line="285" w:lineRule="auto"/>
        <w:tabs>
          <w:tab w:leader="none" w:pos="1254"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262" w:val="left"/>
        </w:tabs>
        <w:numPr>
          <w:ilvl w:val="0"/>
          <w:numId w:val="28"/>
        </w:numPr>
        <w:rPr>
          <w:rFonts w:ascii="Arial" w:cs="Arial" w:eastAsia="Arial" w:hAnsi="Arial"/>
          <w:sz w:val="18"/>
          <w:szCs w:val="18"/>
          <w:u w:val="single" w:color="auto"/>
          <w:color w:val="auto"/>
        </w:rPr>
      </w:pPr>
      <w:r>
        <w:rPr>
          <w:rFonts w:ascii="Arial" w:cs="Arial" w:eastAsia="Arial" w:hAnsi="Arial"/>
          <w:sz w:val="18"/>
          <w:szCs w:val="18"/>
          <w:color w:val="auto"/>
        </w:rPr>
        <w:t xml:space="preserve">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92" w:lineRule="exact"/>
        <w:rPr>
          <w:rFonts w:ascii="Arial" w:cs="Arial" w:eastAsia="Arial" w:hAnsi="Arial"/>
          <w:sz w:val="18"/>
          <w:szCs w:val="18"/>
          <w:u w:val="single" w:color="auto"/>
          <w:color w:val="auto"/>
        </w:rPr>
      </w:pPr>
    </w:p>
    <w:p>
      <w:pPr>
        <w:jc w:val="both"/>
        <w:ind w:left="4" w:firstLine="644"/>
        <w:spacing w:after="0" w:line="259" w:lineRule="auto"/>
        <w:tabs>
          <w:tab w:leader="none" w:pos="130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and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6" w:lineRule="exact"/>
        <w:rPr>
          <w:rFonts w:ascii="Arial" w:cs="Arial" w:eastAsia="Arial" w:hAnsi="Arial"/>
          <w:sz w:val="18"/>
          <w:szCs w:val="18"/>
          <w:color w:val="auto"/>
        </w:rPr>
      </w:pPr>
    </w:p>
    <w:p>
      <w:pPr>
        <w:jc w:val="both"/>
        <w:ind w:left="4" w:firstLine="644"/>
        <w:spacing w:after="0" w:line="263" w:lineRule="auto"/>
        <w:tabs>
          <w:tab w:leader="none" w:pos="1394"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4" w:lineRule="exact"/>
        <w:rPr>
          <w:sz w:val="20"/>
          <w:szCs w:val="20"/>
          <w:color w:val="auto"/>
        </w:rPr>
      </w:pPr>
    </w:p>
    <w:p>
      <w:pPr>
        <w:jc w:val="both"/>
        <w:ind w:left="-656" w:firstLine="656"/>
        <w:spacing w:after="0" w:line="263" w:lineRule="auto"/>
        <w:tabs>
          <w:tab w:leader="none" w:pos="105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 w:name="page25"/>
    <w:bookmarkEnd w:id="24"/>
    <w:p>
      <w:pPr>
        <w:jc w:val="both"/>
        <w:ind w:firstLine="656"/>
        <w:spacing w:after="0" w:line="282" w:lineRule="auto"/>
        <w:tabs>
          <w:tab w:leader="none" w:pos="1708"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“Blue Sky Survey” or memorandum and a “Canadian wrapper,” and any supplements thereto, advising the Agent of such qualifications, registrations, determinations and exemptions, (vii) the reasonable fees and documented and disbursements of the Agent’s counsel, including the reasonable and documented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Nasdaq Global Market. The fees and disbursements of Agent’s counsel pursuant to subsections (vi),</w:t>
      </w:r>
    </w:p>
    <w:p>
      <w:pPr>
        <w:spacing w:after="0" w:line="10" w:lineRule="exact"/>
        <w:rPr>
          <w:rFonts w:ascii="Arial" w:cs="Arial" w:eastAsia="Arial" w:hAnsi="Arial"/>
          <w:sz w:val="16"/>
          <w:szCs w:val="16"/>
          <w:color w:val="auto"/>
        </w:rPr>
      </w:pPr>
    </w:p>
    <w:p>
      <w:pPr>
        <w:ind w:firstLine="8"/>
        <w:spacing w:after="0" w:line="260" w:lineRule="auto"/>
        <w:tabs>
          <w:tab w:leader="none" w:pos="3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and (viii), above shall not exceed (A) $50,000 in connection with execution of this Agreement and (B) $15,000 in connection with each Triggering Event Date (as defined below) on which the Company is required to provide a certificate pursuant to Section 4(o).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656"/>
        <w:spacing w:after="0" w:line="287" w:lineRule="auto"/>
        <w:tabs>
          <w:tab w:leader="none" w:pos="159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w:t>
      </w:r>
    </w:p>
    <w:p>
      <w:pPr>
        <w:spacing w:after="0" w:line="2" w:lineRule="exact"/>
        <w:rPr>
          <w:rFonts w:ascii="Arial" w:cs="Arial" w:eastAsia="Arial" w:hAnsi="Arial"/>
          <w:sz w:val="16"/>
          <w:szCs w:val="16"/>
          <w:color w:val="auto"/>
        </w:rPr>
      </w:pPr>
    </w:p>
    <w:p>
      <w:pPr>
        <w:jc w:val="both"/>
        <w:ind w:firstLine="8"/>
        <w:spacing w:after="0" w:line="295" w:lineRule="auto"/>
        <w:tabs>
          <w:tab w:leader="none" w:pos="2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6"/>
          <w:szCs w:val="16"/>
          <w:b w:val="1"/>
          <w:bCs w:val="1"/>
          <w:color w:val="auto"/>
        </w:rPr>
        <w:t>Interim Prospectus</w:t>
      </w:r>
      <w:r>
        <w:rPr>
          <w:rFonts w:ascii="Arial" w:cs="Arial" w:eastAsia="Arial" w:hAnsi="Arial"/>
          <w:sz w:val="16"/>
          <w:szCs w:val="16"/>
          <w:color w:val="auto"/>
        </w:rPr>
        <w:t xml:space="preserve"> Supplement”), such summary information and, at least once a quarter and subject to this </w:t>
      </w:r>
      <w:r>
        <w:rPr>
          <w:rFonts w:ascii="Arial" w:cs="Arial" w:eastAsia="Arial" w:hAnsi="Arial"/>
          <w:sz w:val="16"/>
          <w:szCs w:val="16"/>
          <w:u w:val="single" w:color="auto"/>
          <w:color w:val="auto"/>
        </w:rPr>
        <w:t>Section 4</w:t>
      </w:r>
      <w:r>
        <w:rPr>
          <w:rFonts w:ascii="Arial" w:cs="Arial" w:eastAsia="Arial" w:hAnsi="Arial"/>
          <w:sz w:val="16"/>
          <w:szCs w:val="16"/>
          <w:color w:val="auto"/>
        </w:rPr>
        <w:t>, file such Interim Prospectus Supplement pursuant to Rule 424(b) under the Securities Act (and within the time periods required by Rule 424(b) and Rule 430B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left="-656" w:firstLine="656"/>
        <w:spacing w:after="0" w:line="287" w:lineRule="auto"/>
        <w:tabs>
          <w:tab w:leader="none" w:pos="109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67" w:lineRule="exact"/>
        <w:rPr>
          <w:rFonts w:ascii="Arial" w:cs="Arial" w:eastAsia="Arial" w:hAnsi="Arial"/>
          <w:sz w:val="16"/>
          <w:szCs w:val="16"/>
          <w:color w:val="auto"/>
        </w:rPr>
      </w:pPr>
    </w:p>
    <w:p>
      <w:pPr>
        <w:jc w:val="both"/>
        <w:ind w:left="-656" w:firstLine="656"/>
        <w:spacing w:after="0" w:line="269" w:lineRule="auto"/>
        <w:tabs>
          <w:tab w:leader="none" w:pos="102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Amendments and Supplements to the Prospectus and Other Securities Act Matters</w:t>
      </w:r>
      <w:r>
        <w:rPr>
          <w:rFonts w:ascii="Arial" w:cs="Arial" w:eastAsia="Arial" w:hAnsi="Arial"/>
          <w:sz w:val="17"/>
          <w:szCs w:val="17"/>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4(d) and Section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 4(d) or Section 4(f).</w:t>
      </w:r>
    </w:p>
    <w:p>
      <w:pPr>
        <w:spacing w:after="0" w:line="185" w:lineRule="exact"/>
        <w:rPr>
          <w:rFonts w:ascii="Arial" w:cs="Arial" w:eastAsia="Arial" w:hAnsi="Arial"/>
          <w:sz w:val="17"/>
          <w:szCs w:val="17"/>
          <w:color w:val="auto"/>
        </w:rPr>
      </w:pPr>
    </w:p>
    <w:p>
      <w:pPr>
        <w:jc w:val="both"/>
        <w:ind w:left="-656" w:firstLine="656"/>
        <w:spacing w:after="0" w:line="273" w:lineRule="auto"/>
        <w:tabs>
          <w:tab w:leader="none" w:pos="1079"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During any period in which an Issuance Notice is pending, prior to effecting any amendment or supplement to the Registration Statement (including any registration statement filed under Rule 462(b) under the Securities Act) or the Prospectus (excluding any amendment or supplement through incorporation of any report filed under the Exchange Act) that affects the offer and sale of the Shares as contemplated by this Agreement, the Company shall furnish to the Agent for review, a reasonable amount of time prior to the proposed time of filing or use thereof, a copy of each such proposed amendment or supplement, and file with the Commission within the applicable period specified in Rule 424(b) under the Securities Act any prospectus required to be filed pursuant to such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413385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 w:name="page27"/>
    <w:bookmarkEnd w:id="26"/>
    <w:p>
      <w:pPr>
        <w:jc w:val="both"/>
        <w:ind w:left="-656" w:firstLine="656"/>
        <w:spacing w:after="0" w:line="259" w:lineRule="auto"/>
        <w:tabs>
          <w:tab w:leader="none" w:pos="86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79" w:lineRule="exact"/>
        <w:rPr>
          <w:rFonts w:ascii="Arial" w:cs="Arial" w:eastAsia="Arial" w:hAnsi="Arial"/>
          <w:sz w:val="17"/>
          <w:szCs w:val="17"/>
          <w:color w:val="auto"/>
        </w:rPr>
      </w:pPr>
    </w:p>
    <w:p>
      <w:pPr>
        <w:jc w:val="both"/>
        <w:ind w:left="-656" w:firstLine="656"/>
        <w:spacing w:after="0" w:line="263" w:lineRule="auto"/>
        <w:tabs>
          <w:tab w:leader="none" w:pos="101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7" w:name="page28"/>
    <w:bookmarkEnd w:id="27"/>
    <w:p>
      <w:pPr>
        <w:jc w:val="both"/>
        <w:ind w:left="-656" w:firstLine="656"/>
        <w:spacing w:after="0" w:line="267" w:lineRule="auto"/>
        <w:tabs>
          <w:tab w:leader="none" w:pos="94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Copies of Registration Statement and Prospectus</w:t>
      </w:r>
      <w:r>
        <w:rPr>
          <w:rFonts w:ascii="Arial" w:cs="Arial" w:eastAsia="Arial" w:hAnsi="Arial"/>
          <w:sz w:val="17"/>
          <w:szCs w:val="17"/>
          <w:color w:val="auto"/>
        </w:rPr>
        <w:t xml:space="preserve">.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during such same period the Agent is required to deliver a prospectus in respect of transactions in the Shares, the Company shall promptly prepare and file with the Commission such an amendment or supplement.</w:t>
      </w:r>
    </w:p>
    <w:p>
      <w:pPr>
        <w:spacing w:after="0" w:line="191" w:lineRule="exact"/>
        <w:rPr>
          <w:rFonts w:ascii="Arial" w:cs="Arial" w:eastAsia="Arial" w:hAnsi="Arial"/>
          <w:sz w:val="17"/>
          <w:szCs w:val="17"/>
          <w:color w:val="auto"/>
        </w:rPr>
      </w:pPr>
    </w:p>
    <w:p>
      <w:pPr>
        <w:jc w:val="both"/>
        <w:ind w:left="-656" w:firstLine="656"/>
        <w:spacing w:after="0" w:line="290" w:lineRule="auto"/>
        <w:tabs>
          <w:tab w:leader="none" w:pos="103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Blue Sky Compliance</w:t>
      </w:r>
      <w:r>
        <w:rPr>
          <w:rFonts w:ascii="Arial" w:cs="Arial" w:eastAsia="Arial" w:hAnsi="Arial"/>
          <w:sz w:val="16"/>
          <w:szCs w:val="16"/>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165" w:lineRule="exact"/>
        <w:rPr>
          <w:rFonts w:ascii="Arial" w:cs="Arial" w:eastAsia="Arial" w:hAnsi="Arial"/>
          <w:sz w:val="16"/>
          <w:szCs w:val="16"/>
          <w:color w:val="auto"/>
        </w:rPr>
      </w:pPr>
    </w:p>
    <w:p>
      <w:pPr>
        <w:jc w:val="both"/>
        <w:ind w:left="-656" w:firstLine="656"/>
        <w:spacing w:after="0" w:line="311" w:lineRule="auto"/>
        <w:tabs>
          <w:tab w:leader="none" w:pos="104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(12) months beginning with the first fiscal quarter of the Company occurring after the date of this Agreement which shall satisfy the provisions of Section 11(a) of the Securities Act and Rule 158 under the Securities Act.</w:t>
      </w:r>
    </w:p>
    <w:p>
      <w:pPr>
        <w:spacing w:after="0" w:line="148" w:lineRule="exact"/>
        <w:rPr>
          <w:rFonts w:ascii="Arial" w:cs="Arial" w:eastAsia="Arial" w:hAnsi="Arial"/>
          <w:sz w:val="16"/>
          <w:szCs w:val="16"/>
          <w:color w:val="auto"/>
        </w:rPr>
      </w:pPr>
    </w:p>
    <w:p>
      <w:pPr>
        <w:jc w:val="both"/>
        <w:ind w:left="-656" w:firstLine="656"/>
        <w:spacing w:after="0" w:line="263" w:lineRule="auto"/>
        <w:tabs>
          <w:tab w:leader="none" w:pos="90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pursuant to an outstanding Issuance Notice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8" w:name="page29"/>
    <w:bookmarkEnd w:id="28"/>
    <w:p>
      <w:pPr>
        <w:ind w:left="944" w:hanging="944"/>
        <w:spacing w:after="0"/>
        <w:tabs>
          <w:tab w:leader="none" w:pos="9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jc w:val="both"/>
        <w:ind w:left="-656" w:firstLine="656"/>
        <w:spacing w:after="0" w:line="259" w:lineRule="auto"/>
        <w:tabs>
          <w:tab w:leader="none" w:pos="89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jc w:val="both"/>
        <w:ind w:left="-656" w:firstLine="656"/>
        <w:spacing w:after="0" w:line="291" w:lineRule="auto"/>
        <w:tabs>
          <w:tab w:leader="none" w:pos="903"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6" w:lineRule="exact"/>
        <w:rPr>
          <w:rFonts w:ascii="Arial" w:cs="Arial" w:eastAsia="Arial" w:hAnsi="Arial"/>
          <w:sz w:val="16"/>
          <w:szCs w:val="16"/>
          <w:color w:val="auto"/>
        </w:rPr>
      </w:pPr>
    </w:p>
    <w:p>
      <w:pPr>
        <w:ind w:left="-656" w:firstLine="656"/>
        <w:spacing w:after="0" w:line="277" w:lineRule="auto"/>
        <w:tabs>
          <w:tab w:leader="none" w:pos="90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170" w:lineRule="exact"/>
        <w:rPr>
          <w:rFonts w:ascii="Arial" w:cs="Arial" w:eastAsia="Arial" w:hAnsi="Arial"/>
          <w:sz w:val="18"/>
          <w:szCs w:val="18"/>
          <w:color w:val="auto"/>
        </w:rPr>
      </w:pPr>
    </w:p>
    <w:p>
      <w:pPr>
        <w:jc w:val="both"/>
        <w:ind w:left="-656" w:firstLine="1304"/>
        <w:spacing w:after="0" w:line="311" w:lineRule="auto"/>
        <w:tabs>
          <w:tab w:leader="none" w:pos="1216"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148" w:lineRule="exact"/>
        <w:rPr>
          <w:rFonts w:ascii="Arial" w:cs="Arial" w:eastAsia="Arial" w:hAnsi="Arial"/>
          <w:sz w:val="16"/>
          <w:szCs w:val="16"/>
          <w:color w:val="auto"/>
        </w:rPr>
      </w:pPr>
    </w:p>
    <w:p>
      <w:pPr>
        <w:jc w:val="both"/>
        <w:ind w:left="-656" w:firstLine="1304"/>
        <w:spacing w:after="0" w:line="263" w:lineRule="auto"/>
        <w:tabs>
          <w:tab w:leader="none" w:pos="12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9" w:name="page30"/>
    <w:bookmarkEnd w:id="29"/>
    <w:p>
      <w:pPr>
        <w:jc w:val="both"/>
        <w:ind w:firstLine="1304"/>
        <w:spacing w:after="0" w:line="267" w:lineRule="auto"/>
        <w:tabs>
          <w:tab w:leader="none" w:pos="1865"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(any such event, a “</w:t>
      </w:r>
      <w:r>
        <w:rPr>
          <w:rFonts w:ascii="Arial" w:cs="Arial" w:eastAsia="Arial" w:hAnsi="Arial"/>
          <w:sz w:val="17"/>
          <w:szCs w:val="17"/>
          <w:b w:val="1"/>
          <w:bCs w:val="1"/>
          <w:color w:val="auto"/>
        </w:rPr>
        <w:t>Triggering Event Date</w:t>
      </w:r>
      <w:r>
        <w:rPr>
          <w:rFonts w:ascii="Arial" w:cs="Arial" w:eastAsia="Arial" w:hAnsi="Arial"/>
          <w:sz w:val="17"/>
          <w:szCs w:val="17"/>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including those required to be performed pursuant to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automatically waived with no further action of the Agent or Company for any Triggering Event Date occurring at a time when no Issuance Notice is pending or a suspension is in effect, which automatic waiver shall continue until the date the Company delivers instructions for the sale of Shares hereunder (which for such calendar quarter shall be considered a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dated as of the date that the instructions for the sale of Shares are issued.</w:t>
      </w:r>
    </w:p>
    <w:p>
      <w:pPr>
        <w:spacing w:after="0" w:line="191" w:lineRule="exact"/>
        <w:rPr>
          <w:rFonts w:ascii="Arial" w:cs="Arial" w:eastAsia="Arial" w:hAnsi="Arial"/>
          <w:sz w:val="17"/>
          <w:szCs w:val="17"/>
          <w:color w:val="auto"/>
        </w:rPr>
      </w:pPr>
    </w:p>
    <w:p>
      <w:pPr>
        <w:jc w:val="both"/>
        <w:ind w:firstLine="656"/>
        <w:spacing w:after="0" w:line="286" w:lineRule="auto"/>
        <w:tabs>
          <w:tab w:leader="none" w:pos="1708"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 the Company shall cause to be furnished, at the request of the Agent, a negative assurances letter and the written legal opinion of Latham &amp; Watkins LLP, counsel to the Company, or other counsel reasonably satisfactory to the Agent, and the written legal opinion of Wolf Greenfield, intellectual property</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counsel for the Company</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be required to furnish no more than one legal opinion and negative assurance letter hereunder per each filing of an annual report on Form 10-K or a quarterly report on Form 10-Q;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be required to furnish no more than one such opinion from intellectual property counsel hereunder in any twelve (12) month period.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left="-656" w:firstLine="656"/>
        <w:spacing w:after="0" w:line="269" w:lineRule="auto"/>
        <w:tabs>
          <w:tab w:leader="none" w:pos="87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On or prior to the date of the first Issuance Notice and on or prior to each Triggering Event Date with respect to which the Company is obligated to deliver a certificate pursuant to Section 4(o)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181" w:lineRule="exact"/>
        <w:rPr>
          <w:rFonts w:ascii="Arial" w:cs="Arial" w:eastAsia="Arial" w:hAnsi="Arial"/>
          <w:sz w:val="17"/>
          <w:szCs w:val="17"/>
          <w:color w:val="auto"/>
        </w:rPr>
      </w:pPr>
    </w:p>
    <w:p>
      <w:pPr>
        <w:jc w:val="both"/>
        <w:ind w:left="-656" w:firstLine="656"/>
        <w:spacing w:after="0" w:line="254" w:lineRule="auto"/>
        <w:tabs>
          <w:tab w:leader="none" w:pos="48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date of the first Issuance Notice,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94" w:lineRule="exact"/>
        <w:rPr>
          <w:rFonts w:ascii="Arial" w:cs="Arial" w:eastAsia="Arial" w:hAnsi="Arial"/>
          <w:sz w:val="18"/>
          <w:szCs w:val="18"/>
          <w:color w:val="auto"/>
        </w:rPr>
      </w:pPr>
    </w:p>
    <w:p>
      <w:pPr>
        <w:ind w:left="-656" w:firstLine="656"/>
        <w:spacing w:after="0" w:line="342" w:lineRule="auto"/>
        <w:tabs>
          <w:tab w:leader="none" w:pos="52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left="-656" w:firstLine="656"/>
        <w:spacing w:after="0" w:line="342" w:lineRule="auto"/>
        <w:tabs>
          <w:tab w:leader="none" w:pos="47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jc w:val="both"/>
        <w:ind w:left="-656" w:firstLine="656"/>
        <w:spacing w:after="0" w:line="272" w:lineRule="auto"/>
        <w:tabs>
          <w:tab w:leader="none" w:pos="54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Market Activities</w:t>
      </w:r>
      <w:r>
        <w:rPr>
          <w:rFonts w:ascii="Arial" w:cs="Arial" w:eastAsia="Arial" w:hAnsi="Arial"/>
          <w:sz w:val="17"/>
          <w:szCs w:val="17"/>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7"/>
          <w:szCs w:val="17"/>
          <w:b w:val="1"/>
          <w:bCs w:val="1"/>
          <w:color w:val="auto"/>
        </w:rPr>
        <w:t>Rule 102</w:t>
      </w:r>
      <w:r>
        <w:rPr>
          <w:rFonts w:ascii="Arial" w:cs="Arial" w:eastAsia="Arial" w:hAnsi="Arial"/>
          <w:sz w:val="17"/>
          <w:szCs w:val="17"/>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413385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1" w:name="page32"/>
    <w:bookmarkEnd w:id="31"/>
    <w:p>
      <w:pPr>
        <w:jc w:val="both"/>
        <w:ind w:firstLine="656"/>
        <w:spacing w:after="0" w:line="284" w:lineRule="auto"/>
        <w:tabs>
          <w:tab w:leader="none" w:pos="121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 , (ii) issuance or sale of Common Shares pursuant to any dividend reinvestment plan that the Company may adopt from time to time, (iii) issuance or sale of Common Shares issuable upon exchange, conversion or redemption of securities or the exercise or vesting of warrants, options or other equity awards outstanding or disclosed in filings by the Company available on EDGAR or otherwise in writing to the Agent , (iv) issuance or sale of up to 5% of the outstanding Common Shares, or securities convertible into or exchangeable for Common Shares, immediately prior to giving effect to such issuance or sale, in connection with mergers, acquisitions, other business combinations, joint ventures, collaborations or strategic arrangements occurring after the date of this Agreement, (v) modification of any outstanding options, warrants of any rights to purchase or acquire Common Shares, (vi) issuance or sale of Common Shares, or securities convertible into or exercisable for Common Shares, offered and sold in a privately negotiated transaction to vendors, customers, strategic partners or potential strategic partners conducted in a manner so as not to be integrated with the offering of Common Shares hereby and (vii) for the avoidance of doubt, non-public discussions or negotiations with respect to any of the foregoing.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jc w:val="both"/>
        <w:ind w:firstLine="656"/>
        <w:spacing w:after="0" w:line="279" w:lineRule="auto"/>
        <w:tabs>
          <w:tab w:leader="none" w:pos="1189"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Right of the Company to Deliver an Issuance Notice and the Obligation of the Agent to Sell Shares</w:t>
      </w:r>
      <w:r>
        <w:rPr>
          <w:rFonts w:ascii="Arial" w:cs="Arial" w:eastAsia="Arial" w:hAnsi="Arial"/>
          <w:sz w:val="17"/>
          <w:szCs w:val="17"/>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1" w:lineRule="exact"/>
        <w:rPr>
          <w:rFonts w:ascii="Arial" w:cs="Arial" w:eastAsia="Arial" w:hAnsi="Arial"/>
          <w:sz w:val="17"/>
          <w:szCs w:val="17"/>
          <w:color w:val="auto"/>
        </w:rPr>
      </w:pPr>
    </w:p>
    <w:p>
      <w:pPr>
        <w:jc w:val="both"/>
        <w:ind w:left="660" w:firstLine="514"/>
        <w:spacing w:after="0" w:line="257" w:lineRule="auto"/>
        <w:tabs>
          <w:tab w:leader="none" w:pos="2477"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left="-460" w:firstLine="514"/>
        <w:spacing w:after="0" w:line="257" w:lineRule="auto"/>
        <w:tabs>
          <w:tab w:leader="none" w:pos="849"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7" w:lineRule="exact"/>
        <w:rPr>
          <w:rFonts w:ascii="Arial" w:cs="Arial" w:eastAsia="Arial" w:hAnsi="Arial"/>
          <w:sz w:val="18"/>
          <w:szCs w:val="18"/>
          <w:color w:val="auto"/>
        </w:rPr>
      </w:pPr>
    </w:p>
    <w:p>
      <w:pPr>
        <w:jc w:val="both"/>
        <w:ind w:left="-460" w:firstLine="514"/>
        <w:spacing w:after="0" w:line="255" w:lineRule="auto"/>
        <w:tabs>
          <w:tab w:leader="none" w:pos="68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Material Adverse Changes</w:t>
      </w:r>
      <w:r>
        <w:rPr>
          <w:rFonts w:ascii="Arial" w:cs="Arial" w:eastAsia="Arial" w:hAnsi="Arial"/>
          <w:sz w:val="18"/>
          <w:szCs w:val="18"/>
          <w:color w:val="auto"/>
        </w:rPr>
        <w:t>. Except as disclosed in the Prospectus, (a) there shall not have occurred any Material Adverse Change that, in the judgment of the Agent, makes it impractical and inadvisable to market the Shares on the terms and in the manner contemplated in the Prospectus;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92" w:lineRule="exact"/>
        <w:rPr>
          <w:rFonts w:ascii="Arial" w:cs="Arial" w:eastAsia="Arial" w:hAnsi="Arial"/>
          <w:sz w:val="18"/>
          <w:szCs w:val="18"/>
          <w:color w:val="auto"/>
        </w:rPr>
      </w:pPr>
    </w:p>
    <w:p>
      <w:pPr>
        <w:jc w:val="both"/>
        <w:ind w:left="-460" w:firstLine="514"/>
        <w:spacing w:after="0" w:line="269" w:lineRule="auto"/>
        <w:tabs>
          <w:tab w:leader="none" w:pos="63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FINRA; (ii) a general banking moratorium shall have been declared by U.S.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any such case, in the judgment of the Agent is material and adverse and makes it impractical and inadvisable to market the Shares in the manner and on the terms described in the Prospectus or to enforce contracts for the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259715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3" w:name="page34"/>
    <w:bookmarkEnd w:id="33"/>
    <w:p>
      <w:pPr>
        <w:jc w:val="both"/>
        <w:ind w:firstLine="656"/>
        <w:spacing w:after="0" w:line="257" w:lineRule="auto"/>
        <w:tabs>
          <w:tab w:leader="none" w:pos="122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Documents Required to be Delivered on each Issuance Notice Date</w:t>
      </w:r>
      <w:r>
        <w:rPr>
          <w:rFonts w:ascii="Arial" w:cs="Arial" w:eastAsia="Arial" w:hAnsi="Arial"/>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7" w:lineRule="exact"/>
        <w:rPr>
          <w:rFonts w:ascii="Arial" w:cs="Arial" w:eastAsia="Arial" w:hAnsi="Arial"/>
          <w:sz w:val="18"/>
          <w:szCs w:val="18"/>
          <w:color w:val="auto"/>
        </w:rPr>
      </w:pPr>
    </w:p>
    <w:p>
      <w:pPr>
        <w:jc w:val="both"/>
        <w:ind w:firstLine="656"/>
        <w:spacing w:after="0" w:line="286" w:lineRule="auto"/>
        <w:tabs>
          <w:tab w:leader="none" w:pos="1261"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 Misstatement or Material Omission</w:t>
      </w:r>
      <w:r>
        <w:rPr>
          <w:rFonts w:ascii="Arial" w:cs="Arial" w:eastAsia="Arial" w:hAnsi="Arial"/>
          <w:sz w:val="17"/>
          <w:szCs w:val="17"/>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65" w:lineRule="exact"/>
        <w:rPr>
          <w:rFonts w:ascii="Arial" w:cs="Arial" w:eastAsia="Arial" w:hAnsi="Arial"/>
          <w:sz w:val="17"/>
          <w:szCs w:val="17"/>
          <w:color w:val="auto"/>
        </w:rPr>
      </w:pPr>
    </w:p>
    <w:p>
      <w:pPr>
        <w:jc w:val="both"/>
        <w:ind w:firstLine="656"/>
        <w:spacing w:after="0" w:line="311" w:lineRule="auto"/>
        <w:tabs>
          <w:tab w:leader="none" w:pos="120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Agent Counsel Legal Opinion</w:t>
      </w:r>
      <w:r>
        <w:rPr>
          <w:rFonts w:ascii="Arial" w:cs="Arial" w:eastAsia="Arial" w:hAnsi="Arial"/>
          <w:sz w:val="16"/>
          <w:szCs w:val="16"/>
          <w:color w:val="auto"/>
        </w:rPr>
        <w:t>. Agent shall have received from Cooley LLP, counsel for Agent, such opinion or opinions, on or before the date on which the delivery of the Company counsel legal opinion is required pursuant to Section 4(p), with respect to such matters as Agent may reasonably require, and the Company shall have furnished to such counsel such documents as they request for enabling them to pass upon such matters.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jc w:val="both"/>
        <w:ind w:firstLine="656"/>
        <w:spacing w:after="0" w:line="285" w:lineRule="auto"/>
        <w:tabs>
          <w:tab w:leader="none" w:pos="116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left="-8" w:firstLine="656"/>
        <w:spacing w:after="0" w:line="285" w:lineRule="auto"/>
        <w:tabs>
          <w:tab w:leader="none" w:pos="1219"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168" w:lineRule="exact"/>
        <w:rPr>
          <w:rFonts w:ascii="Arial" w:cs="Arial" w:eastAsia="Arial" w:hAnsi="Arial"/>
          <w:sz w:val="16"/>
          <w:szCs w:val="16"/>
          <w:color w:val="auto"/>
        </w:rPr>
      </w:pPr>
    </w:p>
    <w:p>
      <w:pPr>
        <w:jc w:val="both"/>
        <w:ind w:left="-8" w:firstLine="656"/>
        <w:spacing w:after="0" w:line="282" w:lineRule="auto"/>
        <w:tabs>
          <w:tab w:leader="none" w:pos="1177"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LLC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or the Company (in the case of counsel for the indemnified parties referred to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(ii) the indemnifying party shall not have employed counsel reasonably satisfactory to the indemnified party to represent the indemnified party within a reasonable time after notice of commencement of the action or</w:t>
      </w:r>
    </w:p>
    <w:p>
      <w:pPr>
        <w:spacing w:after="0" w:line="10" w:lineRule="exact"/>
        <w:rPr>
          <w:rFonts w:ascii="Arial" w:cs="Arial" w:eastAsia="Arial" w:hAnsi="Arial"/>
          <w:sz w:val="16"/>
          <w:szCs w:val="16"/>
          <w:color w:val="auto"/>
        </w:rPr>
      </w:pPr>
    </w:p>
    <w:p>
      <w:pPr>
        <w:ind w:left="-8" w:firstLine="8"/>
        <w:spacing w:after="0" w:line="290" w:lineRule="auto"/>
        <w:tabs>
          <w:tab w:leader="none" w:pos="30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5" w:name="page36"/>
    <w:bookmarkEnd w:id="35"/>
    <w:p>
      <w:pPr>
        <w:jc w:val="both"/>
        <w:ind w:left="-656" w:firstLine="656"/>
        <w:spacing w:after="0" w:line="269" w:lineRule="auto"/>
        <w:tabs>
          <w:tab w:leader="none" w:pos="63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Settlements</w:t>
      </w:r>
      <w:r>
        <w:rPr>
          <w:rFonts w:ascii="Arial" w:cs="Arial" w:eastAsia="Arial" w:hAnsi="Arial"/>
          <w:sz w:val="17"/>
          <w:szCs w:val="17"/>
          <w:color w:val="auto"/>
        </w:rPr>
        <w:t xml:space="preserve">. The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1" w:lineRule="exact"/>
        <w:rPr>
          <w:rFonts w:ascii="Arial" w:cs="Arial" w:eastAsia="Arial" w:hAnsi="Arial"/>
          <w:sz w:val="17"/>
          <w:szCs w:val="17"/>
          <w:color w:val="auto"/>
        </w:rPr>
      </w:pPr>
    </w:p>
    <w:p>
      <w:pPr>
        <w:jc w:val="both"/>
        <w:ind w:left="-656" w:firstLine="656"/>
        <w:spacing w:after="0" w:line="268" w:lineRule="auto"/>
        <w:tabs>
          <w:tab w:leader="none" w:pos="574"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36" w:name="page37"/>
    <w:bookmarkEnd w:id="36"/>
    <w:p>
      <w:pPr>
        <w:jc w:val="both"/>
        <w:ind w:firstLine="648"/>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 xml:space="preserve">The Company and the Agent agree that it would not be just and equitable if contribution pursuant to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6(e)</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229" w:lineRule="exact"/>
        <w:rPr>
          <w:sz w:val="20"/>
          <w:szCs w:val="20"/>
          <w:color w:val="auto"/>
        </w:rPr>
      </w:pPr>
    </w:p>
    <w:p>
      <w:pPr>
        <w:ind w:firstLine="656"/>
        <w:spacing w:after="0" w:line="277"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96" w:lineRule="auto"/>
        <w:tabs>
          <w:tab w:leader="none" w:pos="126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Termination; Survival Following Termination</w:t>
      </w:r>
      <w:r>
        <w:rPr>
          <w:rFonts w:ascii="Arial" w:cs="Arial" w:eastAsia="Arial" w:hAnsi="Arial"/>
          <w:sz w:val="16"/>
          <w:szCs w:val="16"/>
          <w:color w:val="auto"/>
        </w:rPr>
        <w:t xml:space="preserve">. (i) Either party may terminate this Agreement prior to the end of the Agency Period, by giving written notice as required by this Agreement, upon ten (10) Trading Days’ notice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the Company terminates this Agreement after the Agent confirms to the Company any sale of Shares, the Company shall remain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(B)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61" w:lineRule="exact"/>
        <w:rPr>
          <w:rFonts w:ascii="Arial" w:cs="Arial" w:eastAsia="Arial" w:hAnsi="Arial"/>
          <w:sz w:val="16"/>
          <w:szCs w:val="16"/>
          <w:color w:val="auto"/>
        </w:rPr>
      </w:pPr>
    </w:p>
    <w:p>
      <w:pPr>
        <w:jc w:val="both"/>
        <w:ind w:left="660" w:firstLine="514"/>
        <w:spacing w:after="0" w:line="257" w:lineRule="auto"/>
        <w:tabs>
          <w:tab w:leader="none" w:pos="17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jc w:val="both"/>
        <w:ind w:firstLine="656"/>
        <w:spacing w:after="0" w:line="287" w:lineRule="auto"/>
        <w:tabs>
          <w:tab w:leader="none" w:pos="127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Press Releases and Disclosure</w:t>
      </w:r>
      <w:r>
        <w:rPr>
          <w:rFonts w:ascii="Arial" w:cs="Arial" w:eastAsia="Arial" w:hAnsi="Arial"/>
          <w:sz w:val="16"/>
          <w:szCs w:val="16"/>
          <w:color w:val="auto"/>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of this Agreement in the Company’s quarterly reports on Form 10-Q or annual reports on Form 10-K.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340" w:firstLine="656"/>
        <w:spacing w:after="0" w:line="289" w:lineRule="auto"/>
        <w:tabs>
          <w:tab w:leader="none" w:pos="82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6"/>
          <w:szCs w:val="16"/>
          <w:color w:val="auto"/>
        </w:rPr>
      </w:pPr>
    </w:p>
    <w:p>
      <w:pPr>
        <w:jc w:val="both"/>
        <w:ind w:left="-340" w:firstLine="656"/>
        <w:spacing w:after="0" w:line="254" w:lineRule="auto"/>
        <w:tabs>
          <w:tab w:leader="none" w:pos="86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left="-340" w:firstLine="656"/>
        <w:spacing w:after="0" w:line="277" w:lineRule="auto"/>
        <w:tabs>
          <w:tab w:leader="none" w:pos="87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to the Agent: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jc w:val="both"/>
        <w:ind w:left="640" w:right="8680"/>
        <w:spacing w:after="0" w:line="265" w:lineRule="auto"/>
        <w:tabs>
          <w:tab w:leader="none" w:pos="9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Madison Avenue New York, NY 10022 Facsimile:</w:t>
      </w:r>
    </w:p>
    <w:p>
      <w:pPr>
        <w:ind w:left="640"/>
        <w:spacing w:after="0"/>
        <w:rPr>
          <w:rFonts w:ascii="Arial" w:cs="Arial" w:eastAsia="Arial" w:hAnsi="Arial"/>
          <w:sz w:val="17"/>
          <w:szCs w:val="17"/>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(212) 479-6275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Daniel I. Goldberg and Joshua A.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280035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David Abraham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Peter N. Handrinos and Wesley C. Holmes.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jc w:val="both"/>
        <w:ind w:firstLine="656"/>
        <w:spacing w:after="0" w:line="311"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jc w:val="both"/>
        <w:ind w:firstLine="656"/>
        <w:spacing w:after="0" w:line="259" w:lineRule="auto"/>
        <w:tabs>
          <w:tab w:leader="none" w:pos="130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jc w:val="both"/>
        <w:ind w:firstLine="656"/>
        <w:spacing w:after="0" w:line="269" w:lineRule="auto"/>
        <w:tabs>
          <w:tab w:leader="none" w:pos="125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5" w:lineRule="exact"/>
        <w:rPr>
          <w:rFonts w:ascii="Arial" w:cs="Arial" w:eastAsia="Arial" w:hAnsi="Arial"/>
          <w:sz w:val="17"/>
          <w:szCs w:val="17"/>
          <w:color w:val="auto"/>
        </w:rPr>
      </w:pPr>
    </w:p>
    <w:p>
      <w:pPr>
        <w:jc w:val="both"/>
        <w:ind w:firstLine="656"/>
        <w:spacing w:after="0" w:line="272" w:lineRule="auto"/>
        <w:tabs>
          <w:tab w:leader="none" w:pos="124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Carsten Brunn, Ph.D.</w:t>
      </w:r>
    </w:p>
    <w:p>
      <w:pPr>
        <w:spacing w:after="0" w:line="23" w:lineRule="exact"/>
        <w:rPr>
          <w:sz w:val="20"/>
          <w:szCs w:val="20"/>
          <w:color w:val="auto"/>
        </w:rPr>
      </w:pPr>
    </w:p>
    <w:tbl>
      <w:tblPr>
        <w:tblLayout w:type="fixed"/>
        <w:tblInd w:w="6080" w:type="dxa"/>
        <w:tblCellMar>
          <w:top w:w="0" w:type="dxa"/>
          <w:left w:w="0" w:type="dxa"/>
          <w:bottom w:w="0" w:type="dxa"/>
          <w:right w:w="0" w:type="dxa"/>
        </w:tblCellMar>
      </w:tblPr>
      <w:tr>
        <w:trPr>
          <w:trHeight w:val="195"/>
        </w:trPr>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Carsten Brunn,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Michael Magarro</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9"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Reference is made to the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between Selecta Biosciences, Inc.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August 6, 2020. The Company confirms that all conditions to the delivery of this Issuance Notice are satisfied as of the date 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-10160</wp:posOffset>
            </wp:positionV>
            <wp:extent cx="16567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567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-10160</wp:posOffset>
            </wp:positionV>
            <wp:extent cx="1685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-10160</wp:posOffset>
            </wp:positionV>
            <wp:extent cx="1685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-10160</wp:posOffset>
            </wp:positionV>
            <wp:extent cx="1685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852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263525</wp:posOffset>
            </wp:positionV>
            <wp:extent cx="17138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408940</wp:posOffset>
            </wp:positionV>
            <wp:extent cx="8851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decimal"/>
      <w:start w:val="5"/>
    </w:lvl>
    <w:lvl w:ilvl="1">
      <w:lvlJc w:val="left"/>
      <w:lvlText w:val="(%2)"/>
      <w:numFmt w:val="lowerLetter"/>
      <w:start w:val="1"/>
    </w:lvl>
  </w:abstractNum>
  <w:abstractNum w:abstractNumId="4">
    <w:nsid w:val="2901D82"/>
    <w:multiLevelType w:val="hybridMultilevel"/>
    <w:lvl w:ilvl="0">
      <w:lvlJc w:val="left"/>
      <w:lvlText w:val="(%1)"/>
      <w:numFmt w:val="lowerLetter"/>
      <w:start w:val="2"/>
    </w:lvl>
  </w:abstractNum>
  <w:abstractNum w:abstractNumId="5">
    <w:nsid w:val="3A95F874"/>
    <w:multiLevelType w:val="hybridMultilevel"/>
    <w:lvl w:ilvl="0">
      <w:lvlJc w:val="left"/>
      <w:lvlText w:val="(%1)"/>
      <w:numFmt w:val="lowerLetter"/>
      <w:start w:val="3"/>
    </w:lvl>
  </w:abstractNum>
  <w:abstractNum w:abstractNumId="6">
    <w:nsid w:val="8138641"/>
    <w:multiLevelType w:val="hybridMultilevel"/>
    <w:lvl w:ilvl="0">
      <w:lvlJc w:val="left"/>
      <w:lvlText w:val="(%1)"/>
      <w:numFmt w:val="lowerLetter"/>
      <w:start w:val="6"/>
    </w:lvl>
  </w:abstractNum>
  <w:abstractNum w:abstractNumId="7">
    <w:nsid w:val="1E7FF521"/>
    <w:multiLevelType w:val="hybridMultilevel"/>
    <w:lvl w:ilvl="0">
      <w:lvlJc w:val="left"/>
      <w:lvlText w:val="(%1)"/>
      <w:numFmt w:val="lowerLetter"/>
      <w:start w:val="7"/>
    </w:lvl>
  </w:abstractNum>
  <w:abstractNum w:abstractNumId="8">
    <w:nsid w:val="7C3DBD3D"/>
    <w:multiLevelType w:val="hybridMultilevel"/>
    <w:lvl w:ilvl="0">
      <w:lvlJc w:val="left"/>
      <w:lvlText w:val="(%1)"/>
      <w:numFmt w:val="lowerLetter"/>
      <w:start w:val="11"/>
    </w:lvl>
  </w:abstractNum>
  <w:abstractNum w:abstractNumId="9">
    <w:nsid w:val="737B8DDC"/>
    <w:multiLevelType w:val="hybridMultilevel"/>
    <w:lvl w:ilvl="0">
      <w:lvlJc w:val="left"/>
      <w:lvlText w:val="%1"/>
      <w:numFmt w:val="lowerRoman"/>
      <w:start w:val="1"/>
    </w:lvl>
    <w:lvl w:ilvl="1">
      <w:lvlJc w:val="left"/>
      <w:lvlText w:val="(%2)"/>
      <w:numFmt w:val="lowerLetter"/>
      <w:start w:val="14"/>
    </w:lvl>
  </w:abstractNum>
  <w:abstractNum w:abstractNumId="10">
    <w:nsid w:val="6CEAF087"/>
    <w:multiLevelType w:val="hybridMultilevel"/>
    <w:lvl w:ilvl="0">
      <w:lvlJc w:val="left"/>
      <w:lvlText w:val="(%1)"/>
      <w:numFmt w:val="lowerRoman"/>
      <w:start w:val="4"/>
    </w:lvl>
    <w:lvl w:ilvl="1">
      <w:lvlJc w:val="left"/>
      <w:lvlText w:val="(%2)"/>
      <w:numFmt w:val="lowerLetter"/>
      <w:start w:val="15"/>
    </w:lvl>
  </w:abstractNum>
  <w:abstractNum w:abstractNumId="11">
    <w:nsid w:val="22221A70"/>
    <w:multiLevelType w:val="hybridMultilevel"/>
    <w:lvl w:ilvl="0">
      <w:lvlJc w:val="left"/>
      <w:lvlText w:val="(%1)"/>
      <w:numFmt w:val="lowerLetter"/>
      <w:start w:val="16"/>
    </w:lvl>
  </w:abstractNum>
  <w:abstractNum w:abstractNumId="12">
    <w:nsid w:val="4516DDE9"/>
    <w:multiLevelType w:val="hybridMultilevel"/>
    <w:lvl w:ilvl="0">
      <w:lvlJc w:val="left"/>
      <w:lvlText w:val="(%1)"/>
      <w:numFmt w:val="lowerLetter"/>
      <w:start w:val="20"/>
    </w:lvl>
  </w:abstractNum>
  <w:abstractNum w:abstractNumId="13">
    <w:nsid w:val="3006C83E"/>
    <w:multiLevelType w:val="hybridMultilevel"/>
    <w:lvl w:ilvl="0">
      <w:lvlJc w:val="left"/>
      <w:lvlText w:val="(%1)"/>
      <w:numFmt w:val="lowerLetter"/>
      <w:start w:val="22"/>
    </w:lvl>
  </w:abstractNum>
  <w:abstractNum w:abstractNumId="14">
    <w:nsid w:val="614FD4A1"/>
    <w:multiLevelType w:val="hybridMultilevel"/>
    <w:lvl w:ilvl="0">
      <w:lvlJc w:val="left"/>
      <w:lvlText w:val="(%1)"/>
      <w:numFmt w:val="lowerLetter"/>
      <w:start w:val="25"/>
    </w:lvl>
  </w:abstractNum>
  <w:abstractNum w:abstractNumId="15">
    <w:nsid w:val="419AC241"/>
    <w:multiLevelType w:val="hybridMultilevel"/>
    <w:lvl w:ilvl="0">
      <w:lvlJc w:val="left"/>
      <w:lvlText w:val="%1"/>
      <w:numFmt w:val="lowerLetter"/>
      <w:start w:val="1"/>
    </w:lvl>
    <w:lvl w:ilvl="1">
      <w:lvlJc w:val="left"/>
      <w:lvlText w:val="(%2)"/>
      <w:numFmt w:val="lowerLetter"/>
      <w:start w:val="27"/>
    </w:lvl>
  </w:abstractNum>
  <w:abstractNum w:abstractNumId="16">
    <w:nsid w:val="5577F8E1"/>
    <w:multiLevelType w:val="hybridMultilevel"/>
    <w:lvl w:ilvl="0">
      <w:lvlJc w:val="left"/>
      <w:lvlText w:val="(%1)"/>
      <w:numFmt w:val="lowerLetter"/>
      <w:start w:val="9"/>
    </w:lvl>
    <w:lvl w:ilvl="1">
      <w:lvlJc w:val="left"/>
      <w:lvlText w:val="%2"/>
      <w:numFmt w:val="lowerLetter"/>
      <w:start w:val="1"/>
    </w:lvl>
  </w:abstractNum>
  <w:abstractNum w:abstractNumId="17">
    <w:nsid w:val="440BADFC"/>
    <w:multiLevelType w:val="hybridMultilevel"/>
    <w:lvl w:ilvl="0">
      <w:lvlJc w:val="left"/>
      <w:lvlText w:val="(%1)"/>
      <w:numFmt w:val="lowerLetter"/>
      <w:start w:val="31"/>
    </w:lvl>
  </w:abstractNum>
  <w:abstractNum w:abstractNumId="18">
    <w:nsid w:val="5072367"/>
    <w:multiLevelType w:val="hybridMultilevel"/>
    <w:lvl w:ilvl="0">
      <w:lvlJc w:val="left"/>
      <w:lvlText w:val="%1"/>
      <w:numFmt w:val="decimal"/>
      <w:start w:val="1"/>
    </w:lvl>
    <w:lvl w:ilvl="1">
      <w:lvlJc w:val="left"/>
      <w:lvlText w:val="(%2)"/>
      <w:numFmt w:val="lowerLetter"/>
      <w:start w:val="34"/>
    </w:lvl>
  </w:abstractNum>
  <w:abstractNum w:abstractNumId="19">
    <w:nsid w:val="3804823E"/>
    <w:multiLevelType w:val="hybridMultilevel"/>
    <w:lvl w:ilvl="0">
      <w:lvlJc w:val="left"/>
      <w:lvlText w:val="(%1)"/>
      <w:numFmt w:val="decimal"/>
      <w:start w:val="5"/>
    </w:lvl>
    <w:lvl w:ilvl="1">
      <w:lvlJc w:val="left"/>
      <w:lvlText w:val="%2"/>
      <w:numFmt w:val="lowerLetter"/>
      <w:start w:val="1"/>
    </w:lvl>
  </w:abstractNum>
  <w:abstractNum w:abstractNumId="20">
    <w:nsid w:val="77465F01"/>
    <w:multiLevelType w:val="hybridMultilevel"/>
    <w:lvl w:ilvl="0">
      <w:lvlJc w:val="left"/>
      <w:lvlText w:val="(%1)"/>
      <w:numFmt w:val="lowerLetter"/>
      <w:start w:val="38"/>
    </w:lvl>
  </w:abstractNum>
  <w:abstractNum w:abstractNumId="21">
    <w:nsid w:val="7724C67E"/>
    <w:multiLevelType w:val="hybridMultilevel"/>
    <w:lvl w:ilvl="0">
      <w:lvlJc w:val="left"/>
      <w:lvlText w:val="(%1)"/>
      <w:numFmt w:val="lowerLetter"/>
      <w:start w:val="42"/>
    </w:lvl>
  </w:abstractNum>
  <w:abstractNum w:abstractNumId="22">
    <w:nsid w:val="5C482A97"/>
    <w:multiLevelType w:val="hybridMultilevel"/>
    <w:lvl w:ilvl="0">
      <w:lvlJc w:val="left"/>
      <w:lvlText w:val="(%1)"/>
      <w:numFmt w:val="lowerLetter"/>
      <w:start w:val="43"/>
    </w:lvl>
  </w:abstractNum>
  <w:abstractNum w:abstractNumId="23">
    <w:nsid w:val="2463B9EA"/>
    <w:multiLevelType w:val="hybridMultilevel"/>
    <w:lvl w:ilvl="0">
      <w:lvlJc w:val="left"/>
      <w:lvlText w:val="(%1)"/>
      <w:numFmt w:val="lowerLetter"/>
      <w:start w:val="48"/>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1)"/>
      <w:numFmt w:val="lowerLetter"/>
      <w:start w:val="2"/>
    </w:lvl>
    <w:lvl w:ilvl="1">
      <w:lvlJc w:val="left"/>
      <w:lvlText w:val="(%2)"/>
      <w:numFmt w:val="lowerRoman"/>
      <w:start w:val="1"/>
    </w:lvl>
  </w:abstractNum>
  <w:abstractNum w:abstractNumId="26">
    <w:nsid w:val="2D517796"/>
    <w:multiLevelType w:val="hybridMultilevel"/>
    <w:lvl w:ilvl="0">
      <w:lvlJc w:val="left"/>
      <w:lvlText w:val="%1"/>
      <w:numFmt w:val="lowerRoman"/>
      <w:start w:val="1"/>
    </w:lvl>
    <w:lvl w:ilvl="1">
      <w:lvlJc w:val="left"/>
      <w:lvlText w:val="(%2)"/>
      <w:numFmt w:val="lowerRoman"/>
      <w:start w:val="5"/>
    </w:lvl>
  </w:abstractNum>
  <w:abstractNum w:abstractNumId="27">
    <w:nsid w:val="580BD78F"/>
    <w:multiLevelType w:val="hybridMultilevel"/>
    <w:lvl w:ilvl="0">
      <w:lvlJc w:val="left"/>
      <w:lvlText w:val="(%1)"/>
      <w:numFmt w:val="lowerRoman"/>
      <w:start w:val="5"/>
    </w:lvl>
    <w:lvl w:ilvl="1">
      <w:lvlJc w:val="left"/>
      <w:lvlText w:val="(%2)"/>
      <w:numFmt w:val="lowerRoman"/>
      <w:start w:val="7"/>
    </w:lvl>
  </w:abstractNum>
  <w:abstractNum w:abstractNumId="28">
    <w:nsid w:val="153EA438"/>
    <w:multiLevelType w:val="hybridMultilevel"/>
    <w:lvl w:ilvl="0">
      <w:lvlJc w:val="left"/>
      <w:lvlText w:val="(%1)"/>
      <w:numFmt w:val="lowerLetter"/>
      <w:start w:val="3"/>
    </w:lvl>
  </w:abstractNum>
  <w:abstractNum w:abstractNumId="29">
    <w:nsid w:val="3855585C"/>
    <w:multiLevelType w:val="hybridMultilevel"/>
    <w:lvl w:ilvl="0">
      <w:lvlJc w:val="left"/>
      <w:lvlText w:val="%1"/>
      <w:numFmt w:val="lowerRoman"/>
      <w:start w:val="1"/>
    </w:lvl>
    <w:lvl w:ilvl="1">
      <w:lvlJc w:val="left"/>
      <w:lvlText w:val="(%2)"/>
      <w:numFmt w:val="lowerLetter"/>
      <w:start w:val="4"/>
    </w:lvl>
  </w:abstractNum>
  <w:abstractNum w:abstractNumId="30">
    <w:nsid w:val="70A64E2A"/>
    <w:multiLevelType w:val="hybridMultilevel"/>
    <w:lvl w:ilvl="0">
      <w:lvlJc w:val="left"/>
      <w:lvlText w:val="(%1)"/>
      <w:numFmt w:val="lowerRoman"/>
      <w:start w:val="7"/>
    </w:lvl>
    <w:lvl w:ilvl="1">
      <w:lvlJc w:val="left"/>
      <w:lvlText w:val="%2"/>
      <w:numFmt w:val="lowerLetter"/>
      <w:start w:val="1"/>
    </w:lvl>
  </w:abstractNum>
  <w:abstractNum w:abstractNumId="31">
    <w:nsid w:val="6A2342EC"/>
    <w:multiLevelType w:val="hybridMultilevel"/>
    <w:lvl w:ilvl="0">
      <w:lvlJc w:val="left"/>
      <w:lvlText w:val="%1"/>
      <w:numFmt w:val="decimal"/>
      <w:start w:val="1"/>
    </w:lvl>
    <w:lvl w:ilvl="1">
      <w:lvlJc w:val="left"/>
      <w:lvlText w:val="(%2)"/>
      <w:numFmt w:val="lowerLetter"/>
      <w:start w:val="1"/>
    </w:lvl>
  </w:abstractNum>
  <w:abstractNum w:abstractNumId="32">
    <w:nsid w:val="2A487CB0"/>
    <w:multiLevelType w:val="hybridMultilevel"/>
    <w:lvl w:ilvl="0">
      <w:lvlJc w:val="left"/>
      <w:lvlText w:val="(%1)"/>
      <w:numFmt w:val="decimal"/>
      <w:start w:val="1"/>
    </w:lvl>
    <w:lvl w:ilvl="1">
      <w:lvlJc w:val="left"/>
      <w:lvlText w:val="%2"/>
      <w:numFmt w:val="lowerLetter"/>
      <w:start w:val="1"/>
    </w:lvl>
  </w:abstractNum>
  <w:abstractNum w:abstractNumId="33">
    <w:nsid w:val="1D4ED43B"/>
    <w:multiLevelType w:val="hybridMultilevel"/>
    <w:lvl w:ilvl="0">
      <w:lvlJc w:val="left"/>
      <w:lvlText w:val="(%1)"/>
      <w:numFmt w:val="lowerLetter"/>
      <w:start w:val="2"/>
    </w:lvl>
  </w:abstractNum>
  <w:abstractNum w:abstractNumId="34">
    <w:nsid w:val="725A06FB"/>
    <w:multiLevelType w:val="hybridMultilevel"/>
    <w:lvl w:ilvl="0">
      <w:lvlJc w:val="left"/>
      <w:lvlText w:val="(%1)"/>
      <w:numFmt w:val="lowerLetter"/>
      <w:start w:val="5"/>
    </w:lvl>
  </w:abstractNum>
  <w:abstractNum w:abstractNumId="35">
    <w:nsid w:val="2CD89A32"/>
    <w:multiLevelType w:val="hybridMultilevel"/>
    <w:lvl w:ilvl="0">
      <w:lvlJc w:val="left"/>
      <w:lvlText w:val="(%1)"/>
      <w:numFmt w:val="lowerLetter"/>
      <w:start w:val="8"/>
    </w:lvl>
  </w:abstractNum>
  <w:abstractNum w:abstractNumId="36">
    <w:nsid w:val="57E4CCAF"/>
    <w:multiLevelType w:val="hybridMultilevel"/>
    <w:lvl w:ilvl="0">
      <w:lvlJc w:val="left"/>
      <w:lvlText w:val="(%1)"/>
      <w:numFmt w:val="lowerLetter"/>
      <w:start w:val="12"/>
    </w:lvl>
    <w:lvl w:ilvl="1">
      <w:lvlJc w:val="left"/>
      <w:lvlText w:val="(%2)"/>
      <w:numFmt w:val="upperLetter"/>
      <w:start w:val="1"/>
    </w:lvl>
  </w:abstractNum>
  <w:abstractNum w:abstractNumId="37">
    <w:nsid w:val="7A6D8D3C"/>
    <w:multiLevelType w:val="hybridMultilevel"/>
    <w:lvl w:ilvl="0">
      <w:lvlJc w:val="left"/>
      <w:lvlText w:val="%1"/>
      <w:numFmt w:val="lowerLetter"/>
      <w:start w:val="1"/>
    </w:lvl>
    <w:lvl w:ilvl="1">
      <w:lvlJc w:val="left"/>
      <w:lvlText w:val="(%2)"/>
      <w:numFmt w:val="upperLetter"/>
      <w:start w:val="3"/>
    </w:lvl>
  </w:abstractNum>
  <w:abstractNum w:abstractNumId="38">
    <w:nsid w:val="4B588F54"/>
    <w:multiLevelType w:val="hybridMultilevel"/>
    <w:lvl w:ilvl="0">
      <w:lvlJc w:val="left"/>
      <w:lvlText w:val="(%1)"/>
      <w:numFmt w:val="lowerLetter"/>
      <w:start w:val="16"/>
    </w:lvl>
    <w:lvl w:ilvl="1">
      <w:lvlJc w:val="left"/>
      <w:lvlText w:val="%2"/>
      <w:numFmt w:val="upperLetter"/>
      <w:start w:val="1"/>
    </w:lvl>
  </w:abstractNum>
  <w:abstractNum w:abstractNumId="39">
    <w:nsid w:val="542289EC"/>
    <w:multiLevelType w:val="hybridMultilevel"/>
    <w:lvl w:ilvl="0">
      <w:lvlJc w:val="left"/>
      <w:lvlText w:val="(%1)"/>
      <w:numFmt w:val="lowerLetter"/>
      <w:start w:val="17"/>
    </w:lvl>
  </w:abstractNum>
  <w:abstractNum w:abstractNumId="40">
    <w:nsid w:val="6DE91B18"/>
    <w:multiLevelType w:val="hybridMultilevel"/>
    <w:lvl w:ilvl="0">
      <w:lvlJc w:val="left"/>
      <w:lvlText w:val="(%1)"/>
      <w:numFmt w:val="lowerRoman"/>
      <w:start w:val="5"/>
    </w:lvl>
  </w:abstractNum>
  <w:abstractNum w:abstractNumId="41">
    <w:nsid w:val="38437FDB"/>
    <w:multiLevelType w:val="hybridMultilevel"/>
    <w:lvl w:ilvl="0">
      <w:lvlJc w:val="left"/>
      <w:lvlText w:val="(%1)"/>
      <w:numFmt w:val="lowerLetter"/>
      <w:start w:val="1"/>
    </w:lvl>
    <w:lvl w:ilvl="1">
      <w:lvlJc w:val="left"/>
      <w:lvlText w:val="(%2)"/>
      <w:numFmt w:val="lowerLetter"/>
      <w:start w:val="9"/>
    </w:lvl>
  </w:abstractNum>
  <w:abstractNum w:abstractNumId="42">
    <w:nsid w:val="7644A45C"/>
    <w:multiLevelType w:val="hybridMultilevel"/>
    <w:lvl w:ilvl="0">
      <w:lvlJc w:val="left"/>
      <w:lvlText w:val="(%1)"/>
      <w:numFmt w:val="lowerRoman"/>
      <w:start w:val="2"/>
    </w:lvl>
  </w:abstractNum>
  <w:abstractNum w:abstractNumId="43">
    <w:nsid w:val="32FFF902"/>
    <w:multiLevelType w:val="hybridMultilevel"/>
    <w:lvl w:ilvl="0">
      <w:lvlJc w:val="left"/>
      <w:lvlText w:val="(%1)"/>
      <w:numFmt w:val="lowerLetter"/>
      <w:start w:val="2"/>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lowerLetter"/>
      <w:start w:val="1"/>
    </w:lvl>
    <w:lvl w:ilvl="1">
      <w:lvlJc w:val="left"/>
      <w:lvlText w:val="(%2)"/>
      <w:numFmt w:val="lowerLetter"/>
      <w:start w:val="2"/>
    </w:lvl>
  </w:abstractNum>
  <w:abstractNum w:abstractNumId="46">
    <w:nsid w:val="749ABB43"/>
    <w:multiLevelType w:val="hybridMultilevel"/>
    <w:lvl w:ilvl="0">
      <w:lvlJc w:val="left"/>
      <w:lvlText w:val="(%1)"/>
      <w:numFmt w:val="lowerLetter"/>
      <w:start w:val="61"/>
    </w:lvl>
    <w:lvl w:ilvl="1">
      <w:lvlJc w:val="left"/>
      <w:lvlText w:val="%2"/>
      <w:numFmt w:val="lowerLetter"/>
      <w:start w:val="1"/>
    </w:lvl>
  </w:abstractNum>
  <w:abstractNum w:abstractNumId="47">
    <w:nsid w:val="3DC240FB"/>
    <w:multiLevelType w:val="hybridMultilevel"/>
    <w:lvl w:ilvl="0">
      <w:lvlJc w:val="left"/>
      <w:lvlText w:val="(%1)"/>
      <w:numFmt w:val="lowerLetter"/>
      <w:start w:val="4"/>
    </w:lvl>
  </w:abstractNum>
  <w:abstractNum w:abstractNumId="48">
    <w:nsid w:val="1BA026FA"/>
    <w:multiLevelType w:val="hybridMultilevel"/>
    <w:lvl w:ilvl="0">
      <w:lvlJc w:val="left"/>
      <w:lvlText w:val="(%1)"/>
      <w:numFmt w:val="lowerLetter"/>
      <w:start w:val="1"/>
    </w:lvl>
    <w:lvl w:ilvl="1">
      <w:lvlJc w:val="left"/>
      <w:lvlText w:val="(%2)"/>
      <w:numFmt w:val="lowerLetter"/>
      <w:start w:val="35"/>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Letter"/>
      <w:start w:val="2"/>
    </w:lvl>
  </w:abstractNum>
  <w:abstractNum w:abstractNumId="51">
    <w:nsid w:val="12E685FB"/>
    <w:multiLevelType w:val="hybridMultilevel"/>
    <w:lvl w:ilvl="0">
      <w:lvlJc w:val="left"/>
      <w:lvlText w:val="%1"/>
      <w:numFmt w:val="decimal"/>
      <w:start w:val="520"/>
    </w:lvl>
  </w:abstractNum>
  <w:abstractNum w:abstractNumId="52">
    <w:nsid w:val="70C6A52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2020-08-06T16:36:59Z</dcterms:created>
  <dcterms:modified xsi:type="dcterms:W3CDTF">2020-08-06T16:36:59Z</dcterms:modified>
</cp:coreProperties>
</file>