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274560" cy="470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47040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Smolinski Stephen</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01/07/2019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0"/>
          <w:szCs w:val="20"/>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51"/>
        <w:spacing w:after="0"/>
        <w:rPr>
          <w:sz w:val="20"/>
          <w:szCs w:val="20"/>
          <w:color w:val="auto"/>
        </w:rPr>
      </w:pPr>
      <w:r>
        <w:rPr>
          <w:rFonts w:ascii="Arial" w:cs="Arial" w:eastAsia="Arial" w:hAnsi="Arial"/>
          <w:sz w:val="17"/>
          <w:szCs w:val="17"/>
          <w:color w:val="0000FF"/>
        </w:rPr>
        <w:t>Chief Commercial Officer</w:t>
      </w:r>
    </w:p>
    <w:p>
      <w:pPr>
        <w:spacing w:after="0" w:line="397" w:lineRule="exact"/>
        <w:rPr>
          <w:sz w:val="20"/>
          <w:szCs w:val="20"/>
          <w:color w:val="auto"/>
        </w:rPr>
      </w:pPr>
    </w:p>
    <w:p>
      <w:pPr>
        <w:sectPr>
          <w:pgSz w:w="11900" w:h="16838" w:orient="portrait"/>
          <w:cols w:equalWidth="0" w:num="2">
            <w:col w:w="7980" w:space="6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4"/>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4"/>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02472</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gridSpan w:val="3"/>
            <w:vMerge w:val="restart"/>
          </w:tcPr>
          <w:p>
            <w:pPr>
              <w:ind w:left="16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5"/>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6"/>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01/07/2019</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28" w:lineRule="exact"/>
              <w:rPr>
                <w:sz w:val="20"/>
                <w:szCs w:val="20"/>
                <w:color w:val="auto"/>
              </w:rPr>
            </w:pPr>
            <w:r>
              <w:rPr>
                <w:rFonts w:ascii="Arial" w:cs="Arial" w:eastAsia="Arial" w:hAnsi="Arial"/>
                <w:sz w:val="13"/>
                <w:szCs w:val="13"/>
                <w:color w:val="0000FF"/>
              </w:rPr>
              <w:t>100,000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01/06/2029</w:t>
            </w: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ind w:left="2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220"/>
              <w:spacing w:after="0" w:line="128" w:lineRule="exact"/>
              <w:rPr>
                <w:sz w:val="20"/>
                <w:szCs w:val="20"/>
                <w:color w:val="auto"/>
              </w:rPr>
            </w:pPr>
            <w:r>
              <w:rPr>
                <w:rFonts w:ascii="Arial" w:cs="Arial" w:eastAsia="Arial" w:hAnsi="Arial"/>
                <w:sz w:val="13"/>
                <w:szCs w:val="13"/>
                <w:color w:val="0000FF"/>
              </w:rPr>
              <w:t>100,000</w:t>
            </w:r>
          </w:p>
        </w:tc>
        <w:tc>
          <w:tcPr>
            <w:tcW w:w="6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gridSpan w:val="4"/>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60" w:type="dxa"/>
            <w:vAlign w:val="bottom"/>
            <w:gridSpan w:val="16"/>
          </w:tcPr>
          <w:p>
            <w:pPr>
              <w:ind w:left="20"/>
              <w:spacing w:after="0"/>
              <w:rPr>
                <w:sz w:val="20"/>
                <w:szCs w:val="20"/>
                <w:color w:val="auto"/>
              </w:rPr>
            </w:pPr>
            <w:r>
              <w:rPr>
                <w:rFonts w:ascii="Arial" w:cs="Arial" w:eastAsia="Arial" w:hAnsi="Arial"/>
                <w:sz w:val="13"/>
                <w:szCs w:val="13"/>
                <w:color w:val="008000"/>
                <w:w w:val="99"/>
              </w:rPr>
              <w:t>1. This option will vest as to 25% on January 7, 2020. The remainder of the underlying shares will vest in 36 equal monthly installments thereafter.</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0000FF"/>
                <w:w w:val="91"/>
              </w:rPr>
              <w:t>/s/ Rachel Goldstein, Attorney-</w:t>
            </w:r>
          </w:p>
        </w:tc>
        <w:tc>
          <w:tcPr>
            <w:tcW w:w="100" w:type="dxa"/>
            <w:vAlign w:val="bottom"/>
          </w:tcPr>
          <w:p>
            <w:pPr>
              <w:spacing w:after="0"/>
              <w:rPr>
                <w:sz w:val="24"/>
                <w:szCs w:val="24"/>
                <w:color w:val="auto"/>
              </w:rPr>
            </w:pPr>
          </w:p>
        </w:tc>
        <w:tc>
          <w:tcPr>
            <w:tcW w:w="9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8"/>
              </w:rPr>
              <w:t>01/08/2019</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40" w:type="dxa"/>
            <w:vAlign w:val="bottom"/>
            <w:gridSpan w:val="8"/>
            <w:vMerge w:val="restart"/>
          </w:tcPr>
          <w:p>
            <w:pPr>
              <w:spacing w:after="0" w:line="192" w:lineRule="exact"/>
              <w:rPr>
                <w:sz w:val="20"/>
                <w:szCs w:val="20"/>
                <w:color w:val="auto"/>
              </w:rPr>
            </w:pPr>
            <w:r>
              <w:rPr>
                <w:rFonts w:ascii="Arial" w:cs="Arial" w:eastAsia="Arial" w:hAnsi="Arial"/>
                <w:sz w:val="17"/>
                <w:szCs w:val="17"/>
                <w:color w:val="0000FF"/>
                <w:w w:val="99"/>
              </w:rPr>
              <w:t>in-Fact for Stephen Smolinski</w:t>
            </w:r>
          </w:p>
        </w:tc>
        <w:tc>
          <w:tcPr>
            <w:tcW w:w="90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4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60" w:type="dxa"/>
            <w:vAlign w:val="bottom"/>
            <w:tcBorders>
              <w:top w:val="single" w:sz="8" w:color="auto"/>
            </w:tcBorders>
            <w:gridSpan w:val="6"/>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gridSpan w:val="2"/>
          </w:tcPr>
          <w:p>
            <w:pPr>
              <w:spacing w:after="0"/>
              <w:rPr>
                <w:sz w:val="19"/>
                <w:szCs w:val="19"/>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gridSpan w:val="11"/>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gridSpan w:val="8"/>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-3144520</wp:posOffset>
            </wp:positionV>
            <wp:extent cx="24130" cy="2016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016125"/>
                    </a:xfrm>
                    <a:prstGeom prst="rect">
                      <a:avLst/>
                    </a:prstGeom>
                    <a:noFill/>
                  </pic:spPr>
                </pic:pic>
              </a:graphicData>
            </a:graphic>
          </wp:anchor>
        </w:drawing>
      </w:r>
    </w:p>
    <w:p>
      <w:pPr>
        <w:spacing w:after="0" w:line="7"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317" w:lineRule="exact"/>
        <w:rPr>
          <w:sz w:val="20"/>
          <w:szCs w:val="20"/>
          <w:color w:val="auto"/>
        </w:rPr>
      </w:pPr>
    </w:p>
    <w:p>
      <w:pPr>
        <w:jc w:val="both"/>
        <w:ind w:firstLine="635"/>
        <w:spacing w:after="0" w:line="329"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247" w:lineRule="exact"/>
        <w:rPr>
          <w:sz w:val="20"/>
          <w:szCs w:val="20"/>
          <w:color w:val="auto"/>
        </w:rPr>
      </w:pPr>
    </w:p>
    <w:p>
      <w:pPr>
        <w:ind w:left="1160" w:right="740" w:hanging="354"/>
        <w:spacing w:after="0" w:line="25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9"/>
          <w:szCs w:val="19"/>
          <w:color w:val="auto"/>
        </w:rPr>
        <w:t>prepare, execute in the undersigned’s name and on the undersigned’s behalf, and submit to the United States Securities and Exchange Commission (the “</w:t>
      </w:r>
      <w:r>
        <w:rPr>
          <w:rFonts w:ascii="Arial" w:cs="Arial" w:eastAsia="Arial" w:hAnsi="Arial"/>
          <w:sz w:val="19"/>
          <w:szCs w:val="19"/>
          <w:b w:val="1"/>
          <w:bCs w:val="1"/>
          <w:i w:val="1"/>
          <w:iCs w:val="1"/>
          <w:color w:val="auto"/>
        </w:rPr>
        <w:t>SEC</w:t>
      </w:r>
      <w:r>
        <w:rPr>
          <w:rFonts w:ascii="Arial" w:cs="Arial" w:eastAsia="Arial" w:hAnsi="Arial"/>
          <w:sz w:val="19"/>
          <w:szCs w:val="19"/>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2" w:lineRule="exact"/>
        <w:rPr>
          <w:rFonts w:ascii="Arial" w:cs="Arial" w:eastAsia="Arial" w:hAnsi="Arial"/>
          <w:sz w:val="18"/>
          <w:szCs w:val="18"/>
          <w:color w:val="auto"/>
        </w:rPr>
      </w:pPr>
    </w:p>
    <w:p>
      <w:pPr>
        <w:ind w:left="1160" w:right="840" w:hanging="354"/>
        <w:spacing w:after="0" w:line="27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9"/>
          <w:szCs w:val="19"/>
          <w:color w:val="auto"/>
        </w:rPr>
        <w:t>execute for and on behalf of the undersigned, Forms 3, 4, and 5 in accordance with Section 16 of the Securities Exchange Act of 1934, as amended, and the rules thereunder;</w:t>
      </w:r>
    </w:p>
    <w:p>
      <w:pPr>
        <w:spacing w:after="0" w:line="208" w:lineRule="exact"/>
        <w:rPr>
          <w:rFonts w:ascii="Arial" w:cs="Arial" w:eastAsia="Arial" w:hAnsi="Arial"/>
          <w:sz w:val="18"/>
          <w:szCs w:val="18"/>
          <w:color w:val="auto"/>
        </w:rPr>
      </w:pPr>
    </w:p>
    <w:p>
      <w:pPr>
        <w:jc w:val="both"/>
        <w:ind w:left="1160" w:right="760" w:hanging="354"/>
        <w:spacing w:after="0" w:line="262"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23" w:lineRule="exact"/>
        <w:rPr>
          <w:rFonts w:ascii="Arial" w:cs="Arial" w:eastAsia="Arial" w:hAnsi="Arial"/>
          <w:sz w:val="18"/>
          <w:szCs w:val="18"/>
          <w:color w:val="auto"/>
        </w:rPr>
      </w:pPr>
    </w:p>
    <w:p>
      <w:pPr>
        <w:ind w:left="1160" w:right="940" w:hanging="354"/>
        <w:spacing w:after="0" w:line="25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3" w:lineRule="exact"/>
        <w:rPr>
          <w:sz w:val="20"/>
          <w:szCs w:val="20"/>
          <w:color w:val="auto"/>
        </w:rPr>
      </w:pPr>
    </w:p>
    <w:p>
      <w:pPr>
        <w:jc w:val="both"/>
        <w:ind w:firstLine="635"/>
        <w:spacing w:after="0" w:line="29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38" w:lineRule="exact"/>
        <w:rPr>
          <w:sz w:val="20"/>
          <w:szCs w:val="20"/>
          <w:color w:val="auto"/>
        </w:rPr>
      </w:pPr>
    </w:p>
    <w:p>
      <w:pPr>
        <w:jc w:val="both"/>
        <w:ind w:firstLine="635"/>
        <w:spacing w:after="0" w:line="306" w:lineRule="auto"/>
        <w:rPr>
          <w:sz w:val="20"/>
          <w:szCs w:val="20"/>
          <w:color w:val="auto"/>
        </w:rPr>
      </w:pPr>
      <w:r>
        <w:rPr>
          <w:rFonts w:ascii="Arial" w:cs="Arial" w:eastAsia="Arial" w:hAnsi="Arial"/>
          <w:sz w:val="19"/>
          <w:szCs w:val="19"/>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ectPr>
          <w:pgSz w:w="11900" w:h="16838" w:orient="portrait"/>
          <w:cols w:equalWidth="0" w:num="1">
            <w:col w:w="11420"/>
          </w:cols>
          <w:pgMar w:left="240" w:top="593"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October, 2017.</w:t>
      </w:r>
    </w:p>
    <w:p>
      <w:pPr>
        <w:sectPr>
          <w:pgSz w:w="11900" w:h="16838" w:orient="portrait"/>
          <w:cols w:equalWidth="0" w:num="1">
            <w:col w:w="10080"/>
          </w:cols>
          <w:pgMar w:left="880" w:top="575" w:right="939" w:bottom="1440" w:gutter="0" w:footer="0" w:header="0"/>
        </w:sectPr>
      </w:pPr>
    </w:p>
    <w:p>
      <w:pPr>
        <w:spacing w:after="0" w:line="356" w:lineRule="exact"/>
        <w:rPr>
          <w:sz w:val="20"/>
          <w:szCs w:val="20"/>
          <w:color w:val="auto"/>
        </w:rPr>
      </w:pPr>
    </w:p>
    <w:tbl>
      <w:tblPr>
        <w:tblLayout w:type="fixed"/>
        <w:tblInd w:w="4820" w:type="dxa"/>
        <w:tblCellMar>
          <w:top w:w="0" w:type="dxa"/>
          <w:left w:w="0" w:type="dxa"/>
          <w:bottom w:w="0" w:type="dxa"/>
          <w:right w:w="0" w:type="dxa"/>
        </w:tblCellMar>
      </w:tblP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Signature:</w:t>
            </w:r>
          </w:p>
        </w:tc>
        <w:tc>
          <w:tcPr>
            <w:tcW w:w="3860" w:type="dxa"/>
            <w:vAlign w:val="bottom"/>
          </w:tcPr>
          <w:p>
            <w:pPr>
              <w:ind w:left="20"/>
              <w:spacing w:after="0"/>
              <w:rPr>
                <w:sz w:val="20"/>
                <w:szCs w:val="20"/>
                <w:color w:val="auto"/>
              </w:rPr>
            </w:pPr>
            <w:r>
              <w:rPr>
                <w:rFonts w:ascii="Arial" w:cs="Arial" w:eastAsia="Arial" w:hAnsi="Arial"/>
                <w:sz w:val="18"/>
                <w:szCs w:val="18"/>
                <w:color w:val="auto"/>
              </w:rPr>
              <w:t>/s/ Stephen Smolinski</w:t>
            </w:r>
          </w:p>
        </w:tc>
      </w:tr>
      <w:tr>
        <w:trPr>
          <w:trHeight w:val="27"/>
        </w:trPr>
        <w:tc>
          <w:tcPr>
            <w:tcW w:w="1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Print Name:</w:t>
            </w:r>
          </w:p>
        </w:tc>
        <w:tc>
          <w:tcPr>
            <w:tcW w:w="3860" w:type="dxa"/>
            <w:vAlign w:val="bottom"/>
          </w:tcPr>
          <w:p>
            <w:pPr>
              <w:ind w:left="20"/>
              <w:spacing w:after="0"/>
              <w:rPr>
                <w:sz w:val="20"/>
                <w:szCs w:val="20"/>
                <w:color w:val="auto"/>
              </w:rPr>
            </w:pPr>
            <w:r>
              <w:rPr>
                <w:rFonts w:ascii="Arial" w:cs="Arial" w:eastAsia="Arial" w:hAnsi="Arial"/>
                <w:sz w:val="18"/>
                <w:szCs w:val="18"/>
                <w:color w:val="auto"/>
              </w:rPr>
              <w:t>Stephen Smolinski</w:t>
            </w:r>
          </w:p>
        </w:tc>
      </w:tr>
      <w:tr>
        <w:trPr>
          <w:trHeight w:val="27"/>
        </w:trPr>
        <w:tc>
          <w:tcPr>
            <w:tcW w:w="1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bl>
    <w:p>
      <w:pPr>
        <w:sectPr>
          <w:pgSz w:w="11900" w:h="16838" w:orient="portrait"/>
          <w:cols w:equalWidth="0" w:num="1">
            <w:col w:w="10080"/>
          </w:cols>
          <w:pgMar w:left="880" w:top="575" w:right="939" w:bottom="1440" w:gutter="0" w:footer="0" w:header="0"/>
          <w:type w:val="continuous"/>
        </w:sectPr>
      </w:pPr>
    </w:p>
    <w:bookmarkStart w:id="3" w:name="page4"/>
    <w:bookmarkEnd w:id="3"/>
    <w:p>
      <w:pPr>
        <w:ind w:left="5240"/>
        <w:spacing w:after="0"/>
        <w:rPr>
          <w:sz w:val="20"/>
          <w:szCs w:val="20"/>
          <w:color w:val="auto"/>
        </w:rPr>
      </w:pPr>
      <w:r>
        <w:rPr>
          <w:rFonts w:ascii="Arial" w:cs="Arial" w:eastAsia="Arial" w:hAnsi="Arial"/>
          <w:sz w:val="19"/>
          <w:szCs w:val="19"/>
          <w:b w:val="1"/>
          <w:bCs w:val="1"/>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839"/>
        <w:spacing w:after="0"/>
        <w:rPr>
          <w:sz w:val="20"/>
          <w:szCs w:val="20"/>
          <w:color w:val="auto"/>
        </w:rPr>
      </w:pPr>
      <w:r>
        <w:rPr>
          <w:rFonts w:ascii="Arial" w:cs="Arial" w:eastAsia="Arial" w:hAnsi="Arial"/>
          <w:sz w:val="19"/>
          <w:szCs w:val="19"/>
          <w:color w:val="auto"/>
        </w:rPr>
        <w:t>Individuals Appointed as Attorney-in-Fact with Full Power of Substitution and Resubstitution: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Rachel Goldstein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John Harold Leaman</w:t>
      </w:r>
    </w:p>
    <w:sectPr>
      <w:pgSz w:w="11900" w:h="16838" w:orient="portrait"/>
      <w:cols w:equalWidth="0" w:num="1">
        <w:col w:w="10219"/>
      </w:cols>
      <w:pgMar w:left="240" w:top="5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1031"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2019-12-24T07:34:59Z</dcterms:created>
  <dcterms:modified xsi:type="dcterms:W3CDTF">2019-12-24T07:34:59Z</dcterms:modified>
</cp:coreProperties>
</file>