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SPRINGER TIMOTHY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36 WOODMAN ROAD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12/09/2021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gridSpan w:val="3"/>
          </w:tcPr>
          <w:p>
            <w:pPr>
              <w:spacing w:after="0"/>
              <w:rPr>
                <w:sz w:val="12"/>
                <w:szCs w:val="12"/>
                <w:color w:val="auto"/>
              </w:rPr>
            </w:pPr>
          </w:p>
        </w:tc>
        <w:tc>
          <w:tcPr>
            <w:tcW w:w="1580" w:type="dxa"/>
            <w:vAlign w:val="bottom"/>
            <w:tcBorders>
              <w:bottom w:val="single" w:sz="8" w:color="2C2C2C"/>
            </w:tcBorders>
            <w:gridSpan w:val="3"/>
          </w:tcPr>
          <w:p>
            <w:pPr>
              <w:spacing w:after="0"/>
              <w:rPr>
                <w:sz w:val="12"/>
                <w:szCs w:val="12"/>
                <w:color w:val="auto"/>
              </w:rPr>
            </w:pPr>
          </w:p>
        </w:tc>
        <w:tc>
          <w:tcPr>
            <w:tcW w:w="980" w:type="dxa"/>
            <w:vAlign w:val="bottom"/>
            <w:tcBorders>
              <w:bottom w:val="single" w:sz="8" w:color="2C2C2C"/>
            </w:tcBorders>
            <w:gridSpan w:val="3"/>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00" w:type="dxa"/>
            <w:vAlign w:val="bottom"/>
            <w:tcBorders>
              <w:bottom w:val="single" w:sz="8" w:color="2C2C2C"/>
            </w:tcBorders>
            <w:gridSpan w:val="7"/>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334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4"/>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CHESTNUT</w:t>
            </w:r>
          </w:p>
        </w:tc>
        <w:tc>
          <w:tcPr>
            <w:tcW w:w="1120" w:type="dxa"/>
            <w:vAlign w:val="bottom"/>
            <w:gridSpan w:val="3"/>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HILL</w:t>
            </w: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2"/>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12/09/2021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9"/>
              </w:rPr>
              <w:t>3,748,000</w:t>
            </w:r>
          </w:p>
        </w:tc>
        <w:tc>
          <w:tcPr>
            <w:tcW w:w="12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jc w:val="center"/>
              <w:ind w:left="11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22,902,427</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12/10/2021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58,681</w:t>
            </w:r>
          </w:p>
        </w:tc>
        <w:tc>
          <w:tcPr>
            <w:tcW w:w="12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2.9897</w:t>
            </w:r>
            <w:r>
              <w:rPr>
                <w:rFonts w:ascii="Arial" w:cs="Arial" w:eastAsia="Arial" w:hAnsi="Arial"/>
                <w:sz w:val="22"/>
                <w:szCs w:val="22"/>
                <w:color w:val="008000"/>
                <w:w w:val="88"/>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22,961,108</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12/13/2021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14,592</w:t>
            </w:r>
          </w:p>
        </w:tc>
        <w:tc>
          <w:tcPr>
            <w:tcW w:w="12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2.9805</w:t>
            </w:r>
            <w:r>
              <w:rPr>
                <w:rFonts w:ascii="Arial" w:cs="Arial" w:eastAsia="Arial" w:hAnsi="Arial"/>
                <w:sz w:val="22"/>
                <w:szCs w:val="22"/>
                <w:color w:val="008000"/>
                <w:w w:val="88"/>
                <w:vertAlign w:val="superscript"/>
              </w:rPr>
              <w:t>(3)</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22,975,700</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7,293,625</w:t>
            </w:r>
          </w:p>
        </w:tc>
        <w:tc>
          <w:tcPr>
            <w:tcW w:w="2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86,418</w:t>
            </w:r>
          </w:p>
        </w:tc>
        <w:tc>
          <w:tcPr>
            <w:tcW w:w="240" w:type="dxa"/>
            <w:vAlign w:val="bottom"/>
          </w:tcPr>
          <w:p>
            <w:pPr>
              <w:spacing w:after="0"/>
              <w:rPr>
                <w:sz w:val="23"/>
                <w:szCs w:val="23"/>
                <w:color w:val="auto"/>
              </w:rPr>
            </w:pPr>
          </w:p>
        </w:tc>
        <w:tc>
          <w:tcPr>
            <w:tcW w:w="600" w:type="dxa"/>
            <w:vAlign w:val="bottom"/>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1180" w:type="dxa"/>
            <w:vAlign w:val="bottom"/>
            <w:tcBorders>
              <w:bottom w:val="single" w:sz="8" w:color="2C2C2C"/>
            </w:tcBorders>
            <w:gridSpan w:val="5"/>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15" w:lineRule="exact"/>
        <w:rPr>
          <w:rFonts w:ascii="Arial" w:cs="Arial" w:eastAsia="Arial" w:hAnsi="Arial"/>
          <w:sz w:val="13"/>
          <w:szCs w:val="13"/>
          <w:color w:val="008000"/>
        </w:rPr>
      </w:pPr>
    </w:p>
    <w:p>
      <w:pPr>
        <w:ind w:left="40" w:right="3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$2.94 to $3.00. The Reporting Person undertakes to provide upon request to the SEC staff, the Issuer, or any stockholder of the Issuer, full information regarding the number of shares purchased at each separate price within the range set forth in this footnote.</w:t>
      </w:r>
    </w:p>
    <w:p>
      <w:pPr>
        <w:ind w:left="40" w:right="24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$2.9698 to $3.00.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2021-12-13T16:18:18Z</dcterms:created>
  <dcterms:modified xsi:type="dcterms:W3CDTF">2021-12-13T16:18:18Z</dcterms:modified>
</cp:coreProperties>
</file>