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August 17, 2023</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ind w:right="61"/>
              <w:spacing w:after="0"/>
              <w:rPr>
                <w:sz w:val="20"/>
                <w:szCs w:val="20"/>
                <w:color w:val="auto"/>
              </w:rPr>
            </w:pPr>
            <w:r>
              <w:rPr>
                <w:rFonts w:ascii="Arial" w:cs="Arial" w:eastAsia="Arial" w:hAnsi="Arial"/>
                <w:sz w:val="18"/>
                <w:szCs w:val="18"/>
                <w:b w:val="1"/>
                <w:bCs w:val="1"/>
                <w:color w:val="auto"/>
              </w:rPr>
              <w:t>26-1622110</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3"/>
              </w:rPr>
              <w:t>of 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0"/>
              </w:rPr>
              <w:t>65 Grove Street</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Watertown, Massachusetts</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02472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 2016 Incentive Award Plan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 2016 Employee Stock Purchase Plan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Carsten Brunn, Ph.D.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 Grove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Watertown, Massachusetts 02472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923-1400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Brian K. Rosenzweig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Covington &amp; Burling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New York Times Building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620 Eighth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841-1000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both"/>
        <w:ind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120" w:firstLine="4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29" w:right="479" w:bottom="1148"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registration statement on Form S-8 (the “Registration Statement”) is being filed for the purpose of registering an additional 1,530,424 shares of common stock, par value $0.0001 per share (the “Common Stock”), of Selecta Biosciences, Inc. (the “Registrant”) to be issued pursuant to the Registrant’s 2016 Employee Stock Purchase Plan (the “ESPP”) and an additional 6,121,697 shares of the Registrant’s Common Stock to be issued pursuant to the Registrant’s 2016 Incentive Award Plan (the “Incentive Plan”).</w:t>
      </w:r>
    </w:p>
    <w:p>
      <w:pPr>
        <w:sectPr>
          <w:pgSz w:w="11900" w:h="16838" w:orient="portrait"/>
          <w:cols w:equalWidth="0" w:num="1">
            <w:col w:w="10900"/>
          </w:cols>
          <w:pgMar w:left="440" w:top="270" w:right="5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The following documents, which have been filed by the Registrant with the Securities and Exchange Commission (the “Commission”), are incorporated herein by reference:</w:t>
      </w:r>
    </w:p>
    <w:p>
      <w:pPr>
        <w:spacing w:after="0" w:line="76" w:lineRule="exact"/>
        <w:rPr>
          <w:sz w:val="20"/>
          <w:szCs w:val="20"/>
          <w:color w:val="auto"/>
        </w:rPr>
      </w:pPr>
    </w:p>
    <w:p>
      <w:pPr>
        <w:ind w:left="960" w:right="1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on </w:t>
      </w:r>
      <w:hyperlink r:id="rId20">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2023 annual meeting of stockholders, filed with the Commission on April 28, 2023;</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21">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2022, filed with the Commission on March 2, 2023;</w:t>
      </w:r>
    </w:p>
    <w:p>
      <w:pPr>
        <w:spacing w:after="0" w:line="142"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Quarterly Reports on Form 10-Q for the quarters ended March 31, 2023 and June 30, 2023, filed with the Commission on </w:t>
      </w:r>
      <w:hyperlink r:id="rId22">
        <w:r>
          <w:rPr>
            <w:rFonts w:ascii="Arial" w:cs="Arial" w:eastAsia="Arial" w:hAnsi="Arial"/>
            <w:sz w:val="18"/>
            <w:szCs w:val="18"/>
            <w:u w:val="single" w:color="auto"/>
            <w:color w:val="0000EE"/>
          </w:rPr>
          <w:t>May 4, 2023</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0000EE"/>
          </w:rPr>
          <w:t>August 17,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960" w:right="480" w:hanging="424"/>
        <w:spacing w:after="0" w:line="277" w:lineRule="auto"/>
        <w:tabs>
          <w:tab w:leader="none" w:pos="96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with the Commission on </w:t>
      </w:r>
      <w:hyperlink r:id="rId24">
        <w:r>
          <w:rPr>
            <w:rFonts w:ascii="Arial" w:cs="Arial" w:eastAsia="Arial" w:hAnsi="Arial"/>
            <w:sz w:val="18"/>
            <w:szCs w:val="18"/>
            <w:u w:val="single" w:color="auto"/>
            <w:color w:val="0000EE"/>
          </w:rPr>
          <w:t>January 9, 2023</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March 21, 2023</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April 4, 2023</w:t>
        </w:r>
      </w:hyperlink>
      <w:r>
        <w:rPr>
          <w:rFonts w:ascii="Arial" w:cs="Arial" w:eastAsia="Arial" w:hAnsi="Arial"/>
          <w:sz w:val="18"/>
          <w:szCs w:val="18"/>
          <w:color w:val="auto"/>
        </w:rPr>
        <w:t xml:space="preserve">, and </w:t>
      </w:r>
      <w:hyperlink r:id="rId27">
        <w:r>
          <w:rPr>
            <w:rFonts w:ascii="Arial" w:cs="Arial" w:eastAsia="Arial" w:hAnsi="Arial"/>
            <w:sz w:val="18"/>
            <w:szCs w:val="18"/>
            <w:u w:val="single" w:color="auto"/>
            <w:color w:val="0000EE"/>
          </w:rPr>
          <w:t>June 16,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960" w:right="60" w:hanging="424"/>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w:t>
      </w:r>
      <w:hyperlink r:id="rId28">
        <w:r>
          <w:rPr>
            <w:rFonts w:ascii="Arial" w:cs="Arial" w:eastAsia="Arial" w:hAnsi="Arial"/>
            <w:sz w:val="18"/>
            <w:szCs w:val="18"/>
            <w:u w:val="single" w:color="auto"/>
            <w:color w:val="0000EE"/>
          </w:rPr>
          <w:t>Exhibit 4.11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Annual Report on Form 10-K, filed with the Commission on March 2, 2023, and any amendment or report filed with the Commission for the purpose of updating such description; and</w:t>
      </w:r>
    </w:p>
    <w:p>
      <w:pPr>
        <w:spacing w:after="0" w:line="89"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Registration Statements on Form S-8 (File Nos. </w:t>
      </w:r>
      <w:hyperlink r:id="rId29">
        <w:r>
          <w:rPr>
            <w:rFonts w:ascii="Arial" w:cs="Arial" w:eastAsia="Arial" w:hAnsi="Arial"/>
            <w:sz w:val="18"/>
            <w:szCs w:val="18"/>
            <w:u w:val="single" w:color="auto"/>
            <w:color w:val="0000EE"/>
          </w:rPr>
          <w:t>333-212215</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333-224109</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333-239075</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333-256061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3">
        <w:r>
          <w:rPr>
            <w:rFonts w:ascii="Arial" w:cs="Arial" w:eastAsia="Arial" w:hAnsi="Arial"/>
            <w:sz w:val="18"/>
            <w:szCs w:val="18"/>
            <w:u w:val="single" w:color="auto"/>
            <w:color w:val="0000EE"/>
          </w:rPr>
          <w:t>333-264691</w:t>
        </w:r>
      </w:hyperlink>
      <w:r>
        <w:rPr>
          <w:rFonts w:ascii="Arial" w:cs="Arial" w:eastAsia="Arial" w:hAnsi="Arial"/>
          <w:sz w:val="18"/>
          <w:szCs w:val="18"/>
          <w:color w:val="auto"/>
        </w:rPr>
        <w:t>) filed with the Securities and Exchange Commission, relating to the ESPP and the Incentive Plan.</w:t>
      </w:r>
    </w:p>
    <w:p>
      <w:pPr>
        <w:spacing w:after="0" w:line="170" w:lineRule="exact"/>
        <w:rPr>
          <w:rFonts w:ascii="Arial" w:cs="Arial" w:eastAsia="Arial" w:hAnsi="Arial"/>
          <w:sz w:val="18"/>
          <w:szCs w:val="18"/>
          <w:color w:val="auto"/>
        </w:rPr>
      </w:pPr>
    </w:p>
    <w:p>
      <w:pPr>
        <w:ind w:right="80" w:firstLine="440"/>
        <w:spacing w:after="0" w:line="289"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Securities Exchange Act of 1934, as amended,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60"/>
          </w:cols>
          <w:pgMar w:left="440" w:top="270"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6"/>
          </w:tcPr>
          <w:p>
            <w:pPr>
              <w:spacing w:after="0"/>
              <w:rPr>
                <w:sz w:val="20"/>
                <w:szCs w:val="20"/>
                <w:color w:val="auto"/>
              </w:rPr>
            </w:pPr>
            <w:r>
              <w:rPr>
                <w:rFonts w:ascii="Arial" w:cs="Arial" w:eastAsia="Arial" w:hAnsi="Arial"/>
                <w:sz w:val="14"/>
                <w:szCs w:val="14"/>
                <w:b w:val="1"/>
                <w:bCs w:val="1"/>
                <w:color w:val="auto"/>
              </w:rPr>
              <w:t>Exhibit</w:t>
            </w:r>
          </w:p>
        </w:tc>
        <w:tc>
          <w:tcPr>
            <w:tcW w:w="1010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5"/>
                <w:szCs w:val="15"/>
                <w:color w:val="auto"/>
              </w:rPr>
            </w:pPr>
          </w:p>
        </w:tc>
        <w:tc>
          <w:tcPr>
            <w:tcW w:w="1010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40" w:type="dxa"/>
            <w:vAlign w:val="bottom"/>
            <w:gridSpan w:val="4"/>
          </w:tcPr>
          <w:p>
            <w:pPr>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4.</w:t>
              </w:r>
              <w:r>
                <w:rPr>
                  <w:rFonts w:ascii="Arial" w:cs="Arial" w:eastAsia="Arial" w:hAnsi="Arial"/>
                  <w:sz w:val="18"/>
                  <w:szCs w:val="18"/>
                  <w:u w:val="single" w:color="auto"/>
                  <w:color w:val="0000EE"/>
                  <w:w w:val="89"/>
                </w:rPr>
                <w:t>1(a)</w:t>
              </w:r>
            </w:hyperlink>
          </w:p>
        </w:tc>
        <w:tc>
          <w:tcPr>
            <w:tcW w:w="480" w:type="dxa"/>
            <w:vAlign w:val="bottom"/>
            <w:gridSpan w:val="2"/>
          </w:tcPr>
          <w:p>
            <w:pPr>
              <w:spacing w:after="0"/>
              <w:rPr>
                <w:sz w:val="23"/>
                <w:szCs w:val="23"/>
                <w:color w:val="auto"/>
              </w:rPr>
            </w:pPr>
          </w:p>
        </w:tc>
        <w:tc>
          <w:tcPr>
            <w:tcW w:w="10100" w:type="dxa"/>
            <w:vAlign w:val="bottom"/>
            <w:gridSpan w:val="16"/>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Restated Certificate of Incorporation of the Registrant (incorporated by reference to Exhibit 3.1 to the Registrant’s Current Report on Form</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8-K (File No. 001-37798) filed on June 29, 2016)</w:t>
              </w:r>
            </w:hyperlink>
          </w:p>
        </w:tc>
        <w:tc>
          <w:tcPr>
            <w:tcW w:w="6440" w:type="dxa"/>
            <w:vAlign w:val="bottom"/>
            <w:tcBorders>
              <w:top w:val="single" w:sz="8" w:color="0000EE"/>
            </w:tcBorders>
            <w:gridSpan w:val="1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4"/>
          </w:tcPr>
          <w:p>
            <w:pP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4.</w:t>
              </w:r>
              <w:r>
                <w:rPr>
                  <w:rFonts w:ascii="Arial" w:cs="Arial" w:eastAsia="Arial" w:hAnsi="Arial"/>
                  <w:sz w:val="18"/>
                  <w:szCs w:val="18"/>
                  <w:u w:val="single" w:color="auto"/>
                  <w:color w:val="0000EE"/>
                  <w:w w:val="89"/>
                </w:rPr>
                <w:t>1(b)</w:t>
              </w:r>
            </w:hyperlink>
          </w:p>
        </w:tc>
        <w:tc>
          <w:tcPr>
            <w:tcW w:w="480" w:type="dxa"/>
            <w:vAlign w:val="bottom"/>
            <w:gridSpan w:val="2"/>
          </w:tcPr>
          <w:p>
            <w:pPr>
              <w:spacing w:after="0"/>
              <w:rPr>
                <w:sz w:val="24"/>
                <w:szCs w:val="24"/>
                <w:color w:val="auto"/>
              </w:rPr>
            </w:pPr>
          </w:p>
        </w:tc>
        <w:tc>
          <w:tcPr>
            <w:tcW w:w="10100" w:type="dxa"/>
            <w:vAlign w:val="bottom"/>
            <w:gridSpan w:val="16"/>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Certificate of Amendment to the Restated Certificate of Incorporation of the Registrant, dated June 21, 2022 (incorporated by reference to</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Exhibit 3.1 to the Registrant’s Current Report on Form 8-K (File No. 001-37798) filed on June 21, 2022)</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0000EE"/>
              </w:rPr>
            </w:pPr>
            <w:hyperlink r:id="rId3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00" w:type="dxa"/>
            <w:vAlign w:val="bottom"/>
            <w:gridSpan w:val="16"/>
          </w:tcPr>
          <w:p>
            <w:pPr>
              <w:spacing w:after="0"/>
              <w:rPr>
                <w:rFonts w:ascii="Arial" w:cs="Arial" w:eastAsia="Arial" w:hAnsi="Arial"/>
                <w:sz w:val="18"/>
                <w:szCs w:val="18"/>
                <w:color w:val="0000EE"/>
                <w:w w:val="95"/>
              </w:rPr>
            </w:pPr>
            <w:hyperlink r:id="rId37">
              <w:r>
                <w:rPr>
                  <w:rFonts w:ascii="Arial" w:cs="Arial" w:eastAsia="Arial" w:hAnsi="Arial"/>
                  <w:sz w:val="18"/>
                  <w:szCs w:val="18"/>
                  <w:color w:val="0000EE"/>
                  <w:w w:val="95"/>
                </w:rPr>
                <w:t>Amended and Restated By-laws of the Registrant dated August 19, 2022 (incorporated by reference to Exhibit 3.2 to the Registrant’s</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Current Report on Form 8-K (File No. 001-37798) filed on August 22, 2022)</w:t>
              </w:r>
            </w:hyperlink>
          </w:p>
        </w:tc>
        <w:tc>
          <w:tcPr>
            <w:tcW w:w="4060" w:type="dxa"/>
            <w:vAlign w:val="bottom"/>
            <w:tcBorders>
              <w:top w:val="single" w:sz="8" w:color="0000EE"/>
            </w:tcBorders>
            <w:gridSpan w:val="3"/>
          </w:tcPr>
          <w:p>
            <w:pPr>
              <w:spacing w:after="0"/>
              <w:rPr>
                <w:sz w:val="17"/>
                <w:szCs w:val="17"/>
                <w:color w:val="auto"/>
              </w:rPr>
            </w:pPr>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4"/>
              </w:rPr>
              <w:t>5.</w:t>
            </w:r>
            <w:r>
              <w:rPr>
                <w:rFonts w:ascii="Arial" w:cs="Arial" w:eastAsia="Arial" w:hAnsi="Arial"/>
                <w:sz w:val="18"/>
                <w:szCs w:val="18"/>
                <w:u w:val="single" w:color="auto"/>
                <w:color w:val="0000EE"/>
                <w:w w:val="84"/>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Opinion of Covington &amp; Burling LLP, counsel to the Registrant</w:t>
            </w:r>
          </w:p>
        </w:tc>
        <w:tc>
          <w:tcPr>
            <w:tcW w:w="55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gridSpan w:val="3"/>
          </w:tcPr>
          <w:p>
            <w:pPr>
              <w:spacing w:after="0"/>
              <w:rPr>
                <w:sz w:val="20"/>
                <w:szCs w:val="20"/>
                <w:color w:val="auto"/>
              </w:rPr>
            </w:pPr>
            <w:r>
              <w:rPr>
                <w:rFonts w:ascii="Arial" w:cs="Arial" w:eastAsia="Arial" w:hAnsi="Arial"/>
                <w:sz w:val="18"/>
                <w:szCs w:val="18"/>
                <w:color w:val="0000EE"/>
                <w:w w:val="87"/>
              </w:rPr>
              <w:t>23.</w:t>
            </w:r>
            <w:r>
              <w:rPr>
                <w:rFonts w:ascii="Arial" w:cs="Arial" w:eastAsia="Arial" w:hAnsi="Arial"/>
                <w:sz w:val="18"/>
                <w:szCs w:val="18"/>
                <w:u w:val="single" w:color="auto"/>
                <w:color w:val="0000EE"/>
                <w:w w:val="87"/>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2</w:t>
            </w:r>
            <w:r>
              <w:rPr>
                <w:rFonts w:ascii="Arial" w:cs="Arial" w:eastAsia="Arial" w:hAnsi="Arial"/>
                <w:sz w:val="18"/>
                <w:szCs w:val="18"/>
                <w:color w:val="0000EE"/>
                <w:w w:val="90"/>
              </w:rPr>
              <w:t xml:space="preserve"> +</w:t>
            </w:r>
          </w:p>
        </w:tc>
        <w:tc>
          <w:tcPr>
            <w:tcW w:w="420" w:type="dxa"/>
            <w:vAlign w:val="bottom"/>
          </w:tcPr>
          <w:p>
            <w:pPr>
              <w:spacing w:after="0"/>
              <w:rPr>
                <w:sz w:val="24"/>
                <w:szCs w:val="24"/>
                <w:color w:val="auto"/>
              </w:rPr>
            </w:pPr>
          </w:p>
        </w:tc>
        <w:tc>
          <w:tcPr>
            <w:tcW w:w="45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Consent of Covington &amp; Burling LLP (included in Exhibit 5.1)</w:t>
            </w:r>
          </w:p>
        </w:tc>
        <w:tc>
          <w:tcPr>
            <w:tcW w:w="5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gridSpan w:val="3"/>
          </w:tcPr>
          <w:p>
            <w:pPr>
              <w:spacing w:after="0"/>
              <w:rPr>
                <w:sz w:val="20"/>
                <w:szCs w:val="20"/>
                <w:color w:val="auto"/>
              </w:rPr>
            </w:pPr>
            <w:r>
              <w:rPr>
                <w:rFonts w:ascii="Arial" w:cs="Arial" w:eastAsia="Arial" w:hAnsi="Arial"/>
                <w:sz w:val="18"/>
                <w:szCs w:val="18"/>
                <w:color w:val="0000EE"/>
                <w:w w:val="87"/>
              </w:rPr>
              <w:t>24.</w:t>
            </w:r>
            <w:r>
              <w:rPr>
                <w:rFonts w:ascii="Arial" w:cs="Arial" w:eastAsia="Arial" w:hAnsi="Arial"/>
                <w:sz w:val="18"/>
                <w:szCs w:val="18"/>
                <w:u w:val="single" w:color="auto"/>
                <w:color w:val="0000EE"/>
                <w:w w:val="87"/>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0000EE"/>
              </w:rPr>
              <w:t>Power of attorney (included on signature pages below)</w:t>
            </w: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3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Selecta Biosciences, Inc. 2016 Incentive Award Plan (incorporated by reference to Exhibit 10.2 to the Registrant’s Registration Statement</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on Form S-1 (Reg. No. 333-2111555) filed on June 8, 2016)</w:t>
              </w:r>
            </w:hyperlink>
          </w:p>
        </w:tc>
        <w:tc>
          <w:tcPr>
            <w:tcW w:w="57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20" w:type="dxa"/>
            <w:vAlign w:val="bottom"/>
            <w:gridSpan w:val="2"/>
          </w:tcPr>
          <w:p>
            <w:pPr>
              <w:spacing w:after="0"/>
              <w:rPr>
                <w:rFonts w:ascii="Arial" w:cs="Arial" w:eastAsia="Arial" w:hAnsi="Arial"/>
                <w:sz w:val="18"/>
                <w:szCs w:val="18"/>
                <w:color w:val="0000EE"/>
                <w:w w:val="85"/>
              </w:rPr>
            </w:pPr>
            <w:hyperlink r:id="rId39">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00" w:type="dxa"/>
            <w:vAlign w:val="bottom"/>
            <w:gridSpan w:val="16"/>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Selecta Biosciences, Inc. 2016 Employee Stock Purchase Plan (incorporated by reference to Exhibit 10.3 to the Registrant’s Registration</w:t>
              </w:r>
            </w:hyperlink>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Statement on Form S-1 (Reg. No. 333-211555) filed on June 8, 2016)</w:t>
              </w:r>
            </w:hyperlink>
          </w:p>
        </w:tc>
        <w:tc>
          <w:tcPr>
            <w:tcW w:w="4820" w:type="dxa"/>
            <w:vAlign w:val="bottom"/>
            <w:tcBorders>
              <w:top w:val="single" w:sz="8" w:color="0000EE"/>
            </w:tcBorders>
            <w:gridSpan w:val="5"/>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5"/>
          </w:tcPr>
          <w:p>
            <w:pPr>
              <w:spacing w:after="0"/>
              <w:rPr>
                <w:sz w:val="20"/>
                <w:szCs w:val="20"/>
                <w:color w:val="auto"/>
              </w:rPr>
            </w:pPr>
            <w:r>
              <w:rPr>
                <w:rFonts w:ascii="Arial" w:cs="Arial" w:eastAsia="Arial" w:hAnsi="Arial"/>
                <w:sz w:val="18"/>
                <w:szCs w:val="18"/>
                <w:color w:val="0000EE"/>
                <w:w w:val="82"/>
              </w:rPr>
              <w:t>107.</w:t>
            </w:r>
            <w:r>
              <w:rPr>
                <w:rFonts w:ascii="Arial" w:cs="Arial" w:eastAsia="Arial" w:hAnsi="Arial"/>
                <w:sz w:val="18"/>
                <w:szCs w:val="18"/>
                <w:u w:val="single" w:color="auto"/>
                <w:color w:val="0000EE"/>
                <w:w w:val="82"/>
              </w:rPr>
              <w:t>1+</w:t>
            </w:r>
          </w:p>
        </w:tc>
        <w:tc>
          <w:tcPr>
            <w:tcW w:w="420" w:type="dxa"/>
            <w:vAlign w:val="bottom"/>
          </w:tcPr>
          <w:p>
            <w:pPr>
              <w:spacing w:after="0"/>
              <w:rPr>
                <w:sz w:val="24"/>
                <w:szCs w:val="24"/>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0000EE"/>
              </w:rPr>
              <w:t>Filing Fee Table</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6" w:lineRule="auto"/>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17th day of August, 2023.</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Carsten Brunn, Ph.D.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0700"/>
          </w:cols>
          <w:pgMar w:left="440" w:top="270" w:right="75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w:t>
      </w:r>
    </w:p>
    <w:p>
      <w:pPr>
        <w:spacing w:after="0" w:line="229"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We, the undersigned officers and directors of Selecta Biosciences, Inc. (the “Company”), hereby severally constitute and appoint the Chief Executive Officer of the Company, who is currently Carsten Brunn, Ph.D., and the Chief Financial Officer of the Company, who is currently Blaine Davis,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820" w:type="dxa"/>
            <w:vAlign w:val="bottom"/>
          </w:tcPr>
          <w:p>
            <w:pPr>
              <w:jc w:val="center"/>
              <w:ind w:left="272"/>
              <w:spacing w:after="0"/>
              <w:rPr>
                <w:sz w:val="20"/>
                <w:szCs w:val="20"/>
                <w:color w:val="auto"/>
              </w:rPr>
            </w:pPr>
            <w:r>
              <w:rPr>
                <w:rFonts w:ascii="Arial" w:cs="Arial" w:eastAsia="Arial" w:hAnsi="Arial"/>
                <w:sz w:val="14"/>
                <w:szCs w:val="14"/>
                <w:b w:val="1"/>
                <w:bCs w:val="1"/>
                <w:color w:val="auto"/>
              </w:rPr>
              <w:t>Title</w:t>
            </w:r>
          </w:p>
        </w:tc>
        <w:tc>
          <w:tcPr>
            <w:tcW w:w="1560" w:type="dxa"/>
            <w:vAlign w:val="bottom"/>
          </w:tcPr>
          <w:p>
            <w:pPr>
              <w:ind w:left="1100"/>
              <w:spacing w:after="0"/>
              <w:rPr>
                <w:sz w:val="20"/>
                <w:szCs w:val="20"/>
                <w:color w:val="auto"/>
              </w:rPr>
            </w:pPr>
            <w:r>
              <w:rPr>
                <w:rFonts w:ascii="Arial" w:cs="Arial" w:eastAsia="Arial" w:hAnsi="Arial"/>
                <w:sz w:val="14"/>
                <w:szCs w:val="14"/>
                <w:b w:val="1"/>
                <w:bCs w:val="1"/>
                <w:color w:val="auto"/>
              </w:rPr>
              <w:t>Date</w:t>
            </w:r>
          </w:p>
        </w:tc>
      </w:tr>
      <w:tr>
        <w:trPr>
          <w:trHeight w:val="230"/>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c>
          <w:tcPr>
            <w:tcW w:w="4820" w:type="dxa"/>
            <w:vAlign w:val="bottom"/>
          </w:tcPr>
          <w:p>
            <w:pPr>
              <w:jc w:val="center"/>
              <w:ind w:left="272"/>
              <w:spacing w:after="0"/>
              <w:rPr>
                <w:sz w:val="20"/>
                <w:szCs w:val="20"/>
                <w:color w:val="auto"/>
              </w:rPr>
            </w:pPr>
            <w:r>
              <w:rPr>
                <w:rFonts w:ascii="Arial" w:cs="Arial" w:eastAsia="Arial" w:hAnsi="Arial"/>
                <w:sz w:val="18"/>
                <w:szCs w:val="18"/>
                <w:color w:val="auto"/>
                <w:w w:val="91"/>
              </w:rPr>
              <w:t>President and Chief Executive Officer, and 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c>
          <w:tcPr>
            <w:tcW w:w="4820" w:type="dxa"/>
            <w:vAlign w:val="bottom"/>
          </w:tcPr>
          <w:p>
            <w:pPr>
              <w:jc w:val="center"/>
              <w:ind w:left="272"/>
              <w:spacing w:after="0"/>
              <w:rPr>
                <w:sz w:val="20"/>
                <w:szCs w:val="20"/>
                <w:color w:val="auto"/>
              </w:rPr>
            </w:pPr>
            <w:r>
              <w:rPr>
                <w:rFonts w:ascii="Arial" w:cs="Arial" w:eastAsia="Arial" w:hAnsi="Arial"/>
                <w:sz w:val="18"/>
                <w:szCs w:val="18"/>
                <w:color w:val="auto"/>
                <w:w w:val="94"/>
              </w:rPr>
              <w:t>(Principal Executive Officer)</w:t>
            </w: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Blaine Davis</w:t>
            </w:r>
          </w:p>
        </w:tc>
        <w:tc>
          <w:tcPr>
            <w:tcW w:w="4820" w:type="dxa"/>
            <w:vAlign w:val="bottom"/>
          </w:tcPr>
          <w:p>
            <w:pPr>
              <w:jc w:val="center"/>
              <w:ind w:left="272"/>
              <w:spacing w:after="0"/>
              <w:rPr>
                <w:sz w:val="20"/>
                <w:szCs w:val="20"/>
                <w:color w:val="auto"/>
              </w:rPr>
            </w:pPr>
            <w:r>
              <w:rPr>
                <w:rFonts w:ascii="Arial" w:cs="Arial" w:eastAsia="Arial" w:hAnsi="Arial"/>
                <w:sz w:val="18"/>
                <w:szCs w:val="18"/>
                <w:color w:val="auto"/>
                <w:w w:val="93"/>
              </w:rPr>
              <w:t>Chief Financial Officer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3"/>
              </w:rPr>
              <w:t>Blaine Davis</w:t>
            </w:r>
          </w:p>
        </w:tc>
        <w:tc>
          <w:tcPr>
            <w:tcW w:w="4820" w:type="dxa"/>
            <w:vAlign w:val="bottom"/>
          </w:tcPr>
          <w:p>
            <w:pPr>
              <w:jc w:val="center"/>
              <w:ind w:left="272"/>
              <w:spacing w:after="0"/>
              <w:rPr>
                <w:sz w:val="20"/>
                <w:szCs w:val="20"/>
                <w:color w:val="auto"/>
              </w:rPr>
            </w:pPr>
            <w:r>
              <w:rPr>
                <w:rFonts w:ascii="Arial" w:cs="Arial" w:eastAsia="Arial" w:hAnsi="Arial"/>
                <w:sz w:val="18"/>
                <w:szCs w:val="18"/>
                <w:color w:val="auto"/>
                <w:w w:val="93"/>
              </w:rPr>
              <w:t>(Principal Financial and Accounting Officer)</w:t>
            </w: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C. Barabe</w:t>
            </w:r>
          </w:p>
        </w:tc>
        <w:tc>
          <w:tcPr>
            <w:tcW w:w="4820" w:type="dxa"/>
            <w:vAlign w:val="bottom"/>
          </w:tcPr>
          <w:p>
            <w:pPr>
              <w:jc w:val="center"/>
              <w:ind w:left="29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1"/>
              </w:rPr>
              <w:t>Timothy C. Barabe</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4820" w:type="dxa"/>
            <w:vAlign w:val="bottom"/>
          </w:tcPr>
          <w:p>
            <w:pPr>
              <w:jc w:val="center"/>
              <w:ind w:left="272"/>
              <w:spacing w:after="0"/>
              <w:rPr>
                <w:sz w:val="20"/>
                <w:szCs w:val="20"/>
                <w:color w:val="auto"/>
              </w:rPr>
            </w:pPr>
            <w:r>
              <w:rPr>
                <w:rFonts w:ascii="Arial" w:cs="Arial" w:eastAsia="Arial" w:hAnsi="Arial"/>
                <w:sz w:val="18"/>
                <w:szCs w:val="18"/>
                <w:color w:val="auto"/>
                <w:w w:val="91"/>
              </w:rPr>
              <w:t>Chairman of the Board</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0"/>
              </w:rPr>
              <w:t>Carrie S. Cox</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Nishan de Silva, M.D.</w:t>
            </w:r>
          </w:p>
        </w:tc>
        <w:tc>
          <w:tcPr>
            <w:tcW w:w="4820" w:type="dxa"/>
            <w:vAlign w:val="bottom"/>
          </w:tcPr>
          <w:p>
            <w:pPr>
              <w:jc w:val="center"/>
              <w:ind w:left="29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3"/>
              </w:rPr>
              <w:t>Nishan de Silva, M.D.</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Scott D. Myers</w:t>
            </w:r>
          </w:p>
        </w:tc>
        <w:tc>
          <w:tcPr>
            <w:tcW w:w="4820" w:type="dxa"/>
            <w:vAlign w:val="bottom"/>
          </w:tcPr>
          <w:p>
            <w:pPr>
              <w:jc w:val="center"/>
              <w:ind w:left="29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3"/>
              </w:rPr>
              <w:t>Scott D. Myers</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Aymeric Sallin</w:t>
            </w:r>
          </w:p>
        </w:tc>
        <w:tc>
          <w:tcPr>
            <w:tcW w:w="4820" w:type="dxa"/>
            <w:vAlign w:val="bottom"/>
          </w:tcPr>
          <w:p>
            <w:pPr>
              <w:jc w:val="center"/>
              <w:ind w:left="29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4"/>
              </w:rPr>
              <w:t>Aymeric Sallin</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Timothy Springer, Ph.D.</w:t>
            </w:r>
          </w:p>
        </w:tc>
        <w:tc>
          <w:tcPr>
            <w:tcW w:w="4820" w:type="dxa"/>
            <w:vAlign w:val="bottom"/>
          </w:tcPr>
          <w:p>
            <w:pPr>
              <w:jc w:val="center"/>
              <w:ind w:left="29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2"/>
              </w:rPr>
              <w:t>Timothy Springer, Ph.D.</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23"/>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Patrick Zenner</w:t>
            </w:r>
          </w:p>
        </w:tc>
        <w:tc>
          <w:tcPr>
            <w:tcW w:w="4820" w:type="dxa"/>
            <w:vAlign w:val="bottom"/>
          </w:tcPr>
          <w:p>
            <w:pPr>
              <w:jc w:val="center"/>
              <w:ind w:left="292"/>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ind w:left="360"/>
              <w:spacing w:after="0"/>
              <w:rPr>
                <w:sz w:val="20"/>
                <w:szCs w:val="20"/>
                <w:color w:val="auto"/>
              </w:rPr>
            </w:pPr>
            <w:r>
              <w:rPr>
                <w:rFonts w:ascii="Arial" w:cs="Arial" w:eastAsia="Arial" w:hAnsi="Arial"/>
                <w:sz w:val="18"/>
                <w:szCs w:val="18"/>
                <w:color w:val="auto"/>
                <w:w w:val="89"/>
              </w:rPr>
              <w:t>August 17, 2023</w:t>
            </w:r>
          </w:p>
        </w:tc>
      </w:tr>
      <w:tr>
        <w:trPr>
          <w:trHeight w:val="224"/>
        </w:trPr>
        <w:tc>
          <w:tcPr>
            <w:tcW w:w="4080" w:type="dxa"/>
            <w:vAlign w:val="bottom"/>
          </w:tcPr>
          <w:p>
            <w:pPr>
              <w:jc w:val="center"/>
              <w:spacing w:after="0"/>
              <w:rPr>
                <w:sz w:val="20"/>
                <w:szCs w:val="20"/>
                <w:color w:val="auto"/>
              </w:rPr>
            </w:pPr>
            <w:r>
              <w:rPr>
                <w:rFonts w:ascii="Arial" w:cs="Arial" w:eastAsia="Arial" w:hAnsi="Arial"/>
                <w:sz w:val="18"/>
                <w:szCs w:val="18"/>
                <w:color w:val="auto"/>
                <w:w w:val="90"/>
              </w:rPr>
              <w:t>Patrick Zenner</w:t>
            </w:r>
          </w:p>
        </w:tc>
        <w:tc>
          <w:tcPr>
            <w:tcW w:w="48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ectPr>
          <w:pgSz w:w="11900" w:h="16838" w:orient="portrait"/>
          <w:cols w:equalWidth="0" w:num="1">
            <w:col w:w="10920"/>
          </w:cols>
          <w:pgMar w:left="440" w:top="270" w:right="5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357120"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2357120" cy="54038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171450</wp:posOffset>
            </wp:positionV>
            <wp:extent cx="1362710" cy="591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13627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65 Grove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We have acted as counsel to Selecta Biosciences, Inc., a Delaware corporation (the “Company”), in connection with the registration by the Company under the Securities Act of 1933, as amended (the “Act”), of 7,652,121 shares of the Company’s common stock, par value $0.0001 per share (the “Shares”), issuable under the Company’s 2016 Incentive Award Plan (the “Incentive Plan”) and under the Company’s 2016 Employee Stock Purchase Plan (the “ESPP”), pursuant to the registration statement on Form S-8 being filed with the Securities and Exchange Commission on the date hereof (such registration statement is referred to herein as the “Registration Statement”).</w:t>
      </w:r>
    </w:p>
    <w:p>
      <w:pPr>
        <w:spacing w:after="0" w:line="176"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Based upon the foregoing, we are of the opinion that the Shares have been duly authorized and, when issued and paid for in accordance with the terms of the Company’s Restated Certificate of Incorporation, the Incentive Plan and the ESPP and any individual agreements relating to such Shares, will be validly issued, fully paid and nonassessable.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We hereby consent to the filing of this opinion as Exhibit 5.1 to the Registration Statement. In giving such consent, we do not thereby admit that we are in the category of persons whose consent is required under Section 7 of the Act.</w:t>
      </w:r>
    </w:p>
    <w:p>
      <w:pPr>
        <w:spacing w:after="0" w:line="17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Covington &amp; Burling LLP</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2016 Incentive Award Plan and the 2016 Employee Stock Purchase Plan of Selecta Biosciences, Inc. of our report dated March 2, 2023, with respect to the consolidated financial statements of Selecta Biosciences, Inc. included in its Annual Report (Form 10-K) for the year ended December 31, 2022, filed with the Securities and Exchange Commission.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17, 2023</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Selecta Biosciences,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 Newly Registered Securities</w:t>
      </w:r>
    </w:p>
    <w:p>
      <w:pPr>
        <w:spacing w:after="0" w:line="250" w:lineRule="exact"/>
        <w:rPr>
          <w:sz w:val="20"/>
          <w:szCs w:val="20"/>
          <w:color w:val="auto"/>
        </w:rPr>
      </w:pPr>
    </w:p>
    <w:tbl>
      <w:tblPr>
        <w:tblLayout w:type="fixed"/>
        <w:tblInd w:w="1314" w:type="dxa"/>
        <w:tblCellMar>
          <w:top w:w="0" w:type="dxa"/>
          <w:left w:w="0" w:type="dxa"/>
          <w:bottom w:w="0" w:type="dxa"/>
          <w:right w:w="0" w:type="dxa"/>
        </w:tblCellMar>
      </w:tblPr>
      <w:tr>
        <w:trPr>
          <w:trHeight w:val="148"/>
        </w:trPr>
        <w:tc>
          <w:tcPr>
            <w:tcW w:w="880" w:type="dxa"/>
            <w:vAlign w:val="bottom"/>
            <w:tcBorders>
              <w:top w:val="single" w:sz="8" w:color="auto"/>
              <w:left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18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6"/>
              </w:rPr>
              <w:t>Proposed</w:t>
            </w:r>
          </w:p>
        </w:tc>
        <w:tc>
          <w:tcPr>
            <w:tcW w:w="10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2"/>
              </w:rPr>
              <w:t>Maximum</w:t>
            </w: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10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6"/>
              </w:rPr>
              <w:t>Aggregate</w:t>
            </w: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6"/>
        </w:trPr>
        <w:tc>
          <w:tcPr>
            <w:tcW w:w="88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6"/>
              </w:rPr>
              <w:t>Class</w:t>
            </w:r>
          </w:p>
        </w:tc>
        <w:tc>
          <w:tcPr>
            <w:tcW w:w="10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6"/>
              </w:rPr>
              <w:t>Fee Calculation</w:t>
            </w:r>
          </w:p>
        </w:tc>
        <w:tc>
          <w:tcPr>
            <w:tcW w:w="10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2"/>
              </w:rPr>
              <w:t>to be</w:t>
            </w:r>
          </w:p>
        </w:tc>
        <w:tc>
          <w:tcPr>
            <w:tcW w:w="72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7"/>
              </w:rPr>
              <w:t>Price</w:t>
            </w:r>
          </w:p>
        </w:tc>
        <w:tc>
          <w:tcPr>
            <w:tcW w:w="11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95"/>
              </w:rPr>
              <w:t>Offering</w:t>
            </w:r>
          </w:p>
        </w:tc>
        <w:tc>
          <w:tcPr>
            <w:tcW w:w="1020" w:type="dxa"/>
            <w:vAlign w:val="bottom"/>
            <w:tcBorders>
              <w:right w:val="single" w:sz="8" w:color="auto"/>
            </w:tcBorders>
          </w:tcPr>
          <w:p>
            <w:pPr>
              <w:jc w:val="right"/>
              <w:ind w:right="299"/>
              <w:spacing w:after="0" w:line="136" w:lineRule="exact"/>
              <w:rPr>
                <w:sz w:val="20"/>
                <w:szCs w:val="20"/>
                <w:color w:val="auto"/>
              </w:rPr>
            </w:pPr>
            <w:r>
              <w:rPr>
                <w:rFonts w:ascii="Arial" w:cs="Arial" w:eastAsia="Arial" w:hAnsi="Arial"/>
                <w:sz w:val="13"/>
                <w:szCs w:val="13"/>
                <w:color w:val="auto"/>
              </w:rPr>
              <w:t>Fee</w:t>
            </w:r>
          </w:p>
        </w:tc>
        <w:tc>
          <w:tcPr>
            <w:tcW w:w="8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6"/>
        </w:trPr>
        <w:tc>
          <w:tcPr>
            <w:tcW w:w="88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3"/>
                <w:szCs w:val="13"/>
                <w:color w:val="auto"/>
                <w:w w:val="88"/>
              </w:rPr>
              <w:t>Security Type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Title</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06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color w:val="auto"/>
                <w:w w:val="83"/>
              </w:rPr>
              <w:t xml:space="preserve">Registered </w:t>
            </w:r>
            <w:r>
              <w:rPr>
                <w:rFonts w:ascii="Arial" w:cs="Arial" w:eastAsia="Arial" w:hAnsi="Arial"/>
                <w:sz w:val="18"/>
                <w:szCs w:val="18"/>
                <w:color w:val="auto"/>
                <w:w w:val="83"/>
                <w:vertAlign w:val="superscript"/>
              </w:rPr>
              <w:t>(1)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Per Share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Price</w:t>
            </w:r>
          </w:p>
        </w:tc>
        <w:tc>
          <w:tcPr>
            <w:tcW w:w="10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3"/>
                <w:szCs w:val="13"/>
                <w:color w:val="auto"/>
              </w:rPr>
              <w:t>Rate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0"/>
              </w:rPr>
              <w:t>Fee</w:t>
            </w: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jc w:val="center"/>
              <w:ind w:left="39"/>
              <w:spacing w:after="0"/>
              <w:rPr>
                <w:sz w:val="20"/>
                <w:szCs w:val="20"/>
                <w:color w:val="auto"/>
              </w:rPr>
            </w:pPr>
            <w:r>
              <w:rPr>
                <w:rFonts w:ascii="Arial" w:cs="Arial" w:eastAsia="Arial" w:hAnsi="Arial"/>
                <w:sz w:val="18"/>
                <w:szCs w:val="18"/>
                <w:color w:val="auto"/>
                <w:w w:val="95"/>
              </w:rPr>
              <w:t>Equity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 $0.0001 per</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 to be issued</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under the Registrant’s</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 Employee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Rules 457(c)</w:t>
            </w: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$1,591,640.96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$110.20 per</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$175.40</w:t>
            </w:r>
          </w:p>
        </w:tc>
        <w:tc>
          <w:tcPr>
            <w:tcW w:w="0" w:type="dxa"/>
            <w:vAlign w:val="bottom"/>
          </w:tcPr>
          <w:p>
            <w:pPr>
              <w:spacing w:after="0"/>
              <w:rPr>
                <w:sz w:val="1"/>
                <w:szCs w:val="1"/>
                <w:color w:val="auto"/>
              </w:rPr>
            </w:pPr>
          </w:p>
        </w:tc>
      </w:tr>
      <w:tr>
        <w:trPr>
          <w:trHeight w:val="244"/>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Stock Purchase Plan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and 457(h)</w:t>
            </w:r>
          </w:p>
        </w:tc>
        <w:tc>
          <w:tcPr>
            <w:tcW w:w="1060" w:type="dxa"/>
            <w:vAlign w:val="bottom"/>
            <w:tcBorders>
              <w:bottom w:val="single" w:sz="8" w:color="auto"/>
              <w:right w:val="single" w:sz="8" w:color="auto"/>
            </w:tcBorders>
          </w:tcPr>
          <w:p>
            <w:pPr>
              <w:jc w:val="right"/>
              <w:spacing w:after="0" w:line="243" w:lineRule="exact"/>
              <w:rPr>
                <w:sz w:val="20"/>
                <w:szCs w:val="20"/>
                <w:color w:val="auto"/>
              </w:rPr>
            </w:pPr>
            <w:r>
              <w:rPr>
                <w:rFonts w:ascii="Arial" w:cs="Arial" w:eastAsia="Arial" w:hAnsi="Arial"/>
                <w:sz w:val="18"/>
                <w:szCs w:val="18"/>
                <w:color w:val="auto"/>
                <w:w w:val="92"/>
              </w:rPr>
              <w:t xml:space="preserve">1,530,424 </w:t>
            </w:r>
            <w:r>
              <w:rPr>
                <w:rFonts w:ascii="Arial" w:cs="Arial" w:eastAsia="Arial" w:hAnsi="Arial"/>
                <w:sz w:val="26"/>
                <w:szCs w:val="26"/>
                <w:color w:val="auto"/>
                <w:w w:val="92"/>
                <w:vertAlign w:val="superscript"/>
              </w:rPr>
              <w:t>(2)</w:t>
            </w:r>
          </w:p>
        </w:tc>
        <w:tc>
          <w:tcPr>
            <w:tcW w:w="72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6"/>
              </w:rPr>
              <w:t xml:space="preserve">$1.04 </w:t>
            </w:r>
            <w:r>
              <w:rPr>
                <w:rFonts w:ascii="Arial" w:cs="Arial" w:eastAsia="Arial" w:hAnsi="Arial"/>
                <w:sz w:val="26"/>
                <w:szCs w:val="26"/>
                <w:color w:val="auto"/>
                <w:w w:val="86"/>
                <w:vertAlign w:val="superscript"/>
              </w:rPr>
              <w:t>(3)</w:t>
            </w:r>
          </w:p>
        </w:tc>
        <w:tc>
          <w:tcPr>
            <w:tcW w:w="1180" w:type="dxa"/>
            <w:vAlign w:val="bottom"/>
            <w:tcBorders>
              <w:bottom w:val="single" w:sz="8" w:color="auto"/>
              <w:right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8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Equity</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 $0.0001 per</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 to be issued</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under the Registrant’s</w:t>
            </w:r>
          </w:p>
        </w:tc>
        <w:tc>
          <w:tcPr>
            <w:tcW w:w="108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2016 Incentive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Rules 457(c)</w:t>
            </w:r>
          </w:p>
        </w:tc>
        <w:tc>
          <w:tcPr>
            <w:tcW w:w="10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$110.20 per</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$701.60</w:t>
            </w:r>
          </w:p>
        </w:tc>
        <w:tc>
          <w:tcPr>
            <w:tcW w:w="0" w:type="dxa"/>
            <w:vAlign w:val="bottom"/>
          </w:tcPr>
          <w:p>
            <w:pPr>
              <w:spacing w:after="0"/>
              <w:rPr>
                <w:sz w:val="1"/>
                <w:szCs w:val="1"/>
                <w:color w:val="auto"/>
              </w:rPr>
            </w:pPr>
          </w:p>
        </w:tc>
      </w:tr>
      <w:tr>
        <w:trPr>
          <w:trHeight w:val="244"/>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Award Plan</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and 457(h)</w:t>
            </w:r>
          </w:p>
        </w:tc>
        <w:tc>
          <w:tcPr>
            <w:tcW w:w="106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6"/>
              </w:rPr>
              <w:t xml:space="preserve">6,121,697 </w:t>
            </w:r>
            <w:r>
              <w:rPr>
                <w:rFonts w:ascii="Arial" w:cs="Arial" w:eastAsia="Arial" w:hAnsi="Arial"/>
                <w:sz w:val="26"/>
                <w:szCs w:val="26"/>
                <w:color w:val="auto"/>
                <w:w w:val="86"/>
                <w:vertAlign w:val="superscript"/>
              </w:rPr>
              <w:t>(4)</w:t>
            </w:r>
          </w:p>
        </w:tc>
        <w:tc>
          <w:tcPr>
            <w:tcW w:w="72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1"/>
              </w:rPr>
              <w:t xml:space="preserve">$1.04 </w:t>
            </w:r>
            <w:r>
              <w:rPr>
                <w:rFonts w:ascii="Arial" w:cs="Arial" w:eastAsia="Arial" w:hAnsi="Arial"/>
                <w:sz w:val="26"/>
                <w:szCs w:val="26"/>
                <w:color w:val="auto"/>
                <w:w w:val="81"/>
                <w:vertAlign w:val="superscript"/>
              </w:rPr>
              <w:t>(3)</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5"/>
              </w:rPr>
              <w:t>$6,366,564.88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8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80" w:type="dxa"/>
            <w:vAlign w:val="bottom"/>
            <w:tcBorders>
              <w:left w:val="single" w:sz="8" w:color="auto"/>
            </w:tcBorders>
          </w:tcPr>
          <w:p>
            <w:pPr>
              <w:spacing w:after="0"/>
              <w:rPr>
                <w:sz w:val="19"/>
                <w:szCs w:val="19"/>
                <w:color w:val="auto"/>
              </w:rPr>
            </w:pPr>
          </w:p>
        </w:tc>
        <w:tc>
          <w:tcPr>
            <w:tcW w:w="2780" w:type="dxa"/>
            <w:vAlign w:val="bottom"/>
            <w:gridSpan w:val="2"/>
          </w:tcPr>
          <w:p>
            <w:pPr>
              <w:jc w:val="center"/>
              <w:ind w:left="235"/>
              <w:spacing w:after="0"/>
              <w:rPr>
                <w:sz w:val="20"/>
                <w:szCs w:val="20"/>
                <w:color w:val="auto"/>
              </w:rPr>
            </w:pPr>
            <w:r>
              <w:rPr>
                <w:rFonts w:ascii="Arial" w:cs="Arial" w:eastAsia="Arial" w:hAnsi="Arial"/>
                <w:sz w:val="18"/>
                <w:szCs w:val="18"/>
                <w:color w:val="auto"/>
                <w:w w:val="93"/>
              </w:rPr>
              <w:t>Total Offering Amounts</w:t>
            </w:r>
          </w:p>
        </w:tc>
        <w:tc>
          <w:tcPr>
            <w:tcW w:w="106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$7,958,205.84</w:t>
            </w:r>
          </w:p>
        </w:tc>
        <w:tc>
          <w:tcPr>
            <w:tcW w:w="10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$877.00</w:t>
            </w:r>
          </w:p>
        </w:tc>
        <w:tc>
          <w:tcPr>
            <w:tcW w:w="0" w:type="dxa"/>
            <w:vAlign w:val="bottom"/>
          </w:tcPr>
          <w:p>
            <w:pPr>
              <w:spacing w:after="0"/>
              <w:rPr>
                <w:sz w:val="1"/>
                <w:szCs w:val="1"/>
                <w:color w:val="auto"/>
              </w:rPr>
            </w:pPr>
          </w:p>
        </w:tc>
      </w:tr>
      <w:tr>
        <w:trPr>
          <w:trHeight w:val="26"/>
        </w:trPr>
        <w:tc>
          <w:tcPr>
            <w:tcW w:w="88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tcBorders>
              <w:left w:val="single" w:sz="8" w:color="auto"/>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center"/>
              <w:ind w:left="215"/>
              <w:spacing w:after="0" w:line="236" w:lineRule="exact"/>
              <w:rPr>
                <w:sz w:val="20"/>
                <w:szCs w:val="20"/>
                <w:color w:val="auto"/>
              </w:rPr>
            </w:pPr>
            <w:r>
              <w:rPr>
                <w:rFonts w:ascii="Arial" w:cs="Arial" w:eastAsia="Arial" w:hAnsi="Arial"/>
                <w:sz w:val="18"/>
                <w:szCs w:val="18"/>
                <w:color w:val="auto"/>
                <w:w w:val="87"/>
              </w:rPr>
              <w:t xml:space="preserve">Total Fee Offsets </w:t>
            </w:r>
            <w:r>
              <w:rPr>
                <w:rFonts w:ascii="Arial" w:cs="Arial" w:eastAsia="Arial" w:hAnsi="Arial"/>
                <w:sz w:val="26"/>
                <w:szCs w:val="26"/>
                <w:color w:val="auto"/>
                <w:w w:val="87"/>
                <w:vertAlign w:val="superscript"/>
              </w:rPr>
              <w:t>(5)</w:t>
            </w:r>
          </w:p>
        </w:tc>
        <w:tc>
          <w:tcPr>
            <w:tcW w:w="10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$0.00</w:t>
            </w:r>
          </w:p>
        </w:tc>
        <w:tc>
          <w:tcPr>
            <w:tcW w:w="0" w:type="dxa"/>
            <w:vAlign w:val="bottom"/>
          </w:tcPr>
          <w:p>
            <w:pPr>
              <w:spacing w:after="0"/>
              <w:rPr>
                <w:sz w:val="1"/>
                <w:szCs w:val="1"/>
                <w:color w:val="auto"/>
              </w:rPr>
            </w:pPr>
          </w:p>
        </w:tc>
      </w:tr>
      <w:tr>
        <w:trPr>
          <w:trHeight w:val="224"/>
        </w:trPr>
        <w:tc>
          <w:tcPr>
            <w:tcW w:w="880" w:type="dxa"/>
            <w:vAlign w:val="bottom"/>
            <w:tcBorders>
              <w:left w:val="single" w:sz="8" w:color="auto"/>
            </w:tcBorders>
          </w:tcPr>
          <w:p>
            <w:pPr>
              <w:spacing w:after="0"/>
              <w:rPr>
                <w:sz w:val="19"/>
                <w:szCs w:val="19"/>
                <w:color w:val="auto"/>
              </w:rPr>
            </w:pPr>
          </w:p>
        </w:tc>
        <w:tc>
          <w:tcPr>
            <w:tcW w:w="2780" w:type="dxa"/>
            <w:vAlign w:val="bottom"/>
            <w:gridSpan w:val="2"/>
          </w:tcPr>
          <w:p>
            <w:pPr>
              <w:jc w:val="center"/>
              <w:ind w:left="235"/>
              <w:spacing w:after="0"/>
              <w:rPr>
                <w:sz w:val="20"/>
                <w:szCs w:val="20"/>
                <w:color w:val="auto"/>
              </w:rPr>
            </w:pPr>
            <w:r>
              <w:rPr>
                <w:rFonts w:ascii="Arial" w:cs="Arial" w:eastAsia="Arial" w:hAnsi="Arial"/>
                <w:sz w:val="18"/>
                <w:szCs w:val="18"/>
                <w:color w:val="auto"/>
                <w:w w:val="88"/>
              </w:rPr>
              <w:t>Net Fee Due</w:t>
            </w:r>
          </w:p>
        </w:tc>
        <w:tc>
          <w:tcPr>
            <w:tcW w:w="106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$877.00</w:t>
            </w:r>
          </w:p>
        </w:tc>
        <w:tc>
          <w:tcPr>
            <w:tcW w:w="0" w:type="dxa"/>
            <w:vAlign w:val="bottom"/>
          </w:tcPr>
          <w:p>
            <w:pPr>
              <w:spacing w:after="0"/>
              <w:rPr>
                <w:sz w:val="1"/>
                <w:szCs w:val="1"/>
                <w:color w:val="auto"/>
              </w:rPr>
            </w:pPr>
          </w:p>
        </w:tc>
      </w:tr>
      <w:tr>
        <w:trPr>
          <w:trHeight w:val="26"/>
        </w:trPr>
        <w:tc>
          <w:tcPr>
            <w:tcW w:w="880" w:type="dxa"/>
            <w:vAlign w:val="bottom"/>
            <w:tcBorders>
              <w:left w:val="single" w:sz="8" w:color="auto"/>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00"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Selecta Biosciences, Inc. 2016 Employee Stock Purchase Plan (“ESPP”) and the Selecta Biosciences, Inc. 2016 Incentive Award Plan (the “Incentive Plan”) to prevent dilution resulting from stock splits, stock dividends or similar transactions.</w:t>
      </w:r>
    </w:p>
    <w:p>
      <w:pPr>
        <w:spacing w:after="0" w:line="92"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1,530,424 shares of the Registrant’s common stock, par value $0.0001 per share (the “Common Stock”) that may become issuable under the ESPP pursuant to its terms.</w:t>
      </w:r>
    </w:p>
    <w:p>
      <w:pPr>
        <w:spacing w:after="0" w:line="75" w:lineRule="exact"/>
        <w:rPr>
          <w:rFonts w:ascii="Arial" w:cs="Arial" w:eastAsia="Arial" w:hAnsi="Arial"/>
          <w:sz w:val="18"/>
          <w:szCs w:val="18"/>
          <w:color w:val="auto"/>
        </w:rPr>
      </w:pPr>
    </w:p>
    <w:p>
      <w:pPr>
        <w:ind w:left="424" w:right="240" w:hanging="424"/>
        <w:spacing w:after="0" w:line="342"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Rules 457(c) and 457(h) of the Securities Act and based upon the average of the high and low prices of the Registrant’s Common Stock as reported on the Nasdaq Global Market on August 15, 2023.</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6,121,697 shares of Common Stock that may become issuable under the Incentive Plan pursuant to its terms.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4"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jpeg"/><Relationship Id="rId44" Type="http://schemas.openxmlformats.org/officeDocument/2006/relationships/image" Target="media/image18.jpeg"/><Relationship Id="rId20" Type="http://schemas.openxmlformats.org/officeDocument/2006/relationships/hyperlink" Target="http://www.sec.gov/ix?doc=/Archives/edgar/data/1453687/000145368723000050/selb-20230428.htm" TargetMode="External"/><Relationship Id="rId21" Type="http://schemas.openxmlformats.org/officeDocument/2006/relationships/hyperlink" Target="http://www.sec.gov/ix?doc=/Archives/edgar/data/0001453687/000145368723000040/selb-20221231.htm" TargetMode="External"/><Relationship Id="rId22" Type="http://schemas.openxmlformats.org/officeDocument/2006/relationships/hyperlink" Target="http://www.sec.gov/ix?doc=/Archives/edgar/data/0001453687/000145368723000052/selb-20230331.htm" TargetMode="External"/><Relationship Id="rId23" Type="http://schemas.openxmlformats.org/officeDocument/2006/relationships/hyperlink" Target="http://www.sec.gov/ix?doc=/Archives/edgar/data/1453687/000119312523214708/d536571d10q.htm" TargetMode="External"/><Relationship Id="rId24" Type="http://schemas.openxmlformats.org/officeDocument/2006/relationships/hyperlink" Target="http://www.sec.gov/ix?doc=/Archives/edgar/data/0001453687/000145368723000037/selb-20230104.htm" TargetMode="External"/><Relationship Id="rId25" Type="http://schemas.openxmlformats.org/officeDocument/2006/relationships/hyperlink" Target="http://www.sec.gov/ix?doc=/Archives/edgar/data/0001453687/000119312523075297/d485004d8k.htm" TargetMode="External"/><Relationship Id="rId26" Type="http://schemas.openxmlformats.org/officeDocument/2006/relationships/hyperlink" Target="http://www.sec.gov/ix?doc=/Archives/edgar/data/0001453687/000145368723000043/selb-20230331.htm" TargetMode="External"/><Relationship Id="rId27" Type="http://schemas.openxmlformats.org/officeDocument/2006/relationships/hyperlink" Target="http://www.sec.gov/ix?doc=/Archives/edgar/data/1453687/000145368723000059/selb-20230616.htm" TargetMode="External"/><Relationship Id="rId28" Type="http://schemas.openxmlformats.org/officeDocument/2006/relationships/hyperlink" Target="http://www.sec.gov/Archives/edgar/data/1453687/000145368723000040/exhibit411_12312022.htm" TargetMode="External"/><Relationship Id="rId29" Type="http://schemas.openxmlformats.org/officeDocument/2006/relationships/hyperlink" Target="http://www.sec.gov/Archives/edgar/data/1453687/000110465916129190/a15-22910_14s8.htm" TargetMode="External"/><Relationship Id="rId30" Type="http://schemas.openxmlformats.org/officeDocument/2006/relationships/hyperlink" Target="http://www.sec.gov/Archives/edgar/data/1453687/000145368718000018/selectabiosciencess-8_apri.htm" TargetMode="External"/><Relationship Id="rId31" Type="http://schemas.openxmlformats.org/officeDocument/2006/relationships/hyperlink" Target="http://www.sec.gov/Archives/edgar/data/1453687/000145368720000058/selectabiosciencess-8_june.htm" TargetMode="External"/><Relationship Id="rId32" Type="http://schemas.openxmlformats.org/officeDocument/2006/relationships/hyperlink" Target="http://www.sec.gov/Archives/edgar/data/1453687/000145368721000070/selectabiosciences_s8-2021.htm" TargetMode="External"/><Relationship Id="rId33" Type="http://schemas.openxmlformats.org/officeDocument/2006/relationships/hyperlink" Target="http://www.sec.gov/Archives/edgar/data/1453687/000145368722000088/selectabiosciences_s8-2022.htm" TargetMode="External"/><Relationship Id="rId35" Type="http://schemas.openxmlformats.org/officeDocument/2006/relationships/hyperlink" Target="http://www.sec.gov/Archives/edgar/data/1453687/000110465916129891/a16-14002_1ex3d1.htm" TargetMode="External"/><Relationship Id="rId36" Type="http://schemas.openxmlformats.org/officeDocument/2006/relationships/hyperlink" Target="http://www.sec.gov/Archives/edgar/data/1453687/000145368722000109/exhibit31_charteramendment.htm" TargetMode="External"/><Relationship Id="rId37" Type="http://schemas.openxmlformats.org/officeDocument/2006/relationships/hyperlink" Target="http://www.sec.gov/Archives/edgar/data/1453687/000145368722000127/exhibit32_amendedandrestat.htm" TargetMode="External"/><Relationship Id="rId38" Type="http://schemas.openxmlformats.org/officeDocument/2006/relationships/hyperlink" Target="http://www.sec.gov/Archives/edgar/data/1453687/000104746916013718/a2228810zex-10_2.htm" TargetMode="External"/><Relationship Id="rId39" Type="http://schemas.openxmlformats.org/officeDocument/2006/relationships/hyperlink" Target="http://www.sec.gov/Archives/edgar/data/1453687/000104746916013718/a2228810z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2023-08-17T06:28:13Z</dcterms:created>
  <dcterms:modified xsi:type="dcterms:W3CDTF">2023-08-17T06:28:13Z</dcterms:modified>
</cp:coreProperties>
</file>