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01"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-219710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6120" w:type="dxa"/>
            <w:vAlign w:val="bottom"/>
          </w:tcPr>
          <w:p>
            <w:pPr>
              <w:jc w:val="center"/>
              <w:ind w:right="38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20" w:type="dxa"/>
            <w:vAlign w:val="bottom"/>
            <w:vMerge w:val="restart"/>
          </w:tcPr>
          <w:p>
            <w:pPr>
              <w:jc w:val="center"/>
              <w:ind w:right="381"/>
              <w:spacing w:after="0" w:line="135"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81"/>
              <w:spacing w:after="0" w:line="173"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20" w:type="dxa"/>
            <w:vAlign w:val="bottom"/>
            <w:vMerge w:val="restart"/>
          </w:tcPr>
          <w:p>
            <w:pPr>
              <w:jc w:val="center"/>
              <w:ind w:right="38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5160645</wp:posOffset>
            </wp:positionH>
            <wp:positionV relativeFrom="paragraph">
              <wp:posOffset>-587375</wp:posOffset>
            </wp:positionV>
            <wp:extent cx="55880" cy="600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80" cy="60071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-587375</wp:posOffset>
            </wp:positionV>
            <wp:extent cx="55880" cy="6007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60071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-1753870</wp:posOffset>
            </wp:positionH>
            <wp:positionV relativeFrom="paragraph">
              <wp:posOffset>22225</wp:posOffset>
            </wp:positionV>
            <wp:extent cx="7050405" cy="5259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0405" cy="525970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120" w:space="620"/>
            <w:col w:w="8340"/>
          </w:cols>
          <w:pgMar w:left="460" w:top="211" w:right="359" w:bottom="1440" w:gutter="0" w:footer="0" w:header="0"/>
        </w:sectPr>
      </w:pPr>
    </w:p>
    <w:p>
      <w:pPr>
        <w:spacing w:after="0" w:line="1" w:lineRule="exact"/>
        <w:rPr>
          <w:sz w:val="24"/>
          <w:szCs w:val="24"/>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2">
        <w:r>
          <w:rPr>
            <w:rFonts w:ascii="Times New Roman" w:cs="Times New Roman" w:eastAsia="Times New Roman" w:hAnsi="Times New Roman"/>
            <w:sz w:val="19"/>
            <w:szCs w:val="19"/>
            <w:u w:val="single" w:color="auto"/>
            <w:color w:val="0000EE"/>
          </w:rPr>
          <w:t>Jewell Christopher M</w:t>
        </w:r>
      </w:hyperlink>
    </w:p>
    <w:p>
      <w:pPr>
        <w:spacing w:after="0" w:line="280" w:lineRule="exact"/>
        <w:rPr>
          <w:sz w:val="24"/>
          <w:szCs w:val="24"/>
          <w:color w:val="auto"/>
        </w:rPr>
      </w:pPr>
    </w:p>
    <w:tbl>
      <w:tblPr>
        <w:tblLayout w:type="fixed"/>
        <w:tblInd w:w="60" w:type="dxa"/>
        <w:tblCellMar>
          <w:top w:w="0" w:type="dxa"/>
          <w:left w:w="0" w:type="dxa"/>
          <w:bottom w:w="0" w:type="dxa"/>
          <w:right w:w="0" w:type="dxa"/>
        </w:tblCellMar>
      </w:tblPr>
      <w:tr>
        <w:trPr>
          <w:trHeight w:val="159"/>
        </w:trPr>
        <w:tc>
          <w:tcPr>
            <w:tcW w:w="40" w:type="dxa"/>
            <w:vAlign w:val="bottom"/>
          </w:tcPr>
          <w:p>
            <w:pPr>
              <w:spacing w:after="0"/>
              <w:rPr>
                <w:sz w:val="13"/>
                <w:szCs w:val="13"/>
                <w:color w:val="auto"/>
              </w:rPr>
            </w:pPr>
          </w:p>
        </w:tc>
        <w:tc>
          <w:tcPr>
            <w:tcW w:w="800" w:type="dxa"/>
            <w:vAlign w:val="bottom"/>
          </w:tcPr>
          <w:p>
            <w:pPr>
              <w:spacing w:after="0"/>
              <w:rPr>
                <w:sz w:val="20"/>
                <w:szCs w:val="20"/>
                <w:color w:val="auto"/>
              </w:rPr>
            </w:pPr>
            <w:r>
              <w:rPr>
                <w:rFonts w:ascii="Arial" w:cs="Arial" w:eastAsia="Arial" w:hAnsi="Arial"/>
                <w:sz w:val="12"/>
                <w:szCs w:val="12"/>
                <w:color w:val="auto"/>
              </w:rPr>
              <w:t>(Last)</w:t>
            </w:r>
          </w:p>
        </w:tc>
        <w:tc>
          <w:tcPr>
            <w:tcW w:w="1520" w:type="dxa"/>
            <w:vAlign w:val="bottom"/>
          </w:tcPr>
          <w:p>
            <w:pPr>
              <w:ind w:left="420"/>
              <w:spacing w:after="0"/>
              <w:rPr>
                <w:sz w:val="20"/>
                <w:szCs w:val="20"/>
                <w:color w:val="auto"/>
              </w:rPr>
            </w:pPr>
            <w:r>
              <w:rPr>
                <w:rFonts w:ascii="Arial" w:cs="Arial" w:eastAsia="Arial" w:hAnsi="Arial"/>
                <w:sz w:val="12"/>
                <w:szCs w:val="12"/>
                <w:color w:val="auto"/>
              </w:rPr>
              <w:t>(First)</w:t>
            </w:r>
          </w:p>
        </w:tc>
        <w:tc>
          <w:tcPr>
            <w:tcW w:w="1340" w:type="dxa"/>
            <w:vAlign w:val="bottom"/>
          </w:tcPr>
          <w:p>
            <w:pPr>
              <w:ind w:left="140"/>
              <w:spacing w:after="0"/>
              <w:rPr>
                <w:sz w:val="20"/>
                <w:szCs w:val="20"/>
                <w:color w:val="auto"/>
              </w:rPr>
            </w:pPr>
            <w:r>
              <w:rPr>
                <w:rFonts w:ascii="Arial" w:cs="Arial" w:eastAsia="Arial" w:hAnsi="Arial"/>
                <w:sz w:val="12"/>
                <w:szCs w:val="12"/>
                <w:color w:val="auto"/>
              </w:rPr>
              <w:t>(Middle)</w:t>
            </w:r>
          </w:p>
        </w:tc>
      </w:tr>
      <w:tr>
        <w:trPr>
          <w:trHeight w:val="252"/>
        </w:trPr>
        <w:tc>
          <w:tcPr>
            <w:tcW w:w="40" w:type="dxa"/>
            <w:vAlign w:val="bottom"/>
          </w:tcPr>
          <w:p>
            <w:pPr>
              <w:spacing w:after="0"/>
              <w:rPr>
                <w:sz w:val="21"/>
                <w:szCs w:val="21"/>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CARTESIAN THERAPEUTICS, INC.</w:t>
            </w:r>
          </w:p>
        </w:tc>
      </w:tr>
      <w:tr>
        <w:trPr>
          <w:trHeight w:val="242"/>
        </w:trPr>
        <w:tc>
          <w:tcPr>
            <w:tcW w:w="40" w:type="dxa"/>
            <w:vAlign w:val="bottom"/>
          </w:tcPr>
          <w:p>
            <w:pPr>
              <w:spacing w:after="0"/>
              <w:rPr>
                <w:sz w:val="21"/>
                <w:szCs w:val="21"/>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704 QUINCE ORCHARD ROAD</w:t>
            </w:r>
          </w:p>
        </w:tc>
        <w:tc>
          <w:tcPr>
            <w:tcW w:w="1340" w:type="dxa"/>
            <w:vAlign w:val="bottom"/>
          </w:tcPr>
          <w:p>
            <w:pPr>
              <w:spacing w:after="0"/>
              <w:rPr>
                <w:sz w:val="21"/>
                <w:szCs w:val="21"/>
                <w:color w:val="auto"/>
              </w:rPr>
            </w:pPr>
          </w:p>
        </w:tc>
      </w:tr>
      <w:tr>
        <w:trPr>
          <w:trHeight w:val="137"/>
        </w:trPr>
        <w:tc>
          <w:tcPr>
            <w:tcW w:w="40" w:type="dxa"/>
            <w:vAlign w:val="bottom"/>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r>
      <w:tr>
        <w:trPr>
          <w:trHeight w:val="243"/>
        </w:trPr>
        <w:tc>
          <w:tcPr>
            <w:tcW w:w="8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5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15"/>
        </w:trPr>
        <w:tc>
          <w:tcPr>
            <w:tcW w:w="4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GAITHERSBURG MD</w:t>
            </w:r>
          </w:p>
        </w:tc>
        <w:tc>
          <w:tcPr>
            <w:tcW w:w="134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20878</w:t>
            </w:r>
          </w:p>
        </w:tc>
      </w:tr>
      <w:tr>
        <w:trPr>
          <w:trHeight w:val="137"/>
        </w:trPr>
        <w:tc>
          <w:tcPr>
            <w:tcW w:w="40" w:type="dxa"/>
            <w:vAlign w:val="bottom"/>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r>
      <w:tr>
        <w:trPr>
          <w:trHeight w:val="280"/>
        </w:trPr>
        <w:tc>
          <w:tcPr>
            <w:tcW w:w="4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2"/>
                <w:szCs w:val="12"/>
                <w:color w:val="auto"/>
              </w:rPr>
              <w:t>(City)</w:t>
            </w:r>
          </w:p>
        </w:tc>
        <w:tc>
          <w:tcPr>
            <w:tcW w:w="1520" w:type="dxa"/>
            <w:vAlign w:val="bottom"/>
          </w:tcPr>
          <w:p>
            <w:pPr>
              <w:ind w:left="420"/>
              <w:spacing w:after="0"/>
              <w:rPr>
                <w:sz w:val="20"/>
                <w:szCs w:val="20"/>
                <w:color w:val="auto"/>
              </w:rPr>
            </w:pPr>
            <w:r>
              <w:rPr>
                <w:rFonts w:ascii="Arial" w:cs="Arial" w:eastAsia="Arial" w:hAnsi="Arial"/>
                <w:sz w:val="12"/>
                <w:szCs w:val="12"/>
                <w:color w:val="auto"/>
              </w:rPr>
              <w:t>(State)</w:t>
            </w:r>
          </w:p>
        </w:tc>
        <w:tc>
          <w:tcPr>
            <w:tcW w:w="1340" w:type="dxa"/>
            <w:vAlign w:val="bottom"/>
          </w:tcPr>
          <w:p>
            <w:pPr>
              <w:ind w:left="14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3"/>
        </w:trPr>
        <w:tc>
          <w:tcPr>
            <w:tcW w:w="3840" w:type="dxa"/>
            <w:vAlign w:val="bottom"/>
            <w:gridSpan w:val="4"/>
          </w:tcPr>
          <w:p>
            <w:pPr>
              <w:ind w:left="60"/>
              <w:spacing w:after="0" w:line="133"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Cartesian Therapeutics,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RNAC</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0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80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40" w:type="dxa"/>
            <w:vAlign w:val="bottom"/>
            <w:tcBorders>
              <w:bottom w:val="single" w:sz="8" w:color="0000EE"/>
            </w:tcBorders>
          </w:tcPr>
          <w:p>
            <w:pPr>
              <w:spacing w:after="0"/>
              <w:rPr>
                <w:sz w:val="3"/>
                <w:szCs w:val="3"/>
                <w:color w:val="auto"/>
              </w:rPr>
            </w:pPr>
          </w:p>
        </w:tc>
        <w:tc>
          <w:tcPr>
            <w:tcW w:w="1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vMerge w:val="restart"/>
          </w:tcPr>
          <w:p>
            <w:pPr>
              <w:ind w:left="120"/>
              <w:spacing w:after="0"/>
              <w:rPr>
                <w:sz w:val="20"/>
                <w:szCs w:val="20"/>
                <w:color w:val="auto"/>
              </w:rPr>
            </w:pPr>
            <w:r>
              <w:rPr>
                <w:rFonts w:ascii="Arial" w:cs="Arial" w:eastAsia="Arial" w:hAnsi="Arial"/>
                <w:sz w:val="12"/>
                <w:szCs w:val="12"/>
                <w:color w:val="auto"/>
              </w:rPr>
              <w:t>Director</w:t>
            </w:r>
          </w:p>
        </w:tc>
        <w:tc>
          <w:tcPr>
            <w:tcW w:w="1500" w:type="dxa"/>
            <w:vAlign w:val="bottom"/>
            <w:vMerge w:val="restart"/>
          </w:tcPr>
          <w:p>
            <w:pPr>
              <w:ind w:left="3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15"/>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46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vMerge w:val="restart"/>
          </w:tcPr>
          <w:p>
            <w:pPr>
              <w:ind w:left="120"/>
              <w:spacing w:after="0"/>
              <w:rPr>
                <w:sz w:val="20"/>
                <w:szCs w:val="20"/>
                <w:color w:val="auto"/>
              </w:rPr>
            </w:pPr>
            <w:r>
              <w:rPr>
                <w:rFonts w:ascii="Arial" w:cs="Arial" w:eastAsia="Arial" w:hAnsi="Arial"/>
                <w:sz w:val="12"/>
                <w:szCs w:val="12"/>
                <w:color w:val="auto"/>
              </w:rPr>
              <w:t>Officer (give title</w:t>
            </w:r>
          </w:p>
        </w:tc>
        <w:tc>
          <w:tcPr>
            <w:tcW w:w="1500" w:type="dxa"/>
            <w:vAlign w:val="bottom"/>
            <w:vMerge w:val="restart"/>
          </w:tcPr>
          <w:p>
            <w:pPr>
              <w:ind w:left="3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2"/>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46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180" w:type="dxa"/>
            <w:vAlign w:val="bottom"/>
            <w:gridSpan w:val="2"/>
            <w:vMerge w:val="continue"/>
          </w:tcPr>
          <w:p>
            <w:pPr>
              <w:spacing w:after="0"/>
              <w:rPr>
                <w:sz w:val="9"/>
                <w:szCs w:val="9"/>
                <w:color w:val="auto"/>
              </w:rPr>
            </w:pPr>
          </w:p>
        </w:tc>
        <w:tc>
          <w:tcPr>
            <w:tcW w:w="3660" w:type="dxa"/>
            <w:vAlign w:val="bottom"/>
            <w:gridSpan w:val="2"/>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1340" w:type="dxa"/>
            <w:vAlign w:val="bottom"/>
          </w:tcPr>
          <w:p>
            <w:pPr>
              <w:ind w:left="120"/>
              <w:spacing w:after="0" w:line="114" w:lineRule="exact"/>
              <w:rPr>
                <w:sz w:val="20"/>
                <w:szCs w:val="20"/>
                <w:color w:val="auto"/>
              </w:rPr>
            </w:pPr>
            <w:r>
              <w:rPr>
                <w:rFonts w:ascii="Arial" w:cs="Arial" w:eastAsia="Arial" w:hAnsi="Arial"/>
                <w:sz w:val="12"/>
                <w:szCs w:val="12"/>
                <w:color w:val="auto"/>
              </w:rPr>
              <w:t>below)</w:t>
            </w:r>
          </w:p>
        </w:tc>
        <w:tc>
          <w:tcPr>
            <w:tcW w:w="1500" w:type="dxa"/>
            <w:vAlign w:val="bottom"/>
          </w:tcPr>
          <w:p>
            <w:pPr>
              <w:ind w:left="360"/>
              <w:spacing w:after="0" w:line="114"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206"/>
        </w:trPr>
        <w:tc>
          <w:tcPr>
            <w:tcW w:w="22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04/08/2024</w:t>
            </w:r>
          </w:p>
        </w:tc>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0000FF"/>
              </w:rPr>
              <w:t>Chief Scientific Officer</w:t>
            </w:r>
          </w:p>
        </w:tc>
        <w:tc>
          <w:tcPr>
            <w:tcW w:w="0" w:type="dxa"/>
            <w:vAlign w:val="bottom"/>
          </w:tcPr>
          <w:p>
            <w:pPr>
              <w:spacing w:after="0"/>
              <w:rPr>
                <w:sz w:val="1"/>
                <w:szCs w:val="1"/>
                <w:color w:val="auto"/>
              </w:rPr>
            </w:pPr>
          </w:p>
        </w:tc>
      </w:tr>
      <w:tr>
        <w:trPr>
          <w:trHeight w:val="67"/>
        </w:trPr>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4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3300" w:type="dxa"/>
            <w:vAlign w:val="bottom"/>
            <w:tcBorders>
              <w:bottom w:val="single" w:sz="8" w:color="2C2C2C"/>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30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40" w:type="dxa"/>
            <w:vAlign w:val="bottom"/>
            <w:gridSpan w:val="2"/>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19" w:lineRule="exact"/>
        <w:rPr>
          <w:sz w:val="24"/>
          <w:szCs w:val="24"/>
          <w:color w:val="auto"/>
        </w:rPr>
      </w:pPr>
    </w:p>
    <w:p>
      <w:pPr>
        <w:ind w:left="60"/>
        <w:spacing w:after="0"/>
        <w:rPr>
          <w:sz w:val="20"/>
          <w:szCs w:val="20"/>
          <w:color w:val="auto"/>
        </w:rPr>
      </w:pPr>
      <w:r>
        <w:rPr>
          <w:rFonts w:ascii="Arial" w:cs="Arial" w:eastAsia="Arial" w:hAnsi="Arial"/>
          <w:sz w:val="19"/>
          <w:szCs w:val="19"/>
          <w:color w:val="auto"/>
        </w:rPr>
        <w:t>Rule 10b5-1(c) Transaction Indication</w:t>
      </w:r>
    </w:p>
    <w:p>
      <w:pPr>
        <w:spacing w:after="0" w:line="205" w:lineRule="exact"/>
        <w:rPr>
          <w:sz w:val="24"/>
          <w:szCs w:val="24"/>
          <w:color w:val="auto"/>
        </w:rPr>
      </w:pPr>
    </w:p>
    <w:p>
      <w:pPr>
        <w:ind w:left="300" w:right="540"/>
        <w:spacing w:after="0" w:line="25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3" w:lineRule="exact"/>
        <w:rPr>
          <w:sz w:val="24"/>
          <w:szCs w:val="24"/>
          <w:color w:val="auto"/>
        </w:rPr>
      </w:pPr>
    </w:p>
    <w:p>
      <w:pPr>
        <w:sectPr>
          <w:pgSz w:w="11900" w:h="16838" w:orient="portrait"/>
          <w:cols w:equalWidth="0" w:num="2">
            <w:col w:w="3760" w:space="80"/>
            <w:col w:w="7240"/>
          </w:cols>
          <w:pgMar w:left="460" w:top="211"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4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w w:val="99"/>
              </w:rPr>
              <w:t>2. Transaction</w:t>
            </w:r>
          </w:p>
        </w:tc>
        <w:tc>
          <w:tcPr>
            <w:tcW w:w="220" w:type="dxa"/>
            <w:vAlign w:val="bottom"/>
          </w:tcPr>
          <w:p>
            <w:pPr>
              <w:spacing w:after="0"/>
              <w:rPr>
                <w:sz w:val="12"/>
                <w:szCs w:val="12"/>
                <w:color w:val="auto"/>
              </w:rPr>
            </w:pP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3"/>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2"/>
                <w:szCs w:val="12"/>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w w:val="98"/>
              </w:rPr>
              <w:t>5. Amount of</w:t>
            </w:r>
          </w:p>
        </w:tc>
        <w:tc>
          <w:tcPr>
            <w:tcW w:w="460" w:type="dxa"/>
            <w:vAlign w:val="bottom"/>
          </w:tcPr>
          <w:p>
            <w:pPr>
              <w:spacing w:after="0"/>
              <w:rPr>
                <w:sz w:val="12"/>
                <w:szCs w:val="12"/>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right"/>
              <w:ind w:right="464"/>
              <w:spacing w:after="0" w:line="121"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6"/>
              </w:rPr>
              <w:t>Transaction</w:t>
            </w:r>
          </w:p>
        </w:tc>
        <w:tc>
          <w:tcPr>
            <w:tcW w:w="2020" w:type="dxa"/>
            <w:vAlign w:val="bottom"/>
            <w:gridSpan w:val="3"/>
          </w:tcPr>
          <w:p>
            <w:pPr>
              <w:ind w:left="14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7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68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8"/>
              </w:rPr>
              <w:t>Code (Instr.</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74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4"/>
        </w:trPr>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vMerge w:val="restart"/>
          </w:tcPr>
          <w:p>
            <w:pPr>
              <w:spacing w:after="0"/>
              <w:rPr>
                <w:sz w:val="5"/>
                <w:szCs w:val="5"/>
                <w:color w:val="auto"/>
              </w:rPr>
            </w:pPr>
          </w:p>
        </w:tc>
        <w:tc>
          <w:tcPr>
            <w:tcW w:w="1160" w:type="dxa"/>
            <w:vAlign w:val="bottom"/>
            <w:gridSpan w:val="2"/>
            <w:vMerge w:val="restart"/>
          </w:tcPr>
          <w:p>
            <w:pPr>
              <w:ind w:left="20"/>
              <w:spacing w:after="0" w:line="121"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3"/>
            <w:vMerge w:val="restart"/>
          </w:tcPr>
          <w:p>
            <w:pPr>
              <w:ind w:left="2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ind w:left="340"/>
              <w:spacing w:after="0" w:line="121" w:lineRule="exact"/>
              <w:rPr>
                <w:sz w:val="20"/>
                <w:szCs w:val="20"/>
                <w:color w:val="auto"/>
              </w:rPr>
            </w:pPr>
            <w:r>
              <w:rPr>
                <w:rFonts w:ascii="Arial" w:cs="Arial" w:eastAsia="Arial" w:hAnsi="Arial"/>
                <w:sz w:val="11"/>
                <w:szCs w:val="11"/>
                <w:b w:val="1"/>
                <w:bCs w:val="1"/>
                <w:color w:val="auto"/>
              </w:rPr>
              <w:t>(A) or</w:t>
            </w:r>
          </w:p>
        </w:tc>
        <w:tc>
          <w:tcPr>
            <w:tcW w:w="70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7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3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4"/>
        </w:trPr>
        <w:tc>
          <w:tcPr>
            <w:tcW w:w="13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6"/>
                <w:szCs w:val="16"/>
                <w:color w:val="0000FF"/>
              </w:rPr>
              <w:t>25,940</w:t>
            </w:r>
            <w:r>
              <w:rPr>
                <w:rFonts w:ascii="Times New Roman" w:cs="Times New Roman" w:eastAsia="Times New Roman" w:hAnsi="Times New Roman"/>
                <w:sz w:val="20"/>
                <w:szCs w:val="20"/>
                <w:color w:val="008000"/>
                <w:vertAlign w:val="superscript"/>
              </w:rPr>
              <w:t>(1)</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60" w:type="dxa"/>
            <w:vAlign w:val="bottom"/>
            <w:gridSpan w:val="12"/>
          </w:tcPr>
          <w:p>
            <w:pPr>
              <w:jc w:val="center"/>
              <w:ind w:right="126"/>
              <w:spacing w:after="0"/>
              <w:rPr>
                <w:sz w:val="20"/>
                <w:szCs w:val="20"/>
                <w:color w:val="auto"/>
              </w:rPr>
            </w:pPr>
            <w:r>
              <w:rPr>
                <w:rFonts w:ascii="Arial" w:cs="Arial" w:eastAsia="Arial" w:hAnsi="Arial"/>
                <w:sz w:val="16"/>
                <w:szCs w:val="16"/>
                <w:b w:val="1"/>
                <w:bCs w:val="1"/>
                <w:color w:val="auto"/>
                <w:w w:val="97"/>
              </w:rPr>
              <w:t>Table II - Derivative Securities Acquired, Disposed of, or Beneficially Owned</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760" w:type="dxa"/>
            <w:vAlign w:val="bottom"/>
            <w:gridSpan w:val="9"/>
          </w:tcPr>
          <w:p>
            <w:pPr>
              <w:jc w:val="center"/>
              <w:ind w:right="335"/>
              <w:spacing w:after="0"/>
              <w:rPr>
                <w:sz w:val="20"/>
                <w:szCs w:val="20"/>
                <w:color w:val="auto"/>
              </w:rPr>
            </w:pPr>
            <w:r>
              <w:rPr>
                <w:rFonts w:ascii="Arial" w:cs="Arial" w:eastAsia="Arial" w:hAnsi="Arial"/>
                <w:sz w:val="16"/>
                <w:szCs w:val="16"/>
                <w:b w:val="1"/>
                <w:bCs w:val="1"/>
                <w:color w:val="auto"/>
                <w:w w:val="97"/>
              </w:rPr>
              <w:t>(e.g., puts, calls, warrants, options, convertible securities)</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14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36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1"/>
        </w:trPr>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16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Derivative</w:t>
            </w:r>
          </w:p>
        </w:tc>
        <w:tc>
          <w:tcPr>
            <w:tcW w:w="13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Ownership</w:t>
            </w:r>
          </w:p>
        </w:tc>
        <w:tc>
          <w:tcPr>
            <w:tcW w:w="7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1"/>
        </w:trPr>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116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Securities</w:t>
            </w:r>
          </w:p>
        </w:tc>
        <w:tc>
          <w:tcPr>
            <w:tcW w:w="13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w w:val="99"/>
              </w:rPr>
              <w:t>Derivative Security (Instr.</w:t>
            </w:r>
          </w:p>
        </w:tc>
        <w:tc>
          <w:tcPr>
            <w:tcW w:w="4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3)</w:t>
            </w: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96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84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8)</w:t>
            </w:r>
          </w:p>
        </w:tc>
        <w:tc>
          <w:tcPr>
            <w:tcW w:w="116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3 and 4)</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100"/>
              <w:spacing w:after="0" w:line="121" w:lineRule="exact"/>
              <w:rPr>
                <w:sz w:val="20"/>
                <w:szCs w:val="20"/>
                <w:color w:val="auto"/>
              </w:rPr>
            </w:pPr>
            <w:r>
              <w:rPr>
                <w:rFonts w:ascii="Arial" w:cs="Arial" w:eastAsia="Arial" w:hAnsi="Arial"/>
                <w:sz w:val="11"/>
                <w:szCs w:val="11"/>
                <w:b w:val="1"/>
                <w:bCs w:val="1"/>
                <w:color w:val="auto"/>
                <w:w w:val="96"/>
              </w:rPr>
              <w:t>Direct (D)</w:t>
            </w:r>
          </w:p>
        </w:tc>
        <w:tc>
          <w:tcPr>
            <w:tcW w:w="120" w:type="dxa"/>
            <w:vAlign w:val="bottom"/>
          </w:tcPr>
          <w:p>
            <w:pPr>
              <w:spacing w:after="0"/>
              <w:rPr>
                <w:sz w:val="10"/>
                <w:szCs w:val="10"/>
                <w:color w:val="auto"/>
              </w:rPr>
            </w:pPr>
          </w:p>
        </w:tc>
        <w:tc>
          <w:tcPr>
            <w:tcW w:w="7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1"/>
        </w:trPr>
        <w:tc>
          <w:tcPr>
            <w:tcW w:w="660" w:type="dxa"/>
            <w:vAlign w:val="bottom"/>
          </w:tcPr>
          <w:p>
            <w:pPr>
              <w:spacing w:after="0"/>
              <w:rPr>
                <w:sz w:val="10"/>
                <w:szCs w:val="10"/>
                <w:color w:val="auto"/>
              </w:rPr>
            </w:pP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6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Disposed of (D)</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2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or Indirect</w:t>
            </w:r>
          </w:p>
        </w:tc>
        <w:tc>
          <w:tcPr>
            <w:tcW w:w="7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1"/>
        </w:trPr>
        <w:tc>
          <w:tcPr>
            <w:tcW w:w="660" w:type="dxa"/>
            <w:vAlign w:val="bottom"/>
          </w:tcPr>
          <w:p>
            <w:pPr>
              <w:spacing w:after="0"/>
              <w:rPr>
                <w:sz w:val="10"/>
                <w:szCs w:val="10"/>
                <w:color w:val="auto"/>
              </w:rPr>
            </w:pP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6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(Instr. 3, 4 and 5)</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gridSpan w:val="2"/>
            <w:vMerge w:val="restart"/>
          </w:tcPr>
          <w:p>
            <w:pPr>
              <w:ind w:left="20"/>
              <w:spacing w:after="0" w:line="121"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line="121" w:lineRule="exact"/>
              <w:rPr>
                <w:sz w:val="20"/>
                <w:szCs w:val="20"/>
                <w:color w:val="auto"/>
              </w:rPr>
            </w:pPr>
            <w:r>
              <w:rPr>
                <w:rFonts w:ascii="Arial" w:cs="Arial" w:eastAsia="Arial" w:hAnsi="Arial"/>
                <w:sz w:val="11"/>
                <w:szCs w:val="11"/>
                <w:b w:val="1"/>
                <w:bCs w:val="1"/>
                <w:color w:val="auto"/>
              </w:rPr>
              <w:t>Expiration</w:t>
            </w:r>
          </w:p>
        </w:tc>
        <w:tc>
          <w:tcPr>
            <w:tcW w:w="70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ind w:left="20"/>
              <w:spacing w:after="0" w:line="121" w:lineRule="exact"/>
              <w:rPr>
                <w:sz w:val="20"/>
                <w:szCs w:val="20"/>
                <w:color w:val="auto"/>
              </w:rPr>
            </w:pPr>
            <w:r>
              <w:rPr>
                <w:rFonts w:ascii="Arial" w:cs="Arial" w:eastAsia="Arial" w:hAnsi="Arial"/>
                <w:sz w:val="11"/>
                <w:szCs w:val="11"/>
                <w:b w:val="1"/>
                <w:bCs w:val="1"/>
                <w:color w:val="auto"/>
                <w:w w:val="96"/>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940" w:type="dxa"/>
            <w:vAlign w:val="bottom"/>
          </w:tcPr>
          <w:p>
            <w:pPr>
              <w:ind w:left="3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Series A</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6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Non-Voting</w:t>
            </w: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Option</w:t>
            </w: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(2)</w:t>
            </w:r>
          </w:p>
        </w:tc>
        <w:tc>
          <w:tcPr>
            <w:tcW w:w="6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4,276.454</w:t>
            </w:r>
          </w:p>
        </w:tc>
        <w:tc>
          <w:tcPr>
            <w:tcW w:w="7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660" w:type="dxa"/>
            <w:vAlign w:val="bottom"/>
            <w:vMerge w:val="continue"/>
          </w:tcPr>
          <w:p>
            <w:pPr>
              <w:spacing w:after="0"/>
              <w:rPr>
                <w:sz w:val="5"/>
                <w:szCs w:val="5"/>
                <w:color w:val="auto"/>
              </w:rPr>
            </w:pPr>
          </w:p>
        </w:tc>
        <w:tc>
          <w:tcPr>
            <w:tcW w:w="720" w:type="dxa"/>
            <w:vAlign w:val="bottom"/>
            <w:vMerge w:val="restart"/>
          </w:tcPr>
          <w:p>
            <w:pPr>
              <w:jc w:val="center"/>
              <w:spacing w:after="0" w:line="133"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107.59</w:t>
            </w:r>
          </w:p>
        </w:tc>
        <w:tc>
          <w:tcPr>
            <w:tcW w:w="1020" w:type="dxa"/>
            <w:vAlign w:val="bottom"/>
            <w:vMerge w:val="restart"/>
          </w:tcPr>
          <w:p>
            <w:pPr>
              <w:jc w:val="right"/>
              <w:ind w:right="183"/>
              <w:spacing w:after="0" w:line="133" w:lineRule="exact"/>
              <w:rPr>
                <w:sz w:val="20"/>
                <w:szCs w:val="20"/>
                <w:color w:val="auto"/>
              </w:rPr>
            </w:pPr>
            <w:r>
              <w:rPr>
                <w:rFonts w:ascii="Times New Roman" w:cs="Times New Roman" w:eastAsia="Times New Roman" w:hAnsi="Times New Roman"/>
                <w:sz w:val="12"/>
                <w:szCs w:val="12"/>
                <w:color w:val="0000FF"/>
              </w:rPr>
              <w:t>04/08/2024</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restart"/>
          </w:tcPr>
          <w:p>
            <w:pPr>
              <w:jc w:val="right"/>
              <w:ind w:right="464"/>
              <w:spacing w:after="0" w:line="133"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5"/>
                <w:szCs w:val="5"/>
                <w:color w:val="auto"/>
              </w:rPr>
            </w:pPr>
          </w:p>
        </w:tc>
        <w:tc>
          <w:tcPr>
            <w:tcW w:w="940" w:type="dxa"/>
            <w:vAlign w:val="bottom"/>
            <w:vMerge w:val="restart"/>
          </w:tcPr>
          <w:p>
            <w:pPr>
              <w:ind w:left="340"/>
              <w:spacing w:after="0" w:line="133" w:lineRule="exact"/>
              <w:rPr>
                <w:sz w:val="20"/>
                <w:szCs w:val="20"/>
                <w:color w:val="auto"/>
              </w:rPr>
            </w:pPr>
            <w:r>
              <w:rPr>
                <w:rFonts w:ascii="Times New Roman" w:cs="Times New Roman" w:eastAsia="Times New Roman" w:hAnsi="Times New Roman"/>
                <w:sz w:val="12"/>
                <w:szCs w:val="12"/>
                <w:color w:val="0000FF"/>
              </w:rPr>
              <w:t>4,276.454</w:t>
            </w:r>
          </w:p>
        </w:tc>
        <w:tc>
          <w:tcPr>
            <w:tcW w:w="740" w:type="dxa"/>
            <w:vAlign w:val="bottom"/>
            <w:gridSpan w:val="2"/>
            <w:vMerge w:val="continue"/>
          </w:tcPr>
          <w:p>
            <w:pPr>
              <w:spacing w:after="0"/>
              <w:rPr>
                <w:sz w:val="5"/>
                <w:szCs w:val="5"/>
                <w:color w:val="auto"/>
              </w:rPr>
            </w:pPr>
          </w:p>
        </w:tc>
        <w:tc>
          <w:tcPr>
            <w:tcW w:w="620" w:type="dxa"/>
            <w:vAlign w:val="bottom"/>
            <w:vMerge w:val="restart"/>
          </w:tcPr>
          <w:p>
            <w:pPr>
              <w:spacing w:after="0" w:line="133" w:lineRule="exact"/>
              <w:rPr>
                <w:sz w:val="20"/>
                <w:szCs w:val="20"/>
                <w:color w:val="auto"/>
              </w:rPr>
            </w:pPr>
            <w:r>
              <w:rPr>
                <w:rFonts w:ascii="Times New Roman" w:cs="Times New Roman" w:eastAsia="Times New Roman" w:hAnsi="Times New Roman"/>
                <w:sz w:val="12"/>
                <w:szCs w:val="12"/>
                <w:color w:val="0000FF"/>
              </w:rPr>
              <w:t>01/15/2033</w:t>
            </w:r>
          </w:p>
        </w:tc>
        <w:tc>
          <w:tcPr>
            <w:tcW w:w="70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rPr>
              <w:t>Convertible</w:t>
            </w:r>
          </w:p>
        </w:tc>
        <w:tc>
          <w:tcPr>
            <w:tcW w:w="70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460" w:type="dxa"/>
            <w:vAlign w:val="bottom"/>
            <w:vMerge w:val="restart"/>
          </w:tcPr>
          <w:p>
            <w:pPr>
              <w:jc w:val="center"/>
              <w:ind w:left="264"/>
              <w:spacing w:after="0" w:line="133" w:lineRule="exact"/>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5"/>
                <w:szCs w:val="5"/>
                <w:color w:val="auto"/>
              </w:rPr>
            </w:pPr>
          </w:p>
        </w:tc>
        <w:tc>
          <w:tcPr>
            <w:tcW w:w="600" w:type="dxa"/>
            <w:vAlign w:val="bottom"/>
            <w:vMerge w:val="restart"/>
          </w:tcPr>
          <w:p>
            <w:pPr>
              <w:ind w:left="340"/>
              <w:spacing w:after="0" w:line="133" w:lineRule="exact"/>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vMerge w:val="restart"/>
          </w:tcPr>
          <w:p>
            <w:pPr>
              <w:ind w:left="60"/>
              <w:spacing w:after="0" w:line="133" w:lineRule="exact"/>
              <w:rPr>
                <w:sz w:val="20"/>
                <w:szCs w:val="20"/>
                <w:color w:val="auto"/>
              </w:rPr>
            </w:pPr>
            <w:r>
              <w:rPr>
                <w:rFonts w:ascii="Times New Roman" w:cs="Times New Roman" w:eastAsia="Times New Roman" w:hAnsi="Times New Roman"/>
                <w:sz w:val="12"/>
                <w:szCs w:val="12"/>
                <w:color w:val="0000FF"/>
              </w:rPr>
              <w:t>(Right to</w:t>
            </w:r>
          </w:p>
        </w:tc>
        <w:tc>
          <w:tcPr>
            <w:tcW w:w="72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6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vMerge w:val="restart"/>
          </w:tcPr>
          <w:p>
            <w:pPr>
              <w:jc w:val="center"/>
              <w:spacing w:after="0" w:line="133" w:lineRule="exact"/>
              <w:rPr>
                <w:sz w:val="20"/>
                <w:szCs w:val="20"/>
                <w:color w:val="auto"/>
              </w:rPr>
            </w:pPr>
            <w:r>
              <w:rPr>
                <w:rFonts w:ascii="Times New Roman" w:cs="Times New Roman" w:eastAsia="Times New Roman" w:hAnsi="Times New Roman"/>
                <w:sz w:val="12"/>
                <w:szCs w:val="12"/>
                <w:color w:val="0000FF"/>
              </w:rPr>
              <w:t>Preferred</w:t>
            </w: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6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6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Option</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3.23</w:t>
            </w:r>
          </w:p>
        </w:tc>
        <w:tc>
          <w:tcPr>
            <w:tcW w:w="1020" w:type="dxa"/>
            <w:vAlign w:val="bottom"/>
            <w:vMerge w:val="restart"/>
          </w:tcPr>
          <w:p>
            <w:pPr>
              <w:jc w:val="right"/>
              <w:ind w:right="183"/>
              <w:spacing w:after="0"/>
              <w:rPr>
                <w:sz w:val="20"/>
                <w:szCs w:val="20"/>
                <w:color w:val="auto"/>
              </w:rPr>
            </w:pPr>
            <w:r>
              <w:rPr>
                <w:rFonts w:ascii="Times New Roman" w:cs="Times New Roman" w:eastAsia="Times New Roman" w:hAnsi="Times New Roman"/>
                <w:sz w:val="12"/>
                <w:szCs w:val="12"/>
                <w:color w:val="0000FF"/>
              </w:rPr>
              <w:t>04/08/2024</w:t>
            </w: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jc w:val="right"/>
              <w:ind w:right="464"/>
              <w:spacing w:after="0"/>
              <w:rPr>
                <w:sz w:val="20"/>
                <w:szCs w:val="20"/>
                <w:color w:val="auto"/>
              </w:rPr>
            </w:pPr>
            <w:r>
              <w:rPr>
                <w:rFonts w:ascii="Times New Roman" w:cs="Times New Roman" w:eastAsia="Times New Roman" w:hAnsi="Times New Roman"/>
                <w:sz w:val="12"/>
                <w:szCs w:val="12"/>
                <w:color w:val="0000FF"/>
              </w:rPr>
              <w:t>M</w:t>
            </w: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color w:val="0000FF"/>
              </w:rPr>
              <w:t>142,547</w:t>
            </w:r>
          </w:p>
        </w:tc>
        <w:tc>
          <w:tcPr>
            <w:tcW w:w="7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(4)</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01/15/2033</w:t>
            </w:r>
          </w:p>
        </w:tc>
        <w:tc>
          <w:tcPr>
            <w:tcW w:w="7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1"/>
              </w:rPr>
              <w:t>142,547</w:t>
            </w:r>
            <w:r>
              <w:rPr>
                <w:rFonts w:ascii="Times New Roman" w:cs="Times New Roman" w:eastAsia="Times New Roman" w:hAnsi="Times New Roman"/>
                <w:sz w:val="20"/>
                <w:szCs w:val="20"/>
                <w:color w:val="008000"/>
                <w:w w:val="91"/>
                <w:vertAlign w:val="superscript"/>
              </w:rPr>
              <w:t>(1)</w:t>
            </w:r>
          </w:p>
        </w:tc>
        <w:tc>
          <w:tcPr>
            <w:tcW w:w="7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5"/>
              </w:rPr>
              <w:t>142,547</w:t>
            </w:r>
            <w:r>
              <w:rPr>
                <w:rFonts w:ascii="Times New Roman" w:cs="Times New Roman" w:eastAsia="Times New Roman" w:hAnsi="Times New Roman"/>
                <w:sz w:val="20"/>
                <w:szCs w:val="20"/>
                <w:color w:val="008000"/>
                <w:w w:val="95"/>
                <w:vertAlign w:val="superscript"/>
              </w:rPr>
              <w:t>(1)</w:t>
            </w:r>
          </w:p>
        </w:tc>
        <w:tc>
          <w:tcPr>
            <w:tcW w:w="60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(Right to</w:t>
            </w:r>
          </w:p>
        </w:tc>
        <w:tc>
          <w:tcPr>
            <w:tcW w:w="72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70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6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0000FF"/>
              </w:rPr>
              <w:t>Option</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19.656</w:t>
            </w: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(6)</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01/01/2034</w:t>
            </w:r>
          </w:p>
        </w:tc>
        <w:tc>
          <w:tcPr>
            <w:tcW w:w="7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0"/>
              </w:rPr>
              <w:t>33,265</w:t>
            </w:r>
            <w:r>
              <w:rPr>
                <w:rFonts w:ascii="Times New Roman" w:cs="Times New Roman" w:eastAsia="Times New Roman" w:hAnsi="Times New Roman"/>
                <w:sz w:val="20"/>
                <w:szCs w:val="20"/>
                <w:color w:val="008000"/>
                <w:w w:val="90"/>
                <w:vertAlign w:val="superscript"/>
              </w:rPr>
              <w:t>(1)</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0"/>
              </w:rPr>
              <w:t>33,265</w:t>
            </w:r>
            <w:r>
              <w:rPr>
                <w:rFonts w:ascii="Times New Roman" w:cs="Times New Roman" w:eastAsia="Times New Roman" w:hAnsi="Times New Roman"/>
                <w:sz w:val="20"/>
                <w:szCs w:val="20"/>
                <w:color w:val="008000"/>
                <w:w w:val="90"/>
                <w:vertAlign w:val="superscript"/>
              </w:rPr>
              <w:t>(1)</w:t>
            </w:r>
          </w:p>
        </w:tc>
        <w:tc>
          <w:tcPr>
            <w:tcW w:w="60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72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2"/>
          <w:szCs w:val="12"/>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3" w:lineRule="exact"/>
        <w:rPr>
          <w:sz w:val="24"/>
          <w:szCs w:val="24"/>
          <w:color w:val="auto"/>
        </w:rPr>
      </w:pPr>
    </w:p>
    <w:p>
      <w:pPr>
        <w:ind w:left="40" w:right="480" w:hanging="7"/>
        <w:spacing w:after="0" w:line="265"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April 4, 2024, the issuer effected a 1-for-30 reverse stock split (the "Reverse Stock Split") of its common stock ("Common Stock"). The amount of securities reported on this Form 4 has been adjusted to reflect the Reverse Stock Split.</w:t>
      </w:r>
    </w:p>
    <w:p>
      <w:pPr>
        <w:spacing w:after="0" w:line="9" w:lineRule="exact"/>
        <w:rPr>
          <w:rFonts w:ascii="Times New Roman" w:cs="Times New Roman" w:eastAsia="Times New Roman" w:hAnsi="Times New Roman"/>
          <w:sz w:val="12"/>
          <w:szCs w:val="12"/>
          <w:color w:val="008000"/>
        </w:rPr>
      </w:pPr>
    </w:p>
    <w:p>
      <w:pPr>
        <w:ind w:left="40" w:right="140" w:hanging="7"/>
        <w:spacing w:after="0" w:line="239"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27, 2024, the issuer held a special meeting of stockholders (the "Special Meeting"). At the Special Meeting, the stockholders of the issuer approved the Reverse Stock Split and the conversion of the issuer's Series A Non-Voting Convertible Preferred Stock ("Series A Preferred Stock") into shares of Common Stock. On April 8, 2024, the conversion of the majority of the shares of Series A Preferred Stock occurred automatically (the "Automatic Conversion"). The remaining shares of Series A Preferred Stock remain subject to certain beneficial ownership limitations described in the issuer's filings with the Securities and Exchange Commission. Prior to the Automatic Conversion, the option was exercisable for 2,984.676 shares of Series A Non-Voting Convertible Preferred Stock of the issuer ("Series A Preferred Stock") and would have become exercisable for an additional 89.093 shares each month until it was fully exercisable on June 16, 2025.</w:t>
      </w:r>
    </w:p>
    <w:p>
      <w:pPr>
        <w:spacing w:after="0" w:line="26" w:lineRule="exact"/>
        <w:rPr>
          <w:rFonts w:ascii="Times New Roman" w:cs="Times New Roman" w:eastAsia="Times New Roman" w:hAnsi="Times New Roman"/>
          <w:sz w:val="12"/>
          <w:szCs w:val="12"/>
          <w:color w:val="008000"/>
        </w:rPr>
      </w:pPr>
    </w:p>
    <w:p>
      <w:pPr>
        <w:ind w:left="40" w:right="400" w:hanging="7"/>
        <w:spacing w:after="0" w:line="265"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November 13, 2023, the issuer acquired the private Delaware corporation which was then known as Cartesian Therapeutics, Inc. ("Old Cartesian") in accordance with the terms of an Agreement and Plan of Merger, dated November 13, 2023. Options to purchase Old Cartesian common stock held by the reporting person were converted into options to purchase shares of Series A Preferred Stock in connection with the acquisition.</w:t>
      </w:r>
    </w:p>
    <w:p>
      <w:pPr>
        <w:spacing w:after="0" w:line="9" w:lineRule="exact"/>
        <w:rPr>
          <w:rFonts w:ascii="Times New Roman" w:cs="Times New Roman" w:eastAsia="Times New Roman" w:hAnsi="Times New Roman"/>
          <w:sz w:val="12"/>
          <w:szCs w:val="12"/>
          <w:color w:val="008000"/>
        </w:rPr>
      </w:pPr>
    </w:p>
    <w:p>
      <w:pPr>
        <w:ind w:left="40" w:right="140" w:hanging="7"/>
        <w:spacing w:after="0" w:line="265"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Automatic Conversion, the option is currently exercisable for 99,483 shares of Common Stock and becomes exercisable for an additional 2,969 shares of Common Stock each month until is is fully exercisable on June 16, 2025.</w:t>
      </w:r>
    </w:p>
    <w:p>
      <w:pPr>
        <w:spacing w:after="0" w:line="9" w:lineRule="exact"/>
        <w:rPr>
          <w:rFonts w:ascii="Times New Roman" w:cs="Times New Roman" w:eastAsia="Times New Roman" w:hAnsi="Times New Roman"/>
          <w:sz w:val="12"/>
          <w:szCs w:val="12"/>
          <w:color w:val="008000"/>
        </w:rPr>
      </w:pPr>
    </w:p>
    <w:p>
      <w:pPr>
        <w:ind w:left="160" w:hanging="127"/>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Following the Automatic Conversion, options previously exercisable for shares of Series A Preferred Stock may be exercised solely for shares of Common Stock.</w:t>
      </w:r>
    </w:p>
    <w:p>
      <w:pPr>
        <w:spacing w:after="0" w:line="43" w:lineRule="exact"/>
        <w:rPr>
          <w:rFonts w:ascii="Times New Roman" w:cs="Times New Roman" w:eastAsia="Times New Roman" w:hAnsi="Times New Roman"/>
          <w:sz w:val="12"/>
          <w:szCs w:val="12"/>
          <w:color w:val="008000"/>
        </w:rPr>
      </w:pPr>
    </w:p>
    <w:p>
      <w:pPr>
        <w:ind w:left="160" w:hanging="127"/>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option vests as to 25% on January 2, 2025. The remainder of the underlying shares will vest in three equal annual installments thereafter so that the underlying shares will be fully vested on January 2, 2028.</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18"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Matthew Bartholomae,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-8255</wp:posOffset>
            </wp:positionV>
            <wp:extent cx="10388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38860" cy="7620"/>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Attorney-in-Fact for Christopher</w:t>
      </w:r>
      <w:r>
        <w:rPr>
          <w:sz w:val="20"/>
          <w:szCs w:val="20"/>
          <w:color w:val="auto"/>
        </w:rPr>
        <w:tab/>
      </w:r>
      <w:r>
        <w:rPr>
          <w:rFonts w:ascii="Times New Roman" w:cs="Times New Roman" w:eastAsia="Times New Roman" w:hAnsi="Times New Roman"/>
          <w:sz w:val="15"/>
          <w:szCs w:val="15"/>
          <w:color w:val="0000FF"/>
        </w:rPr>
        <w:t>04/10/2024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-16510</wp:posOffset>
            </wp:positionV>
            <wp:extent cx="185102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5102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Jewell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4188460</wp:posOffset>
            </wp:positionH>
            <wp:positionV relativeFrom="paragraph">
              <wp:posOffset>-16510</wp:posOffset>
            </wp:positionV>
            <wp:extent cx="2546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54635" cy="7620"/>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3" w:lineRule="exact"/>
        <w:rPr>
          <w:sz w:val="24"/>
          <w:szCs w:val="24"/>
          <w:color w:val="auto"/>
        </w:rPr>
      </w:pPr>
    </w:p>
    <w:p>
      <w:pPr>
        <w:jc w:val="both"/>
        <w:ind w:left="40" w:right="4080" w:hanging="7"/>
        <w:spacing w:after="0" w:line="315" w:lineRule="auto"/>
        <w:tabs>
          <w:tab w:leader="none" w:pos="168"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2000226"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2024-04-10T20:41:22Z</dcterms:created>
  <dcterms:modified xsi:type="dcterms:W3CDTF">2024-04-10T20:41:22Z</dcterms:modified>
</cp:coreProperties>
</file>