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40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01/07/2019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31"/>
        <w:spacing w:after="0"/>
        <w:rPr>
          <w:sz w:val="20"/>
          <w:szCs w:val="20"/>
          <w:color w:val="auto"/>
        </w:rPr>
      </w:pPr>
      <w:r>
        <w:rPr>
          <w:rFonts w:ascii="Arial" w:cs="Arial" w:eastAsia="Arial" w:hAnsi="Arial"/>
          <w:sz w:val="17"/>
          <w:szCs w:val="17"/>
          <w:color w:val="0000FF"/>
        </w:rPr>
        <w:t>Chief Scientific Officer</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02472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01/07/2019</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01/06/2029</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90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This option will vest as to 25% on January 7, 2020. The remainder of the underlying shares will vest in 36 equal monthly installments thereafter.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Rachel Goldstein,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364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in-Fact for Takashi Kei</w:t>
      </w:r>
      <w:r>
        <w:rPr>
          <w:sz w:val="20"/>
          <w:szCs w:val="20"/>
          <w:color w:val="auto"/>
        </w:rPr>
        <w:tab/>
      </w:r>
      <w:r>
        <w:rPr>
          <w:rFonts w:ascii="Arial" w:cs="Arial" w:eastAsia="Arial" w:hAnsi="Arial"/>
          <w:sz w:val="15"/>
          <w:szCs w:val="15"/>
          <w:color w:val="0000FF"/>
        </w:rPr>
        <w:t>01/08/2019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61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317" w:lineRule="exact"/>
        <w:rPr>
          <w:sz w:val="20"/>
          <w:szCs w:val="20"/>
          <w:color w:val="auto"/>
        </w:rPr>
      </w:pPr>
    </w:p>
    <w:p>
      <w:pPr>
        <w:jc w:val="both"/>
        <w:ind w:firstLine="635"/>
        <w:spacing w:after="0" w:line="329"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247" w:lineRule="exact"/>
        <w:rPr>
          <w:sz w:val="20"/>
          <w:szCs w:val="20"/>
          <w:color w:val="auto"/>
        </w:rPr>
      </w:pPr>
    </w:p>
    <w:p>
      <w:pPr>
        <w:ind w:left="1160" w:right="740" w:hanging="354"/>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2" w:lineRule="exact"/>
        <w:rPr>
          <w:rFonts w:ascii="Arial" w:cs="Arial" w:eastAsia="Arial" w:hAnsi="Arial"/>
          <w:sz w:val="18"/>
          <w:szCs w:val="18"/>
          <w:color w:val="auto"/>
        </w:rPr>
      </w:pPr>
    </w:p>
    <w:p>
      <w:pPr>
        <w:ind w:left="1160" w:right="840" w:hanging="354"/>
        <w:spacing w:after="0" w:line="27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execute for and on behalf of the undersigned, Forms 3, 4, and 5 in accordance with Section 16 of the Securities Exchange Act of 1934, as amended, and the rules thereunder;</w:t>
      </w:r>
    </w:p>
    <w:p>
      <w:pPr>
        <w:spacing w:after="0" w:line="208" w:lineRule="exact"/>
        <w:rPr>
          <w:rFonts w:ascii="Arial" w:cs="Arial" w:eastAsia="Arial" w:hAnsi="Arial"/>
          <w:sz w:val="18"/>
          <w:szCs w:val="18"/>
          <w:color w:val="auto"/>
        </w:rPr>
      </w:pPr>
    </w:p>
    <w:p>
      <w:pPr>
        <w:jc w:val="both"/>
        <w:ind w:left="1160" w:right="760" w:hanging="354"/>
        <w:spacing w:after="0" w:line="26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3" w:lineRule="exact"/>
        <w:rPr>
          <w:rFonts w:ascii="Arial" w:cs="Arial" w:eastAsia="Arial" w:hAnsi="Arial"/>
          <w:sz w:val="18"/>
          <w:szCs w:val="18"/>
          <w:color w:val="auto"/>
        </w:rPr>
      </w:pPr>
    </w:p>
    <w:p>
      <w:pPr>
        <w:ind w:left="1160" w:right="940" w:hanging="354"/>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jc w:val="both"/>
        <w:ind w:firstLine="635"/>
        <w:spacing w:after="0" w:line="29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38" w:lineRule="exact"/>
        <w:rPr>
          <w:sz w:val="20"/>
          <w:szCs w:val="20"/>
          <w:color w:val="auto"/>
        </w:rPr>
      </w:pPr>
    </w:p>
    <w:p>
      <w:pPr>
        <w:jc w:val="both"/>
        <w:ind w:firstLine="635"/>
        <w:spacing w:after="0" w:line="30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ectPr>
          <w:pgSz w:w="11900" w:h="16838" w:orient="portrait"/>
          <w:cols w:equalWidth="0" w:num="1">
            <w:col w:w="11420"/>
          </w:cols>
          <w:pgMar w:left="240" w:top="59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2016.</w:t>
      </w:r>
    </w:p>
    <w:p>
      <w:pPr>
        <w:spacing w:after="0" w:line="344" w:lineRule="exact"/>
        <w:rPr>
          <w:sz w:val="20"/>
          <w:szCs w:val="20"/>
          <w:color w:val="auto"/>
        </w:rPr>
      </w:pPr>
    </w:p>
    <w:tbl>
      <w:tblPr>
        <w:tblLayout w:type="fixed"/>
        <w:tblInd w:w="4260" w:type="dxa"/>
        <w:tblCellMar>
          <w:top w:w="0" w:type="dxa"/>
          <w:left w:w="0" w:type="dxa"/>
          <w:bottom w:w="0" w:type="dxa"/>
          <w:right w:w="0" w:type="dxa"/>
        </w:tblCellMar>
      </w:tblP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Signature:</w:t>
            </w:r>
          </w:p>
        </w:tc>
        <w:tc>
          <w:tcPr>
            <w:tcW w:w="4900" w:type="dxa"/>
            <w:vAlign w:val="bottom"/>
          </w:tcPr>
          <w:p>
            <w:pPr>
              <w:ind w:left="20"/>
              <w:spacing w:after="0"/>
              <w:rPr>
                <w:sz w:val="20"/>
                <w:szCs w:val="20"/>
                <w:color w:val="auto"/>
              </w:rPr>
            </w:pPr>
            <w:r>
              <w:rPr>
                <w:rFonts w:ascii="Arial" w:cs="Arial" w:eastAsia="Arial" w:hAnsi="Arial"/>
                <w:sz w:val="18"/>
                <w:szCs w:val="18"/>
                <w:color w:val="auto"/>
              </w:rPr>
              <w:t>/s/ Takashi Kei Kishimoto</w:t>
            </w:r>
          </w:p>
        </w:tc>
      </w:tr>
      <w:tr>
        <w:trPr>
          <w:trHeight w:val="27"/>
        </w:trPr>
        <w:tc>
          <w:tcPr>
            <w:tcW w:w="12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Print Name:</w:t>
            </w:r>
          </w:p>
        </w:tc>
        <w:tc>
          <w:tcPr>
            <w:tcW w:w="4900" w:type="dxa"/>
            <w:vAlign w:val="bottom"/>
          </w:tcPr>
          <w:p>
            <w:pPr>
              <w:ind w:left="20"/>
              <w:spacing w:after="0"/>
              <w:rPr>
                <w:sz w:val="20"/>
                <w:szCs w:val="20"/>
                <w:color w:val="auto"/>
              </w:rPr>
            </w:pPr>
            <w:r>
              <w:rPr>
                <w:rFonts w:ascii="Arial" w:cs="Arial" w:eastAsia="Arial" w:hAnsi="Arial"/>
                <w:sz w:val="18"/>
                <w:szCs w:val="18"/>
                <w:color w:val="auto"/>
              </w:rPr>
              <w:t>Takashi Kei Kishimoto</w:t>
            </w:r>
          </w:p>
        </w:tc>
      </w:tr>
      <w:tr>
        <w:trPr>
          <w:trHeight w:val="27"/>
        </w:trPr>
        <w:tc>
          <w:tcPr>
            <w:tcW w:w="12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bl>
    <w:p>
      <w:pPr>
        <w:sectPr>
          <w:pgSz w:w="11900" w:h="16838" w:orient="portrait"/>
          <w:cols w:equalWidth="0" w:num="1">
            <w:col w:w="10440"/>
          </w:cols>
          <w:pgMar w:left="880" w:top="575" w:right="579" w:bottom="1440" w:gutter="0" w:footer="0" w:header="0"/>
        </w:sectPr>
      </w:pPr>
    </w:p>
    <w:bookmarkStart w:id="3" w:name="page4"/>
    <w:bookmarkEnd w:id="3"/>
    <w:p>
      <w:pPr>
        <w:ind w:left="524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839"/>
        <w:spacing w:after="0"/>
        <w:rPr>
          <w:sz w:val="20"/>
          <w:szCs w:val="20"/>
          <w:color w:val="auto"/>
        </w:rPr>
      </w:pPr>
      <w:r>
        <w:rPr>
          <w:rFonts w:ascii="Arial" w:cs="Arial" w:eastAsia="Arial" w:hAnsi="Arial"/>
          <w:sz w:val="19"/>
          <w:szCs w:val="19"/>
          <w:color w:val="auto"/>
        </w:rPr>
        <w:t>Individuals Appointed as Attorney-in-Fact with Full Power of Substitution and Resubstitution: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Rachel Goldstein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John Harold Leaman</w:t>
      </w:r>
    </w:p>
    <w:sectPr>
      <w:pgSz w:w="11900" w:h="16838" w:orient="portrait"/>
      <w:cols w:equalWidth="0" w:num="1">
        <w:col w:w="10219"/>
      </w:cols>
      <w:pgMar w:left="240" w:top="5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2019-12-24T07:15:32Z</dcterms:created>
  <dcterms:modified xsi:type="dcterms:W3CDTF">2019-12-24T07:15:32Z</dcterms:modified>
</cp:coreProperties>
</file>