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235" w:lineRule="auto"/>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w:anchor="page206">
        <w:r>
          <w:rPr>
            <w:rFonts w:ascii="Arial" w:cs="Arial" w:eastAsia="Arial" w:hAnsi="Arial"/>
            <w:sz w:val="19"/>
            <w:szCs w:val="19"/>
            <w:u w:val="single" w:color="auto"/>
            <w:color w:val="0000EE"/>
          </w:rPr>
          <w:t>TABLE OF CONTENTS 2</w:t>
        </w:r>
      </w:hyperlink>
    </w:p>
    <w:p>
      <w:pPr>
        <w:spacing w:after="0" w:line="171" w:lineRule="exact"/>
        <w:rPr>
          <w:sz w:val="24"/>
          <w:szCs w:val="24"/>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As submitted to the Securities and Exchange Commission confidentially on March 30, 2016</w:t>
      </w:r>
    </w:p>
    <w:p>
      <w:pPr>
        <w:spacing w:after="0" w:line="175" w:lineRule="exact"/>
        <w:rPr>
          <w:sz w:val="24"/>
          <w:szCs w:val="24"/>
          <w:color w:val="auto"/>
        </w:rPr>
      </w:pPr>
    </w:p>
    <w:p>
      <w:pPr>
        <w:ind w:left="100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316230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UNITED STATES</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CONFIDENTIAL SUBMISSION NO. 4</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ON</w:t>
      </w:r>
    </w:p>
    <w:p>
      <w:pPr>
        <w:jc w:val="center"/>
        <w:ind w:right="-79"/>
        <w:spacing w:after="0" w:line="237" w:lineRule="auto"/>
        <w:rPr>
          <w:sz w:val="20"/>
          <w:szCs w:val="20"/>
          <w:color w:val="auto"/>
        </w:rPr>
      </w:pPr>
      <w:r>
        <w:rPr>
          <w:rFonts w:ascii="Arial" w:cs="Arial" w:eastAsia="Arial" w:hAnsi="Arial"/>
          <w:sz w:val="28"/>
          <w:szCs w:val="28"/>
          <w:b w:val="1"/>
          <w:bCs w:val="1"/>
          <w:color w:val="auto"/>
        </w:rPr>
        <w:t>FORM S-1</w:t>
      </w:r>
    </w:p>
    <w:p>
      <w:pPr>
        <w:jc w:val="center"/>
        <w:ind w:right="-79"/>
        <w:spacing w:after="0" w:line="221" w:lineRule="auto"/>
        <w:rPr>
          <w:sz w:val="20"/>
          <w:szCs w:val="20"/>
          <w:color w:val="auto"/>
        </w:rPr>
      </w:pPr>
      <w:r>
        <w:rPr>
          <w:rFonts w:ascii="Arial" w:cs="Arial" w:eastAsia="Arial" w:hAnsi="Arial"/>
          <w:sz w:val="12"/>
          <w:szCs w:val="12"/>
          <w:b w:val="1"/>
          <w:bCs w:val="1"/>
          <w:color w:val="auto"/>
        </w:rPr>
        <w:t>REGISTRATION STATEMENT</w:t>
      </w:r>
    </w:p>
    <w:p>
      <w:pPr>
        <w:jc w:val="center"/>
        <w:ind w:right="-79"/>
        <w:spacing w:after="0" w:line="222" w:lineRule="auto"/>
        <w:rPr>
          <w:sz w:val="20"/>
          <w:szCs w:val="20"/>
          <w:color w:val="auto"/>
        </w:rPr>
      </w:pPr>
      <w:r>
        <w:rPr>
          <w:rFonts w:ascii="Arial" w:cs="Arial" w:eastAsia="Arial" w:hAnsi="Arial"/>
          <w:sz w:val="12"/>
          <w:szCs w:val="12"/>
          <w:b w:val="1"/>
          <w:bCs w:val="1"/>
          <w:color w:val="auto"/>
        </w:rPr>
        <w:t>UNDER</w:t>
      </w:r>
    </w:p>
    <w:p>
      <w:pPr>
        <w:jc w:val="center"/>
        <w:ind w:right="-79"/>
        <w:spacing w:after="0"/>
        <w:rPr>
          <w:sz w:val="20"/>
          <w:szCs w:val="20"/>
          <w:color w:val="auto"/>
        </w:rPr>
      </w:pPr>
      <w:r>
        <w:rPr>
          <w:rFonts w:ascii="Arial" w:cs="Arial" w:eastAsia="Arial" w:hAnsi="Arial"/>
          <w:sz w:val="12"/>
          <w:szCs w:val="1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Selecta Biosciences,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pacing w:after="0" w:line="155" w:lineRule="exact"/>
        <w:rPr>
          <w:sz w:val="24"/>
          <w:szCs w:val="24"/>
          <w:color w:val="auto"/>
        </w:rPr>
      </w:pPr>
    </w:p>
    <w:tbl>
      <w:tblPr>
        <w:tblLayout w:type="fixed"/>
        <w:tblInd w:w="3480" w:type="dxa"/>
        <w:tblCellMar>
          <w:top w:w="0" w:type="dxa"/>
          <w:left w:w="0" w:type="dxa"/>
          <w:bottom w:w="0" w:type="dxa"/>
          <w:right w:w="0" w:type="dxa"/>
        </w:tblCellMar>
      </w:tblPr>
      <w:tr>
        <w:trPr>
          <w:trHeight w:val="138"/>
        </w:trPr>
        <w:tc>
          <w:tcPr>
            <w:tcW w:w="1440" w:type="dxa"/>
            <w:vAlign w:val="bottom"/>
          </w:tcPr>
          <w:p>
            <w:pPr>
              <w:jc w:val="center"/>
              <w:ind w:right="42"/>
              <w:spacing w:after="0"/>
              <w:rPr>
                <w:sz w:val="20"/>
                <w:szCs w:val="20"/>
                <w:color w:val="auto"/>
              </w:rPr>
            </w:pPr>
            <w:r>
              <w:rPr>
                <w:rFonts w:ascii="Arial" w:cs="Arial" w:eastAsia="Arial" w:hAnsi="Arial"/>
                <w:sz w:val="12"/>
                <w:szCs w:val="12"/>
                <w:b w:val="1"/>
                <w:bCs w:val="1"/>
                <w:color w:val="auto"/>
                <w:w w:val="87"/>
              </w:rPr>
              <w:t>Delaware</w:t>
            </w:r>
          </w:p>
        </w:tc>
        <w:tc>
          <w:tcPr>
            <w:tcW w:w="1700" w:type="dxa"/>
            <w:vAlign w:val="bottom"/>
          </w:tcPr>
          <w:p>
            <w:pPr>
              <w:jc w:val="center"/>
              <w:ind w:right="62"/>
              <w:spacing w:after="0"/>
              <w:rPr>
                <w:sz w:val="20"/>
                <w:szCs w:val="20"/>
                <w:color w:val="auto"/>
              </w:rPr>
            </w:pPr>
            <w:r>
              <w:rPr>
                <w:rFonts w:ascii="Arial" w:cs="Arial" w:eastAsia="Arial" w:hAnsi="Arial"/>
                <w:sz w:val="12"/>
                <w:szCs w:val="12"/>
                <w:b w:val="1"/>
                <w:bCs w:val="1"/>
                <w:color w:val="auto"/>
                <w:w w:val="82"/>
              </w:rPr>
              <w:t>2834</w:t>
            </w:r>
          </w:p>
        </w:tc>
        <w:tc>
          <w:tcPr>
            <w:tcW w:w="1080" w:type="dxa"/>
            <w:vAlign w:val="bottom"/>
          </w:tcPr>
          <w:p>
            <w:pPr>
              <w:jc w:val="center"/>
              <w:ind w:left="182"/>
              <w:spacing w:after="0"/>
              <w:rPr>
                <w:sz w:val="20"/>
                <w:szCs w:val="20"/>
                <w:color w:val="auto"/>
              </w:rPr>
            </w:pPr>
            <w:r>
              <w:rPr>
                <w:rFonts w:ascii="Arial" w:cs="Arial" w:eastAsia="Arial" w:hAnsi="Arial"/>
                <w:sz w:val="12"/>
                <w:szCs w:val="12"/>
                <w:b w:val="1"/>
                <w:bCs w:val="1"/>
                <w:color w:val="auto"/>
                <w:w w:val="87"/>
              </w:rPr>
              <w:t>26-1622110</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(State or other jurisdiction of</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(Primary Standard Industrial</w:t>
            </w:r>
          </w:p>
        </w:tc>
        <w:tc>
          <w:tcPr>
            <w:tcW w:w="1080" w:type="dxa"/>
            <w:vAlign w:val="bottom"/>
          </w:tcPr>
          <w:p>
            <w:pPr>
              <w:jc w:val="center"/>
              <w:ind w:left="182"/>
              <w:spacing w:after="0" w:line="128" w:lineRule="exact"/>
              <w:rPr>
                <w:sz w:val="20"/>
                <w:szCs w:val="20"/>
                <w:color w:val="auto"/>
              </w:rPr>
            </w:pPr>
            <w:r>
              <w:rPr>
                <w:rFonts w:ascii="Arial" w:cs="Arial" w:eastAsia="Arial" w:hAnsi="Arial"/>
                <w:sz w:val="12"/>
                <w:szCs w:val="12"/>
                <w:color w:val="auto"/>
                <w:w w:val="90"/>
              </w:rPr>
              <w:t>(I.R.S. Employer</w:t>
            </w:r>
          </w:p>
        </w:tc>
      </w:tr>
      <w:tr>
        <w:trPr>
          <w:trHeight w:val="127"/>
        </w:trPr>
        <w:tc>
          <w:tcPr>
            <w:tcW w:w="144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8"/>
              </w:rPr>
              <w:t>incorporation or</w:t>
            </w:r>
          </w:p>
        </w:tc>
        <w:tc>
          <w:tcPr>
            <w:tcW w:w="1700" w:type="dxa"/>
            <w:vAlign w:val="bottom"/>
          </w:tcPr>
          <w:p>
            <w:pPr>
              <w:jc w:val="center"/>
              <w:ind w:right="42"/>
              <w:spacing w:after="0" w:line="128" w:lineRule="exact"/>
              <w:rPr>
                <w:sz w:val="20"/>
                <w:szCs w:val="20"/>
                <w:color w:val="auto"/>
              </w:rPr>
            </w:pPr>
            <w:r>
              <w:rPr>
                <w:rFonts w:ascii="Arial" w:cs="Arial" w:eastAsia="Arial" w:hAnsi="Arial"/>
                <w:sz w:val="12"/>
                <w:szCs w:val="12"/>
                <w:color w:val="auto"/>
                <w:w w:val="89"/>
              </w:rPr>
              <w:t>Classification Code Number)</w:t>
            </w:r>
          </w:p>
        </w:tc>
        <w:tc>
          <w:tcPr>
            <w:tcW w:w="1080" w:type="dxa"/>
            <w:vAlign w:val="bottom"/>
          </w:tcPr>
          <w:p>
            <w:pPr>
              <w:jc w:val="center"/>
              <w:ind w:left="162"/>
              <w:spacing w:after="0" w:line="128" w:lineRule="exact"/>
              <w:rPr>
                <w:sz w:val="20"/>
                <w:szCs w:val="20"/>
                <w:color w:val="auto"/>
              </w:rPr>
            </w:pPr>
            <w:r>
              <w:rPr>
                <w:rFonts w:ascii="Arial" w:cs="Arial" w:eastAsia="Arial" w:hAnsi="Arial"/>
                <w:sz w:val="12"/>
                <w:szCs w:val="12"/>
                <w:color w:val="auto"/>
                <w:w w:val="92"/>
              </w:rPr>
              <w:t>Identification No.)</w:t>
            </w:r>
          </w:p>
        </w:tc>
      </w:tr>
      <w:tr>
        <w:trPr>
          <w:trHeight w:val="147"/>
        </w:trPr>
        <w:tc>
          <w:tcPr>
            <w:tcW w:w="1440" w:type="dxa"/>
            <w:vAlign w:val="bottom"/>
          </w:tcPr>
          <w:p>
            <w:pPr>
              <w:jc w:val="center"/>
              <w:ind w:right="42"/>
              <w:spacing w:after="0"/>
              <w:rPr>
                <w:sz w:val="20"/>
                <w:szCs w:val="20"/>
                <w:color w:val="auto"/>
              </w:rPr>
            </w:pPr>
            <w:r>
              <w:rPr>
                <w:rFonts w:ascii="Arial" w:cs="Arial" w:eastAsia="Arial" w:hAnsi="Arial"/>
                <w:sz w:val="12"/>
                <w:szCs w:val="12"/>
                <w:color w:val="auto"/>
                <w:w w:val="89"/>
              </w:rPr>
              <w:t>organization)</w:t>
            </w:r>
          </w:p>
        </w:tc>
        <w:tc>
          <w:tcPr>
            <w:tcW w:w="170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480 Arsenal Street, Building One</w:t>
      </w:r>
    </w:p>
    <w:p>
      <w:pPr>
        <w:jc w:val="center"/>
        <w:ind w:right="-79"/>
        <w:spacing w:after="0" w:line="224" w:lineRule="auto"/>
        <w:rPr>
          <w:sz w:val="20"/>
          <w:szCs w:val="20"/>
          <w:color w:val="auto"/>
        </w:rPr>
      </w:pPr>
      <w:r>
        <w:rPr>
          <w:rFonts w:ascii="Arial" w:cs="Arial" w:eastAsia="Arial" w:hAnsi="Arial"/>
          <w:sz w:val="12"/>
          <w:szCs w:val="12"/>
          <w:b w:val="1"/>
          <w:bCs w:val="1"/>
          <w:color w:val="auto"/>
        </w:rPr>
        <w:t>Watertown, Massachusetts 02472</w:t>
      </w:r>
    </w:p>
    <w:p>
      <w:pPr>
        <w:jc w:val="center"/>
        <w:ind w:right="-79"/>
        <w:spacing w:after="0" w:line="221" w:lineRule="auto"/>
        <w:rPr>
          <w:sz w:val="20"/>
          <w:szCs w:val="20"/>
          <w:color w:val="auto"/>
        </w:rPr>
      </w:pPr>
      <w:r>
        <w:rPr>
          <w:rFonts w:ascii="Arial" w:cs="Arial" w:eastAsia="Arial" w:hAnsi="Arial"/>
          <w:sz w:val="12"/>
          <w:szCs w:val="12"/>
          <w:b w:val="1"/>
          <w:bCs w:val="1"/>
          <w:color w:val="auto"/>
        </w:rPr>
        <w:t>(617) 923-1400</w:t>
      </w:r>
    </w:p>
    <w:p>
      <w:pPr>
        <w:jc w:val="center"/>
        <w:ind w:right="-79"/>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Werner Cautreels, Ph.D.</w:t>
      </w:r>
    </w:p>
    <w:p>
      <w:pPr>
        <w:jc w:val="center"/>
        <w:ind w:right="-79"/>
        <w:spacing w:after="0" w:line="22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79"/>
        <w:spacing w:after="0" w:line="221" w:lineRule="auto"/>
        <w:rPr>
          <w:sz w:val="20"/>
          <w:szCs w:val="20"/>
          <w:color w:val="auto"/>
        </w:rPr>
      </w:pPr>
      <w:r>
        <w:rPr>
          <w:rFonts w:ascii="Arial" w:cs="Arial" w:eastAsia="Arial" w:hAnsi="Arial"/>
          <w:sz w:val="12"/>
          <w:szCs w:val="12"/>
          <w:b w:val="1"/>
          <w:bCs w:val="1"/>
          <w:color w:val="auto"/>
        </w:rPr>
        <w:t>Selecta Biosciences, Inc.</w:t>
      </w:r>
    </w:p>
    <w:p>
      <w:pPr>
        <w:jc w:val="center"/>
        <w:ind w:right="-79"/>
        <w:spacing w:after="0" w:line="222" w:lineRule="auto"/>
        <w:rPr>
          <w:sz w:val="20"/>
          <w:szCs w:val="20"/>
          <w:color w:val="auto"/>
        </w:rPr>
      </w:pPr>
      <w:r>
        <w:rPr>
          <w:rFonts w:ascii="Arial" w:cs="Arial" w:eastAsia="Arial" w:hAnsi="Arial"/>
          <w:sz w:val="12"/>
          <w:szCs w:val="12"/>
          <w:b w:val="1"/>
          <w:bCs w:val="1"/>
          <w:color w:val="auto"/>
        </w:rPr>
        <w:t>480 Arsenal Street, Building One</w:t>
      </w:r>
    </w:p>
    <w:p>
      <w:pPr>
        <w:jc w:val="center"/>
        <w:ind w:right="-79"/>
        <w:spacing w:after="0" w:line="221" w:lineRule="auto"/>
        <w:rPr>
          <w:sz w:val="20"/>
          <w:szCs w:val="20"/>
          <w:color w:val="auto"/>
        </w:rPr>
      </w:pPr>
      <w:r>
        <w:rPr>
          <w:rFonts w:ascii="Arial" w:cs="Arial" w:eastAsia="Arial" w:hAnsi="Arial"/>
          <w:sz w:val="12"/>
          <w:szCs w:val="12"/>
          <w:b w:val="1"/>
          <w:bCs w:val="1"/>
          <w:color w:val="auto"/>
        </w:rPr>
        <w:t>Watertown, Massachusetts 02472</w:t>
      </w:r>
    </w:p>
    <w:p>
      <w:pPr>
        <w:jc w:val="center"/>
        <w:ind w:right="-79"/>
        <w:spacing w:after="0" w:line="222" w:lineRule="auto"/>
        <w:rPr>
          <w:sz w:val="20"/>
          <w:szCs w:val="20"/>
          <w:color w:val="auto"/>
        </w:rPr>
      </w:pPr>
      <w:r>
        <w:rPr>
          <w:rFonts w:ascii="Arial" w:cs="Arial" w:eastAsia="Arial" w:hAnsi="Arial"/>
          <w:sz w:val="12"/>
          <w:szCs w:val="12"/>
          <w:b w:val="1"/>
          <w:bCs w:val="1"/>
          <w:color w:val="auto"/>
        </w:rPr>
        <w:t>(617) 923-1400</w:t>
      </w:r>
    </w:p>
    <w:p>
      <w:pPr>
        <w:jc w:val="center"/>
        <w:ind w:right="-79"/>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tbl>
      <w:tblPr>
        <w:tblLayout w:type="fixed"/>
        <w:tblInd w:w="3780" w:type="dxa"/>
        <w:tblCellMar>
          <w:top w:w="0" w:type="dxa"/>
          <w:left w:w="0" w:type="dxa"/>
          <w:bottom w:w="0" w:type="dxa"/>
          <w:right w:w="0" w:type="dxa"/>
        </w:tblCellMar>
      </w:tblPr>
      <w:tr>
        <w:trPr>
          <w:trHeight w:val="138"/>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60" w:type="dxa"/>
            <w:vAlign w:val="bottom"/>
            <w:gridSpan w:val="2"/>
          </w:tcPr>
          <w:p>
            <w:pPr>
              <w:ind w:left="120"/>
              <w:spacing w:after="0"/>
              <w:rPr>
                <w:sz w:val="20"/>
                <w:szCs w:val="20"/>
                <w:color w:val="auto"/>
              </w:rPr>
            </w:pPr>
            <w:r>
              <w:rPr>
                <w:rFonts w:ascii="Arial" w:cs="Arial" w:eastAsia="Arial" w:hAnsi="Arial"/>
                <w:sz w:val="12"/>
                <w:szCs w:val="12"/>
                <w:b w:val="1"/>
                <w:bCs w:val="1"/>
                <w:color w:val="auto"/>
              </w:rPr>
              <w:t>Copies to:</w:t>
            </w:r>
          </w:p>
        </w:tc>
      </w:tr>
      <w:tr>
        <w:trPr>
          <w:trHeight w:val="127"/>
        </w:trPr>
        <w:tc>
          <w:tcPr>
            <w:tcW w:w="156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88"/>
              </w:rPr>
              <w:t>Peter N. Handrinos</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3"/>
              </w:rPr>
              <w:t>Divakar Gupta</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9"/>
              </w:rPr>
              <w:t>Brandon J. Bortner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2"/>
              </w:rPr>
              <w:t>Marc Recht</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3"/>
              </w:rPr>
              <w:t>Latham &amp; Watkins LLP</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9"/>
              </w:rPr>
              <w:t>Joshua A. Kaufman</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7"/>
              </w:rPr>
              <w:t>John Hancock Tower</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90"/>
              </w:rPr>
              <w:t>Cooley LLP</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8"/>
              </w:rPr>
              <w:t>200 Clarendon Street</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5"/>
              </w:rPr>
              <w:t>500 Boylston Street, 14th Floor</w:t>
            </w:r>
          </w:p>
        </w:tc>
      </w:tr>
      <w:tr>
        <w:trPr>
          <w:trHeight w:val="127"/>
        </w:trPr>
        <w:tc>
          <w:tcPr>
            <w:tcW w:w="15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3"/>
              </w:rPr>
              <w:t>Boston, Massachusetts 02116</w:t>
            </w:r>
          </w:p>
        </w:tc>
        <w:tc>
          <w:tcPr>
            <w:tcW w:w="2360" w:type="dxa"/>
            <w:vAlign w:val="bottom"/>
            <w:gridSpan w:val="2"/>
          </w:tcPr>
          <w:p>
            <w:pPr>
              <w:jc w:val="center"/>
              <w:ind w:left="782"/>
              <w:spacing w:after="0" w:line="128" w:lineRule="exact"/>
              <w:rPr>
                <w:sz w:val="20"/>
                <w:szCs w:val="20"/>
                <w:color w:val="auto"/>
              </w:rPr>
            </w:pPr>
            <w:r>
              <w:rPr>
                <w:rFonts w:ascii="Arial" w:cs="Arial" w:eastAsia="Arial" w:hAnsi="Arial"/>
                <w:sz w:val="12"/>
                <w:szCs w:val="12"/>
                <w:b w:val="1"/>
                <w:bCs w:val="1"/>
                <w:color w:val="auto"/>
                <w:w w:val="84"/>
              </w:rPr>
              <w:t>Boston, Massachusetts 02116</w:t>
            </w:r>
          </w:p>
        </w:tc>
      </w:tr>
      <w:tr>
        <w:trPr>
          <w:trHeight w:val="149"/>
        </w:trPr>
        <w:tc>
          <w:tcPr>
            <w:tcW w:w="15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(617) 948-6000</w:t>
            </w:r>
          </w:p>
        </w:tc>
        <w:tc>
          <w:tcPr>
            <w:tcW w:w="2360" w:type="dxa"/>
            <w:vAlign w:val="bottom"/>
            <w:gridSpan w:val="2"/>
          </w:tcPr>
          <w:p>
            <w:pPr>
              <w:jc w:val="center"/>
              <w:ind w:left="782"/>
              <w:spacing w:after="0"/>
              <w:rPr>
                <w:sz w:val="20"/>
                <w:szCs w:val="20"/>
                <w:color w:val="auto"/>
              </w:rPr>
            </w:pPr>
            <w:r>
              <w:rPr>
                <w:rFonts w:ascii="Arial" w:cs="Arial" w:eastAsia="Arial" w:hAnsi="Arial"/>
                <w:sz w:val="12"/>
                <w:szCs w:val="12"/>
                <w:b w:val="1"/>
                <w:bCs w:val="1"/>
                <w:color w:val="auto"/>
                <w:w w:val="87"/>
              </w:rPr>
              <w:t>(617) 937-2300</w:t>
            </w:r>
          </w:p>
        </w:tc>
      </w:tr>
      <w:tr>
        <w:trPr>
          <w:trHeight w:val="174"/>
        </w:trPr>
        <w:tc>
          <w:tcPr>
            <w:tcW w:w="5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r>
    </w:tbl>
    <w:p>
      <w:pPr>
        <w:spacing w:after="0" w:line="394"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As soon as practicable after this Registration Statement is declared effective.</w:t>
      </w:r>
    </w:p>
    <w:p>
      <w:pPr>
        <w:spacing w:after="0" w:line="166" w:lineRule="exact"/>
        <w:rPr>
          <w:sz w:val="24"/>
          <w:szCs w:val="24"/>
          <w:color w:val="auto"/>
        </w:rPr>
      </w:pPr>
    </w:p>
    <w:p>
      <w:pPr>
        <w:spacing w:after="0"/>
        <w:tabs>
          <w:tab w:leader="none" w:pos="8560" w:val="left"/>
        </w:tabs>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w:t>
        <w:tab/>
        <w:t>o</w:t>
      </w:r>
    </w:p>
    <w:p>
      <w:pPr>
        <w:spacing w:after="0" w:line="198" w:lineRule="exact"/>
        <w:rPr>
          <w:sz w:val="24"/>
          <w:szCs w:val="24"/>
          <w:color w:val="auto"/>
        </w:rPr>
      </w:pPr>
    </w:p>
    <w:p>
      <w:pPr>
        <w:spacing w:after="0" w:line="238"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420"/>
        <w:spacing w:after="0" w:line="238"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400"/>
        <w:spacing w:after="0" w:line="238"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6" w:lineRule="exact"/>
        <w:rPr>
          <w:sz w:val="24"/>
          <w:szCs w:val="24"/>
          <w:color w:val="auto"/>
        </w:rPr>
      </w:pPr>
    </w:p>
    <w:p>
      <w:pPr>
        <w:ind w:right="380"/>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260" w:type="dxa"/>
            <w:vAlign w:val="bottom"/>
          </w:tcPr>
          <w:p>
            <w:pPr>
              <w:spacing w:after="0"/>
              <w:rPr>
                <w:sz w:val="20"/>
                <w:szCs w:val="20"/>
                <w:color w:val="auto"/>
              </w:rPr>
            </w:pPr>
            <w:r>
              <w:rPr>
                <w:rFonts w:ascii="Arial" w:cs="Arial" w:eastAsia="Arial" w:hAnsi="Arial"/>
                <w:sz w:val="12"/>
                <w:szCs w:val="12"/>
                <w:color w:val="auto"/>
                <w:w w:val="96"/>
              </w:rPr>
              <w:t>Large accelerated filer o</w:t>
            </w:r>
          </w:p>
        </w:tc>
        <w:tc>
          <w:tcPr>
            <w:tcW w:w="1680" w:type="dxa"/>
            <w:vAlign w:val="bottom"/>
            <w:gridSpan w:val="3"/>
          </w:tcPr>
          <w:p>
            <w:pPr>
              <w:ind w:left="160"/>
              <w:spacing w:after="0"/>
              <w:rPr>
                <w:sz w:val="20"/>
                <w:szCs w:val="20"/>
                <w:color w:val="auto"/>
              </w:rPr>
            </w:pPr>
            <w:r>
              <w:rPr>
                <w:rFonts w:ascii="Arial" w:cs="Arial" w:eastAsia="Arial" w:hAnsi="Arial"/>
                <w:sz w:val="12"/>
                <w:szCs w:val="12"/>
                <w:color w:val="auto"/>
              </w:rPr>
              <w:t>Accelerated filer o</w:t>
            </w:r>
          </w:p>
        </w:tc>
        <w:tc>
          <w:tcPr>
            <w:tcW w:w="1260" w:type="dxa"/>
            <w:vAlign w:val="bottom"/>
          </w:tcPr>
          <w:p>
            <w:pPr>
              <w:spacing w:after="0"/>
              <w:rPr>
                <w:sz w:val="12"/>
                <w:szCs w:val="12"/>
                <w:color w:val="auto"/>
              </w:rPr>
            </w:pPr>
          </w:p>
        </w:tc>
        <w:tc>
          <w:tcPr>
            <w:tcW w:w="2620" w:type="dxa"/>
            <w:vAlign w:val="bottom"/>
          </w:tcPr>
          <w:p>
            <w:pPr>
              <w:jc w:val="center"/>
              <w:ind w:left="1082"/>
              <w:spacing w:after="0" w:line="138" w:lineRule="exact"/>
              <w:rPr>
                <w:sz w:val="20"/>
                <w:szCs w:val="20"/>
                <w:color w:val="auto"/>
              </w:rPr>
            </w:pPr>
            <w:r>
              <w:rPr>
                <w:rFonts w:ascii="Arial" w:cs="Arial" w:eastAsia="Arial" w:hAnsi="Arial"/>
                <w:sz w:val="12"/>
                <w:szCs w:val="12"/>
                <w:color w:val="auto"/>
                <w:w w:val="88"/>
              </w:rPr>
              <w:t xml:space="preserve">Non-accelerated filer </w:t>
            </w:r>
            <w:r>
              <w:rPr>
                <w:rFonts w:ascii="MS PGothic" w:cs="MS PGothic" w:eastAsia="MS PGothic" w:hAnsi="MS PGothic"/>
                <w:sz w:val="12"/>
                <w:szCs w:val="12"/>
                <w:color w:val="auto"/>
                <w:w w:val="88"/>
              </w:rPr>
              <w: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ind w:left="680"/>
              <w:spacing w:after="0"/>
              <w:rPr>
                <w:sz w:val="20"/>
                <w:szCs w:val="20"/>
                <w:color w:val="auto"/>
              </w:rPr>
            </w:pPr>
            <w:r>
              <w:rPr>
                <w:rFonts w:ascii="Arial" w:cs="Arial" w:eastAsia="Arial" w:hAnsi="Arial"/>
                <w:sz w:val="12"/>
                <w:szCs w:val="12"/>
                <w:color w:val="auto"/>
                <w:w w:val="87"/>
              </w:rPr>
              <w:t>Smaller reporting company o</w:t>
            </w:r>
          </w:p>
        </w:tc>
      </w:tr>
      <w:tr>
        <w:trPr>
          <w:trHeight w:val="127"/>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20" w:type="dxa"/>
            <w:vAlign w:val="bottom"/>
          </w:tcPr>
          <w:p>
            <w:pPr>
              <w:jc w:val="center"/>
              <w:ind w:left="1082"/>
              <w:spacing w:after="0" w:line="128" w:lineRule="exact"/>
              <w:rPr>
                <w:sz w:val="20"/>
                <w:szCs w:val="20"/>
                <w:color w:val="auto"/>
              </w:rPr>
            </w:pPr>
            <w:r>
              <w:rPr>
                <w:rFonts w:ascii="Arial" w:cs="Arial" w:eastAsia="Arial" w:hAnsi="Arial"/>
                <w:sz w:val="12"/>
                <w:szCs w:val="12"/>
                <w:color w:val="auto"/>
                <w:w w:val="89"/>
              </w:rPr>
              <w:t>(Do not check if a</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jc w:val="center"/>
              <w:ind w:left="1082"/>
              <w:spacing w:after="0"/>
              <w:rPr>
                <w:sz w:val="20"/>
                <w:szCs w:val="20"/>
                <w:color w:val="auto"/>
              </w:rPr>
            </w:pPr>
            <w:r>
              <w:rPr>
                <w:rFonts w:ascii="Arial" w:cs="Arial" w:eastAsia="Arial" w:hAnsi="Arial"/>
                <w:sz w:val="12"/>
                <w:szCs w:val="12"/>
                <w:color w:val="auto"/>
                <w:w w:val="88"/>
              </w:rPr>
              <w:t>smaller reporting company)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74"/>
        </w:trPr>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535"/>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ind w:left="320"/>
              <w:spacing w:after="0"/>
              <w:rPr>
                <w:sz w:val="20"/>
                <w:szCs w:val="20"/>
                <w:color w:val="auto"/>
              </w:rPr>
            </w:pPr>
            <w:r>
              <w:rPr>
                <w:rFonts w:ascii="Arial" w:cs="Arial" w:eastAsia="Arial" w:hAnsi="Arial"/>
                <w:sz w:val="12"/>
                <w:szCs w:val="12"/>
                <w:b w:val="1"/>
                <w:bCs w:val="1"/>
                <w:color w:val="auto"/>
              </w:rPr>
              <w:t>CALCULATION OF REGISTRATION FEE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83"/>
        </w:trPr>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91"/>
        </w:trPr>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220" w:type="dxa"/>
            <w:vAlign w:val="bottom"/>
            <w:gridSpan w:val="2"/>
          </w:tcPr>
          <w:p>
            <w:pPr>
              <w:jc w:val="center"/>
              <w:ind w:right="2"/>
              <w:spacing w:after="0" w:line="92" w:lineRule="exact"/>
              <w:rPr>
                <w:sz w:val="20"/>
                <w:szCs w:val="20"/>
                <w:color w:val="auto"/>
              </w:rPr>
            </w:pPr>
            <w:r>
              <w:rPr>
                <w:rFonts w:ascii="Arial" w:cs="Arial" w:eastAsia="Arial" w:hAnsi="Arial"/>
                <w:sz w:val="10"/>
                <w:szCs w:val="10"/>
                <w:b w:val="1"/>
                <w:bCs w:val="1"/>
                <w:color w:val="auto"/>
              </w:rPr>
              <w:t>Proposed Maximum</w:t>
            </w:r>
          </w:p>
        </w:tc>
        <w:tc>
          <w:tcPr>
            <w:tcW w:w="118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27"/>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80" w:type="dxa"/>
            <w:vAlign w:val="bottom"/>
            <w:gridSpan w:val="2"/>
          </w:tcPr>
          <w:p>
            <w:pPr>
              <w:jc w:val="center"/>
              <w:ind w:right="942"/>
              <w:spacing w:after="0" w:line="128" w:lineRule="exact"/>
              <w:rPr>
                <w:sz w:val="20"/>
                <w:szCs w:val="20"/>
                <w:color w:val="auto"/>
              </w:rPr>
            </w:pPr>
            <w:r>
              <w:rPr>
                <w:rFonts w:ascii="Arial" w:cs="Arial" w:eastAsia="Arial" w:hAnsi="Arial"/>
                <w:sz w:val="12"/>
                <w:szCs w:val="12"/>
                <w:b w:val="1"/>
                <w:bCs w:val="1"/>
                <w:color w:val="auto"/>
                <w:w w:val="85"/>
              </w:rPr>
              <w:t>Title of Each Class of Securities</w:t>
            </w:r>
          </w:p>
        </w:tc>
        <w:tc>
          <w:tcPr>
            <w:tcW w:w="122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87"/>
              </w:rPr>
              <w:t>Aggregate Offering</w:t>
            </w:r>
          </w:p>
        </w:tc>
        <w:tc>
          <w:tcPr>
            <w:tcW w:w="3220" w:type="dxa"/>
            <w:vAlign w:val="bottom"/>
            <w:gridSpan w:val="2"/>
          </w:tcPr>
          <w:p>
            <w:pPr>
              <w:jc w:val="center"/>
              <w:ind w:right="1942"/>
              <w:spacing w:after="0" w:line="128" w:lineRule="exact"/>
              <w:rPr>
                <w:sz w:val="20"/>
                <w:szCs w:val="20"/>
                <w:color w:val="auto"/>
              </w:rPr>
            </w:pPr>
            <w:r>
              <w:rPr>
                <w:rFonts w:ascii="Arial" w:cs="Arial" w:eastAsia="Arial" w:hAnsi="Arial"/>
                <w:sz w:val="12"/>
                <w:szCs w:val="12"/>
                <w:b w:val="1"/>
                <w:bCs w:val="1"/>
                <w:color w:val="auto"/>
                <w:w w:val="89"/>
              </w:rPr>
              <w:t>Amount of</w:t>
            </w:r>
          </w:p>
        </w:tc>
      </w:tr>
      <w:tr>
        <w:trPr>
          <w:trHeight w:val="155"/>
        </w:trPr>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80" w:type="dxa"/>
            <w:vAlign w:val="bottom"/>
            <w:gridSpan w:val="2"/>
          </w:tcPr>
          <w:p>
            <w:pPr>
              <w:jc w:val="center"/>
              <w:ind w:right="942"/>
              <w:spacing w:after="0"/>
              <w:rPr>
                <w:sz w:val="20"/>
                <w:szCs w:val="20"/>
                <w:color w:val="auto"/>
              </w:rPr>
            </w:pPr>
            <w:r>
              <w:rPr>
                <w:rFonts w:ascii="Arial" w:cs="Arial" w:eastAsia="Arial" w:hAnsi="Arial"/>
                <w:sz w:val="12"/>
                <w:szCs w:val="12"/>
                <w:b w:val="1"/>
                <w:bCs w:val="1"/>
                <w:color w:val="auto"/>
                <w:w w:val="85"/>
              </w:rPr>
              <w:t>To Be Registered</w:t>
            </w:r>
          </w:p>
        </w:tc>
        <w:tc>
          <w:tcPr>
            <w:tcW w:w="260" w:type="dxa"/>
            <w:vAlign w:val="bottom"/>
          </w:tcPr>
          <w:p>
            <w:pPr>
              <w:spacing w:after="0"/>
              <w:rPr>
                <w:sz w:val="13"/>
                <w:szCs w:val="13"/>
                <w:color w:val="auto"/>
              </w:rPr>
            </w:pPr>
          </w:p>
        </w:tc>
        <w:tc>
          <w:tcPr>
            <w:tcW w:w="960" w:type="dxa"/>
            <w:vAlign w:val="bottom"/>
          </w:tcPr>
          <w:p>
            <w:pPr>
              <w:jc w:val="center"/>
              <w:ind w:right="262"/>
              <w:spacing w:after="0"/>
              <w:rPr>
                <w:sz w:val="20"/>
                <w:szCs w:val="20"/>
                <w:color w:val="auto"/>
              </w:rPr>
            </w:pPr>
            <w:r>
              <w:rPr>
                <w:rFonts w:ascii="Arial" w:cs="Arial" w:eastAsia="Arial" w:hAnsi="Arial"/>
                <w:sz w:val="12"/>
                <w:szCs w:val="12"/>
                <w:b w:val="1"/>
                <w:bCs w:val="1"/>
                <w:color w:val="auto"/>
                <w:w w:val="90"/>
              </w:rPr>
              <w:t>Price(1)</w:t>
            </w:r>
          </w:p>
        </w:tc>
        <w:tc>
          <w:tcPr>
            <w:tcW w:w="3220" w:type="dxa"/>
            <w:vAlign w:val="bottom"/>
            <w:gridSpan w:val="2"/>
          </w:tcPr>
          <w:p>
            <w:pPr>
              <w:jc w:val="center"/>
              <w:ind w:right="1942"/>
              <w:spacing w:after="0"/>
              <w:rPr>
                <w:sz w:val="20"/>
                <w:szCs w:val="20"/>
                <w:color w:val="auto"/>
              </w:rPr>
            </w:pPr>
            <w:r>
              <w:rPr>
                <w:rFonts w:ascii="Arial" w:cs="Arial" w:eastAsia="Arial" w:hAnsi="Arial"/>
                <w:sz w:val="12"/>
                <w:szCs w:val="12"/>
                <w:b w:val="1"/>
                <w:bCs w:val="1"/>
                <w:color w:val="auto"/>
                <w:w w:val="86"/>
              </w:rPr>
              <w:t>Registration Fee(2)</w:t>
            </w:r>
          </w:p>
        </w:tc>
      </w:tr>
      <w:tr>
        <w:trPr>
          <w:trHeight w:val="147"/>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2"/>
                <w:szCs w:val="12"/>
                <w:color w:val="auto"/>
              </w:rPr>
              <w:t>Common Stock, $0.0001 par value per share</w:t>
            </w:r>
          </w:p>
        </w:tc>
        <w:tc>
          <w:tcPr>
            <w:tcW w:w="1220" w:type="dxa"/>
            <w:vAlign w:val="bottom"/>
            <w:tcBorders>
              <w:top w:val="single" w:sz="8" w:color="auto"/>
              <w:bottom w:val="single" w:sz="8" w:color="auto"/>
            </w:tcBorders>
            <w:gridSpan w:val="2"/>
          </w:tcPr>
          <w:p>
            <w:pPr>
              <w:jc w:val="right"/>
              <w:ind w:right="822"/>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2"/>
                <w:szCs w:val="12"/>
                <w:color w:val="auto"/>
              </w:rPr>
              <w:t>$</w:t>
            </w:r>
          </w:p>
        </w:tc>
        <w:tc>
          <w:tcPr>
            <w:tcW w:w="204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ectPr>
          <w:pgSz w:w="11900" w:h="16838" w:orient="portrait"/>
          <w:cols w:equalWidth="0" w:num="1">
            <w:col w:w="11360"/>
          </w:cols>
          <w:pgMar w:left="240" w:top="607" w:right="299" w:bottom="0" w:gutter="0" w:footer="0" w:header="0"/>
        </w:sectPr>
      </w:pPr>
    </w:p>
    <w:bookmarkStart w:id="1" w:name="page2"/>
    <w:bookmarkEnd w:id="1"/>
    <w:p>
      <w:pPr>
        <w:ind w:left="467" w:hanging="467"/>
        <w:spacing w:after="0" w:line="241"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93" w:lineRule="exact"/>
        <w:rPr>
          <w:rFonts w:ascii="Arial" w:cs="Arial" w:eastAsia="Arial" w:hAnsi="Arial"/>
          <w:sz w:val="12"/>
          <w:szCs w:val="12"/>
          <w:b w:val="1"/>
          <w:bCs w:val="1"/>
          <w:color w:val="auto"/>
        </w:rPr>
      </w:pPr>
    </w:p>
    <w:p>
      <w:pPr>
        <w:ind w:left="467" w:hanging="467"/>
        <w:spacing w:after="0"/>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Calculated pursuant to Rule 457(o) based on an estimate of the proposed maximum aggregate offering price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118110</wp:posOffset>
            </wp:positionV>
            <wp:extent cx="1831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7"/>
        <w:spacing w:after="0" w:line="23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26630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29" w:right="25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jc w:val="both"/>
        <w:ind w:right="120"/>
        <w:spacing w:after="0" w:line="272"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157" w:lineRule="exact"/>
        <w:rPr>
          <w:sz w:val="20"/>
          <w:szCs w:val="20"/>
          <w:color w:val="auto"/>
        </w:rPr>
      </w:pPr>
    </w:p>
    <w:p>
      <w:pPr>
        <w:spacing w:after="0"/>
        <w:tabs>
          <w:tab w:leader="none" w:pos="4880" w:val="left"/>
          <w:tab w:leader="none" w:pos="1068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2809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2515235" cy="624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523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809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prospectus. We expect the initial public offering price to be between $ and $ per share.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offered by this</w:t>
      </w:r>
    </w:p>
    <w:p>
      <w:pPr>
        <w:spacing w:after="0" w:line="406" w:lineRule="exact"/>
        <w:rPr>
          <w:sz w:val="20"/>
          <w:szCs w:val="20"/>
          <w:color w:val="auto"/>
        </w:rPr>
      </w:pPr>
    </w:p>
    <w:p>
      <w:pPr>
        <w:sectPr>
          <w:pgSz w:w="11900" w:h="16838" w:orient="portrait"/>
          <w:cols w:equalWidth="0" w:num="2">
            <w:col w:w="8320" w:space="440"/>
            <w:col w:w="2680"/>
          </w:cols>
          <w:pgMar w:left="240" w:top="132" w:right="219" w:bottom="1440" w:gutter="0" w:footer="0" w:header="0"/>
          <w:type w:val="continuous"/>
        </w:sectPr>
      </w:pPr>
    </w:p>
    <w:p>
      <w:pPr>
        <w:spacing w:after="0"/>
        <w:rPr>
          <w:sz w:val="20"/>
          <w:szCs w:val="20"/>
          <w:color w:val="auto"/>
        </w:rPr>
      </w:pPr>
      <w:r>
        <w:rPr>
          <w:rFonts w:ascii="Arial" w:cs="Arial" w:eastAsia="Arial" w:hAnsi="Arial"/>
          <w:sz w:val="15"/>
          <w:szCs w:val="15"/>
          <w:color w:val="auto"/>
        </w:rPr>
        <w:t>We have applied to list our common stock on The NASDAQ Global Market under the symbol "SELB."</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7"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12 of this prospectus.</w:t>
      </w:r>
    </w:p>
    <w:p>
      <w:pPr>
        <w:spacing w:after="0" w:line="143"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refer you to "Underwriting" beginning on page 194 for additional information regarding total underwriting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20"/>
                <w:szCs w:val="20"/>
                <w:color w:val="auto"/>
              </w:rPr>
            </w:pPr>
            <w:r>
              <w:rPr>
                <w:rFonts w:ascii="Arial" w:cs="Arial" w:eastAsia="Arial" w:hAnsi="Arial"/>
                <w:sz w:val="15"/>
                <w:szCs w:val="15"/>
                <w:color w:val="auto"/>
              </w:rPr>
              <w:t>The underwriters may also purchase up to an additional</w:t>
            </w:r>
          </w:p>
        </w:tc>
        <w:tc>
          <w:tcPr>
            <w:tcW w:w="7620" w:type="dxa"/>
            <w:vAlign w:val="bottom"/>
            <w:gridSpan w:val="4"/>
          </w:tcPr>
          <w:p>
            <w:pPr>
              <w:spacing w:after="0"/>
              <w:rPr>
                <w:sz w:val="20"/>
                <w:szCs w:val="20"/>
                <w:color w:val="auto"/>
              </w:rPr>
            </w:pPr>
            <w:r>
              <w:rPr>
                <w:rFonts w:ascii="Arial" w:cs="Arial" w:eastAsia="Arial" w:hAnsi="Arial"/>
                <w:sz w:val="15"/>
                <w:szCs w:val="15"/>
                <w:color w:val="auto"/>
                <w:w w:val="94"/>
              </w:rPr>
              <w:t>shares of common stock from us at the public offering price, less the underwriting discounts payable by us, to cover over-</w:t>
            </w:r>
          </w:p>
        </w:tc>
        <w:tc>
          <w:tcPr>
            <w:tcW w:w="0" w:type="dxa"/>
            <w:vAlign w:val="bottom"/>
          </w:tcPr>
          <w:p>
            <w:pPr>
              <w:spacing w:after="0"/>
              <w:rPr>
                <w:sz w:val="1"/>
                <w:szCs w:val="1"/>
                <w:color w:val="auto"/>
              </w:rPr>
            </w:pPr>
          </w:p>
        </w:tc>
      </w:tr>
      <w:tr>
        <w:trPr>
          <w:trHeight w:val="190"/>
        </w:trPr>
        <w:tc>
          <w:tcPr>
            <w:tcW w:w="5760" w:type="dxa"/>
            <w:vAlign w:val="bottom"/>
            <w:gridSpan w:val="3"/>
          </w:tcPr>
          <w:p>
            <w:pPr>
              <w:spacing w:after="0"/>
              <w:rPr>
                <w:sz w:val="20"/>
                <w:szCs w:val="20"/>
                <w:color w:val="auto"/>
              </w:rPr>
            </w:pPr>
            <w:r>
              <w:rPr>
                <w:rFonts w:ascii="Arial" w:cs="Arial" w:eastAsia="Arial" w:hAnsi="Arial"/>
                <w:sz w:val="15"/>
                <w:szCs w:val="15"/>
                <w:color w:val="auto"/>
              </w:rPr>
              <w:t>allotments, if any, within 30 days from the date of this prospectus.</w:t>
            </w: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760" w:type="dxa"/>
            <w:vAlign w:val="bottom"/>
            <w:gridSpan w:val="3"/>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40" w:type="dxa"/>
            <w:vAlign w:val="bottom"/>
          </w:tcPr>
          <w:p>
            <w:pPr>
              <w:jc w:val="right"/>
              <w:ind w:right="445"/>
              <w:spacing w:after="0"/>
              <w:rPr>
                <w:sz w:val="20"/>
                <w:szCs w:val="20"/>
                <w:color w:val="auto"/>
              </w:rPr>
            </w:pPr>
            <w:r>
              <w:rPr>
                <w:rFonts w:ascii="Arial" w:cs="Arial" w:eastAsia="Arial" w:hAnsi="Arial"/>
                <w:sz w:val="15"/>
                <w:szCs w:val="15"/>
                <w:color w:val="auto"/>
              </w:rPr>
              <w:t>, 2016.</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3820" w:type="dxa"/>
            <w:vAlign w:val="bottom"/>
          </w:tcPr>
          <w:p>
            <w:pPr>
              <w:jc w:val="center"/>
              <w:ind w:left="1573"/>
              <w:spacing w:after="0"/>
              <w:rPr>
                <w:sz w:val="20"/>
                <w:szCs w:val="20"/>
                <w:color w:val="auto"/>
              </w:rPr>
            </w:pPr>
            <w:r>
              <w:rPr>
                <w:rFonts w:ascii="Arial" w:cs="Arial" w:eastAsia="Arial" w:hAnsi="Arial"/>
                <w:sz w:val="21"/>
                <w:szCs w:val="21"/>
                <w:b w:val="1"/>
                <w:bCs w:val="1"/>
                <w:color w:val="auto"/>
                <w:w w:val="98"/>
              </w:rPr>
              <w:t>UBS Investment Bank</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tcPr>
          <w:p>
            <w:pPr>
              <w:ind w:left="1200"/>
              <w:spacing w:after="0"/>
              <w:rPr>
                <w:sz w:val="20"/>
                <w:szCs w:val="20"/>
                <w:color w:val="auto"/>
              </w:rPr>
            </w:pPr>
            <w:r>
              <w:rPr>
                <w:rFonts w:ascii="Arial" w:cs="Arial" w:eastAsia="Arial" w:hAnsi="Arial"/>
                <w:sz w:val="21"/>
                <w:szCs w:val="21"/>
                <w:b w:val="1"/>
                <w:bCs w:val="1"/>
                <w:color w:val="auto"/>
              </w:rPr>
              <w:t>Stifel</w:t>
            </w:r>
          </w:p>
        </w:tc>
        <w:tc>
          <w:tcPr>
            <w:tcW w:w="0" w:type="dxa"/>
            <w:vAlign w:val="bottom"/>
          </w:tcPr>
          <w:p>
            <w:pPr>
              <w:spacing w:after="0"/>
              <w:rPr>
                <w:sz w:val="1"/>
                <w:szCs w:val="1"/>
                <w:color w:val="auto"/>
              </w:rPr>
            </w:pPr>
          </w:p>
        </w:tc>
      </w:tr>
      <w:tr>
        <w:trPr>
          <w:trHeight w:val="181"/>
        </w:trPr>
        <w:tc>
          <w:tcPr>
            <w:tcW w:w="3820" w:type="dxa"/>
            <w:vAlign w:val="bottom"/>
            <w:vMerge w:val="restart"/>
          </w:tcPr>
          <w:p>
            <w:pPr>
              <w:jc w:val="center"/>
              <w:ind w:left="1573"/>
              <w:spacing w:after="0"/>
              <w:rPr>
                <w:sz w:val="20"/>
                <w:szCs w:val="20"/>
                <w:color w:val="auto"/>
              </w:rPr>
            </w:pPr>
            <w:r>
              <w:rPr>
                <w:rFonts w:ascii="Arial" w:cs="Arial" w:eastAsia="Arial" w:hAnsi="Arial"/>
                <w:sz w:val="21"/>
                <w:szCs w:val="21"/>
                <w:b w:val="1"/>
                <w:bCs w:val="1"/>
                <w:color w:val="auto"/>
                <w:w w:val="99"/>
              </w:rPr>
              <w:t>Canaccord Genuity</w:t>
            </w:r>
          </w:p>
        </w:tc>
        <w:tc>
          <w:tcPr>
            <w:tcW w:w="4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40" w:type="dxa"/>
            <w:vAlign w:val="bottom"/>
            <w:vMerge w:val="restart"/>
          </w:tcPr>
          <w:p>
            <w:pPr>
              <w:ind w:left="420"/>
              <w:spacing w:after="0"/>
              <w:rPr>
                <w:sz w:val="20"/>
                <w:szCs w:val="20"/>
                <w:color w:val="auto"/>
              </w:rPr>
            </w:pPr>
            <w:r>
              <w:rPr>
                <w:rFonts w:ascii="Arial" w:cs="Arial" w:eastAsia="Arial" w:hAnsi="Arial"/>
                <w:sz w:val="21"/>
                <w:szCs w:val="21"/>
                <w:b w:val="1"/>
                <w:bCs w:val="1"/>
                <w:color w:val="auto"/>
              </w:rPr>
              <w:t>Needham &amp; Company</w:t>
            </w:r>
          </w:p>
        </w:tc>
        <w:tc>
          <w:tcPr>
            <w:tcW w:w="0" w:type="dxa"/>
            <w:vAlign w:val="bottom"/>
          </w:tcPr>
          <w:p>
            <w:pPr>
              <w:spacing w:after="0"/>
              <w:rPr>
                <w:sz w:val="1"/>
                <w:szCs w:val="1"/>
                <w:color w:val="auto"/>
              </w:rPr>
            </w:pPr>
          </w:p>
        </w:tc>
      </w:tr>
      <w:tr>
        <w:trPr>
          <w:trHeight w:val="702"/>
        </w:trPr>
        <w:tc>
          <w:tcPr>
            <w:tcW w:w="3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3" w:name="page4"/>
    <w:bookmarkEnd w:id="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60" w:type="dxa"/>
            <w:vAlign w:val="bottom"/>
            <w:gridSpan w:val="24"/>
            <w:vMerge w:val="restart"/>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Prospectus summary</w:t>
              </w:r>
            </w:hyperlink>
          </w:p>
        </w:tc>
        <w:tc>
          <w:tcPr>
            <w:tcW w:w="2500" w:type="dxa"/>
            <w:vAlign w:val="bottom"/>
          </w:tcPr>
          <w:p>
            <w:pPr>
              <w:spacing w:after="0"/>
              <w:rPr>
                <w:sz w:val="12"/>
                <w:szCs w:val="12"/>
                <w:color w:val="auto"/>
              </w:rPr>
            </w:pPr>
          </w:p>
        </w:tc>
        <w:tc>
          <w:tcPr>
            <w:tcW w:w="460" w:type="dxa"/>
            <w:vAlign w:val="bottom"/>
            <w:gridSpan w:val="5"/>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6060" w:type="dxa"/>
            <w:vAlign w:val="bottom"/>
            <w:gridSpan w:val="24"/>
            <w:vMerge w:val="continue"/>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gridSpan w:val="4"/>
          </w:tcPr>
          <w:p>
            <w:pPr>
              <w:jc w:val="right"/>
              <w:spacing w:after="0" w:line="131" w:lineRule="exact"/>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0000EE"/>
            </w:tcBorders>
            <w:gridSpan w:val="9"/>
            <w:vMerge w:val="restart"/>
          </w:tcPr>
          <w:p>
            <w:pPr>
              <w:spacing w:after="0" w:line="154" w:lineRule="exact"/>
              <w:rPr>
                <w:rFonts w:ascii="Arial" w:cs="Arial" w:eastAsia="Arial" w:hAnsi="Arial"/>
                <w:sz w:val="15"/>
                <w:szCs w:val="15"/>
                <w:color w:val="0000EE"/>
              </w:rPr>
            </w:pPr>
            <w:hyperlink w:anchor="page16">
              <w:r>
                <w:rPr>
                  <w:rFonts w:ascii="Arial" w:cs="Arial" w:eastAsia="Arial" w:hAnsi="Arial"/>
                  <w:sz w:val="15"/>
                  <w:szCs w:val="15"/>
                  <w:color w:val="0000EE"/>
                </w:rPr>
                <w:t>Risk factors</w:t>
              </w:r>
            </w:hyperlink>
          </w:p>
        </w:tc>
        <w:tc>
          <w:tcPr>
            <w:tcW w:w="4820" w:type="dxa"/>
            <w:vAlign w:val="bottom"/>
            <w:gridSpan w:val="15"/>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gridSpan w:val="9"/>
            <w:vMerge w:val="continue"/>
          </w:tcPr>
          <w:p>
            <w:pPr>
              <w:spacing w:after="0"/>
              <w:rPr>
                <w:sz w:val="12"/>
                <w:szCs w:val="12"/>
                <w:color w:val="auto"/>
              </w:rPr>
            </w:pPr>
          </w:p>
        </w:tc>
        <w:tc>
          <w:tcPr>
            <w:tcW w:w="4820" w:type="dxa"/>
            <w:vAlign w:val="bottom"/>
            <w:gridSpan w:val="15"/>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6">
              <w:r>
                <w:rPr>
                  <w:rFonts w:ascii="Arial" w:cs="Arial" w:eastAsia="Arial" w:hAnsi="Arial"/>
                  <w:sz w:val="15"/>
                  <w:szCs w:val="15"/>
                  <w:b w:val="1"/>
                  <w:bCs w:val="1"/>
                  <w:color w:val="0000EE"/>
                </w:rPr>
                <w:t>12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tcBorders>
              <w:bottom w:val="single" w:sz="8" w:color="0000EE"/>
            </w:tcBorders>
            <w:gridSpan w:val="19"/>
          </w:tcPr>
          <w:p>
            <w:pPr>
              <w:spacing w:after="0" w:line="134" w:lineRule="exact"/>
              <w:rPr>
                <w:rFonts w:ascii="Arial" w:cs="Arial" w:eastAsia="Arial" w:hAnsi="Arial"/>
                <w:sz w:val="15"/>
                <w:szCs w:val="15"/>
                <w:color w:val="0000EE"/>
                <w:w w:val="90"/>
              </w:rPr>
            </w:pPr>
            <w:hyperlink w:anchor="page68">
              <w:r>
                <w:rPr>
                  <w:rFonts w:ascii="Arial" w:cs="Arial" w:eastAsia="Arial" w:hAnsi="Arial"/>
                  <w:sz w:val="15"/>
                  <w:szCs w:val="15"/>
                  <w:color w:val="0000EE"/>
                  <w:w w:val="90"/>
                </w:rPr>
                <w:t>Special note regarding forward-looking statements</w:t>
              </w:r>
            </w:hyperlink>
          </w:p>
        </w:tc>
        <w:tc>
          <w:tcPr>
            <w:tcW w:w="3000" w:type="dxa"/>
            <w:vAlign w:val="bottom"/>
            <w:gridSpan w:val="5"/>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68">
              <w:r>
                <w:rPr>
                  <w:rFonts w:ascii="Arial" w:cs="Arial" w:eastAsia="Arial" w:hAnsi="Arial"/>
                  <w:sz w:val="15"/>
                  <w:szCs w:val="15"/>
                  <w:b w:val="1"/>
                  <w:bCs w:val="1"/>
                  <w:color w:val="0000EE"/>
                  <w:w w:val="83"/>
                </w:rPr>
                <w:t>64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Borders>
              <w:bottom w:val="single" w:sz="8" w:color="0000EE"/>
            </w:tcBorders>
            <w:gridSpan w:val="11"/>
          </w:tcPr>
          <w:p>
            <w:pPr>
              <w:spacing w:after="0" w:line="134" w:lineRule="exact"/>
              <w:rPr>
                <w:rFonts w:ascii="Arial" w:cs="Arial" w:eastAsia="Arial" w:hAnsi="Arial"/>
                <w:sz w:val="15"/>
                <w:szCs w:val="15"/>
                <w:color w:val="0000EE"/>
                <w:w w:val="89"/>
              </w:rPr>
            </w:pPr>
            <w:hyperlink w:anchor="page69">
              <w:r>
                <w:rPr>
                  <w:rFonts w:ascii="Arial" w:cs="Arial" w:eastAsia="Arial" w:hAnsi="Arial"/>
                  <w:sz w:val="15"/>
                  <w:szCs w:val="15"/>
                  <w:color w:val="0000EE"/>
                  <w:w w:val="89"/>
                </w:rPr>
                <w:t>Industry and other data</w:t>
              </w:r>
            </w:hyperlink>
          </w:p>
        </w:tc>
        <w:tc>
          <w:tcPr>
            <w:tcW w:w="4660" w:type="dxa"/>
            <w:vAlign w:val="bottom"/>
            <w:gridSpan w:val="13"/>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69">
              <w:r>
                <w:rPr>
                  <w:rFonts w:ascii="Arial" w:cs="Arial" w:eastAsia="Arial" w:hAnsi="Arial"/>
                  <w:sz w:val="15"/>
                  <w:szCs w:val="15"/>
                  <w:b w:val="1"/>
                  <w:bCs w:val="1"/>
                  <w:color w:val="0000EE"/>
                  <w:w w:val="83"/>
                </w:rPr>
                <w:t>65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0" w:type="dxa"/>
            <w:vAlign w:val="bottom"/>
            <w:tcBorders>
              <w:bottom w:val="single" w:sz="8" w:color="0000EE"/>
            </w:tcBorders>
            <w:gridSpan w:val="18"/>
          </w:tcPr>
          <w:p>
            <w:pPr>
              <w:spacing w:after="0" w:line="134" w:lineRule="exact"/>
              <w:rPr>
                <w:rFonts w:ascii="Arial" w:cs="Arial" w:eastAsia="Arial" w:hAnsi="Arial"/>
                <w:sz w:val="15"/>
                <w:szCs w:val="15"/>
                <w:color w:val="0000EE"/>
                <w:w w:val="87"/>
              </w:rPr>
            </w:pPr>
            <w:hyperlink w:anchor="page69">
              <w:r>
                <w:rPr>
                  <w:rFonts w:ascii="Arial" w:cs="Arial" w:eastAsia="Arial" w:hAnsi="Arial"/>
                  <w:sz w:val="15"/>
                  <w:szCs w:val="15"/>
                  <w:color w:val="0000EE"/>
                  <w:w w:val="87"/>
                </w:rPr>
                <w:t>Trademarks, service marks and tradenames</w:t>
              </w:r>
            </w:hyperlink>
          </w:p>
        </w:tc>
        <w:tc>
          <w:tcPr>
            <w:tcW w:w="3460" w:type="dxa"/>
            <w:vAlign w:val="bottom"/>
            <w:gridSpan w:val="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69">
              <w:r>
                <w:rPr>
                  <w:rFonts w:ascii="Arial" w:cs="Arial" w:eastAsia="Arial" w:hAnsi="Arial"/>
                  <w:sz w:val="15"/>
                  <w:szCs w:val="15"/>
                  <w:b w:val="1"/>
                  <w:bCs w:val="1"/>
                  <w:color w:val="0000EE"/>
                  <w:w w:val="83"/>
                </w:rPr>
                <w:t>65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0">
              <w:r>
                <w:rPr>
                  <w:rFonts w:ascii="Arial" w:cs="Arial" w:eastAsia="Arial" w:hAnsi="Arial"/>
                  <w:sz w:val="15"/>
                  <w:szCs w:val="15"/>
                  <w:color w:val="0000EE"/>
                </w:rPr>
                <w:t>Use of proceeds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0">
              <w:r>
                <w:rPr>
                  <w:rFonts w:ascii="Arial" w:cs="Arial" w:eastAsia="Arial" w:hAnsi="Arial"/>
                  <w:sz w:val="15"/>
                  <w:szCs w:val="15"/>
                  <w:b w:val="1"/>
                  <w:bCs w:val="1"/>
                  <w:color w:val="0000EE"/>
                </w:rPr>
                <w:t>66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Borders>
              <w:bottom w:val="single" w:sz="8" w:color="0000EE"/>
            </w:tcBorders>
            <w:gridSpan w:val="8"/>
          </w:tcPr>
          <w:p>
            <w:pPr>
              <w:spacing w:after="0" w:line="134" w:lineRule="exact"/>
              <w:rPr>
                <w:rFonts w:ascii="Arial" w:cs="Arial" w:eastAsia="Arial" w:hAnsi="Arial"/>
                <w:sz w:val="15"/>
                <w:szCs w:val="15"/>
                <w:color w:val="0000EE"/>
                <w:w w:val="95"/>
              </w:rPr>
            </w:pPr>
            <w:hyperlink w:anchor="page71">
              <w:r>
                <w:rPr>
                  <w:rFonts w:ascii="Arial" w:cs="Arial" w:eastAsia="Arial" w:hAnsi="Arial"/>
                  <w:sz w:val="15"/>
                  <w:szCs w:val="15"/>
                  <w:color w:val="0000EE"/>
                  <w:w w:val="95"/>
                </w:rPr>
                <w:t>Dividend policy</w:t>
              </w:r>
            </w:hyperlink>
          </w:p>
        </w:tc>
        <w:tc>
          <w:tcPr>
            <w:tcW w:w="5080" w:type="dxa"/>
            <w:vAlign w:val="bottom"/>
            <w:gridSpan w:val="1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1">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2">
              <w:r>
                <w:rPr>
                  <w:rFonts w:ascii="Arial" w:cs="Arial" w:eastAsia="Arial" w:hAnsi="Arial"/>
                  <w:sz w:val="15"/>
                  <w:szCs w:val="15"/>
                  <w:color w:val="0000EE"/>
                </w:rPr>
                <w:t>Capitalization</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2">
              <w:r>
                <w:rPr>
                  <w:rFonts w:ascii="Arial" w:cs="Arial" w:eastAsia="Arial" w:hAnsi="Arial"/>
                  <w:sz w:val="15"/>
                  <w:szCs w:val="15"/>
                  <w:b w:val="1"/>
                  <w:bCs w:val="1"/>
                  <w:color w:val="0000EE"/>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0" w:type="dxa"/>
            <w:vAlign w:val="bottom"/>
            <w:tcBorders>
              <w:top w:val="single" w:sz="8" w:color="0000EE"/>
            </w:tcBorders>
            <w:gridSpan w:val="6"/>
          </w:tcPr>
          <w:p>
            <w:pPr>
              <w:spacing w:after="0" w:line="134" w:lineRule="exact"/>
              <w:rPr>
                <w:rFonts w:ascii="Arial" w:cs="Arial" w:eastAsia="Arial" w:hAnsi="Arial"/>
                <w:sz w:val="15"/>
                <w:szCs w:val="15"/>
                <w:color w:val="0000EE"/>
              </w:rPr>
            </w:pPr>
            <w:hyperlink w:anchor="page74">
              <w:r>
                <w:rPr>
                  <w:rFonts w:ascii="Arial" w:cs="Arial" w:eastAsia="Arial" w:hAnsi="Arial"/>
                  <w:sz w:val="15"/>
                  <w:szCs w:val="15"/>
                  <w:color w:val="0000EE"/>
                </w:rPr>
                <w:t>Dilution</w:t>
              </w:r>
            </w:hyperlink>
          </w:p>
        </w:tc>
        <w:tc>
          <w:tcPr>
            <w:tcW w:w="5220" w:type="dxa"/>
            <w:vAlign w:val="bottom"/>
            <w:gridSpan w:val="18"/>
          </w:tcPr>
          <w:p>
            <w:pPr>
              <w:spacing w:after="0"/>
              <w:rPr>
                <w:sz w:val="12"/>
                <w:szCs w:val="12"/>
                <w:color w:val="auto"/>
              </w:rPr>
            </w:pPr>
          </w:p>
        </w:tc>
        <w:tc>
          <w:tcPr>
            <w:tcW w:w="2780" w:type="dxa"/>
            <w:vAlign w:val="bottom"/>
            <w:gridSpan w:val="3"/>
          </w:tcPr>
          <w:p>
            <w:pPr>
              <w:spacing w:after="0"/>
              <w:rPr>
                <w:sz w:val="12"/>
                <w:szCs w:val="12"/>
                <w:color w:val="auto"/>
              </w:rPr>
            </w:pPr>
          </w:p>
        </w:tc>
        <w:tc>
          <w:tcPr>
            <w:tcW w:w="160" w:type="dxa"/>
            <w:vAlign w:val="bottom"/>
            <w:tcBorders>
              <w:top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4">
              <w:r>
                <w:rPr>
                  <w:rFonts w:ascii="Arial" w:cs="Arial" w:eastAsia="Arial" w:hAnsi="Arial"/>
                  <w:sz w:val="15"/>
                  <w:szCs w:val="15"/>
                  <w:b w:val="1"/>
                  <w:bCs w:val="1"/>
                  <w:color w:val="0000EE"/>
                  <w:w w:val="83"/>
                </w:rPr>
                <w:t>70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7">
              <w:r>
                <w:rPr>
                  <w:rFonts w:ascii="Arial" w:cs="Arial" w:eastAsia="Arial" w:hAnsi="Arial"/>
                  <w:sz w:val="15"/>
                  <w:szCs w:val="15"/>
                  <w:color w:val="0000EE"/>
                </w:rPr>
                <w:t>Selected consolidated financial data</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7">
              <w:r>
                <w:rPr>
                  <w:rFonts w:ascii="Arial" w:cs="Arial" w:eastAsia="Arial" w:hAnsi="Arial"/>
                  <w:sz w:val="15"/>
                  <w:szCs w:val="15"/>
                  <w:b w:val="1"/>
                  <w:bCs w:val="1"/>
                  <w:color w:val="0000EE"/>
                </w:rPr>
                <w:t>73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9">
              <w:r>
                <w:rPr>
                  <w:rFonts w:ascii="Arial" w:cs="Arial" w:eastAsia="Arial" w:hAnsi="Arial"/>
                  <w:sz w:val="15"/>
                  <w:szCs w:val="15"/>
                  <w:color w:val="0000EE"/>
                </w:rPr>
                <w:t>Management's discussion and analysis of financial condition and results of operations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9">
              <w:r>
                <w:rPr>
                  <w:rFonts w:ascii="Arial" w:cs="Arial" w:eastAsia="Arial" w:hAnsi="Arial"/>
                  <w:sz w:val="15"/>
                  <w:szCs w:val="15"/>
                  <w:b w:val="1"/>
                  <w:bCs w:val="1"/>
                  <w:color w:val="0000EE"/>
                </w:rPr>
                <w:t>75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40" w:type="dxa"/>
            <w:vAlign w:val="bottom"/>
            <w:tcBorders>
              <w:top w:val="single" w:sz="8" w:color="0000EE"/>
              <w:bottom w:val="single" w:sz="8" w:color="0000EE"/>
            </w:tcBorders>
            <w:gridSpan w:val="2"/>
          </w:tcPr>
          <w:p>
            <w:pPr>
              <w:spacing w:after="0" w:line="134" w:lineRule="exact"/>
              <w:rPr>
                <w:rFonts w:ascii="Arial" w:cs="Arial" w:eastAsia="Arial" w:hAnsi="Arial"/>
                <w:sz w:val="15"/>
                <w:szCs w:val="15"/>
                <w:color w:val="0000EE"/>
                <w:w w:val="85"/>
              </w:rPr>
            </w:pPr>
            <w:hyperlink w:anchor="page99">
              <w:r>
                <w:rPr>
                  <w:rFonts w:ascii="Arial" w:cs="Arial" w:eastAsia="Arial" w:hAnsi="Arial"/>
                  <w:sz w:val="15"/>
                  <w:szCs w:val="15"/>
                  <w:color w:val="0000EE"/>
                  <w:w w:val="85"/>
                </w:rPr>
                <w:t>Business</w:t>
              </w:r>
            </w:hyperlink>
          </w:p>
        </w:tc>
        <w:tc>
          <w:tcPr>
            <w:tcW w:w="4620" w:type="dxa"/>
            <w:vAlign w:val="bottom"/>
            <w:tcBorders>
              <w:top w:val="single" w:sz="8" w:color="0000EE"/>
            </w:tcBorders>
            <w:gridSpan w:val="21"/>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99">
              <w:r>
                <w:rPr>
                  <w:rFonts w:ascii="Arial" w:cs="Arial" w:eastAsia="Arial" w:hAnsi="Arial"/>
                  <w:sz w:val="15"/>
                  <w:szCs w:val="15"/>
                  <w:b w:val="1"/>
                  <w:bCs w:val="1"/>
                  <w:color w:val="0000EE"/>
                  <w:w w:val="83"/>
                </w:rPr>
                <w:t>95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158">
              <w:r>
                <w:rPr>
                  <w:rFonts w:ascii="Arial" w:cs="Arial" w:eastAsia="Arial" w:hAnsi="Arial"/>
                  <w:sz w:val="15"/>
                  <w:szCs w:val="15"/>
                  <w:color w:val="0000EE"/>
                </w:rPr>
                <w:t>Management</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58">
              <w:r>
                <w:rPr>
                  <w:rFonts w:ascii="Arial" w:cs="Arial" w:eastAsia="Arial" w:hAnsi="Arial"/>
                  <w:sz w:val="15"/>
                  <w:szCs w:val="15"/>
                  <w:b w:val="1"/>
                  <w:bCs w:val="1"/>
                  <w:color w:val="0000EE"/>
                </w:rPr>
                <w:t>154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Borders>
              <w:bottom w:val="single" w:sz="8" w:color="0000EE"/>
            </w:tcBorders>
            <w:gridSpan w:val="16"/>
          </w:tcPr>
          <w:p>
            <w:pPr>
              <w:spacing w:after="0" w:line="134" w:lineRule="exact"/>
              <w:rPr>
                <w:rFonts w:ascii="Arial" w:cs="Arial" w:eastAsia="Arial" w:hAnsi="Arial"/>
                <w:sz w:val="15"/>
                <w:szCs w:val="15"/>
                <w:color w:val="0000EE"/>
                <w:w w:val="90"/>
              </w:rPr>
            </w:pPr>
            <w:hyperlink w:anchor="page167">
              <w:r>
                <w:rPr>
                  <w:rFonts w:ascii="Arial" w:cs="Arial" w:eastAsia="Arial" w:hAnsi="Arial"/>
                  <w:sz w:val="15"/>
                  <w:szCs w:val="15"/>
                  <w:color w:val="0000EE"/>
                  <w:w w:val="90"/>
                </w:rPr>
                <w:t>Executive and director compensation</w:t>
              </w:r>
            </w:hyperlink>
          </w:p>
        </w:tc>
        <w:tc>
          <w:tcPr>
            <w:tcW w:w="3820" w:type="dxa"/>
            <w:vAlign w:val="bottom"/>
            <w:gridSpan w:val="8"/>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67">
              <w:r>
                <w:rPr>
                  <w:rFonts w:ascii="Arial" w:cs="Arial" w:eastAsia="Arial" w:hAnsi="Arial"/>
                  <w:sz w:val="15"/>
                  <w:szCs w:val="15"/>
                  <w:b w:val="1"/>
                  <w:bCs w:val="1"/>
                  <w:color w:val="0000EE"/>
                </w:rPr>
                <w:t>163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78">
              <w:r>
                <w:rPr>
                  <w:rFonts w:ascii="Arial" w:cs="Arial" w:eastAsia="Arial" w:hAnsi="Arial"/>
                  <w:sz w:val="15"/>
                  <w:szCs w:val="15"/>
                  <w:color w:val="0000EE"/>
                </w:rPr>
                <w:t>Certain relationships and related person transactions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8">
              <w:r>
                <w:rPr>
                  <w:rFonts w:ascii="Arial" w:cs="Arial" w:eastAsia="Arial" w:hAnsi="Arial"/>
                  <w:sz w:val="15"/>
                  <w:szCs w:val="15"/>
                  <w:b w:val="1"/>
                  <w:bCs w:val="1"/>
                  <w:color w:val="0000EE"/>
                </w:rPr>
                <w:t>174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0000EE"/>
            </w:tcBorders>
            <w:gridSpan w:val="21"/>
            <w:vMerge w:val="restart"/>
          </w:tcPr>
          <w:p>
            <w:pPr>
              <w:spacing w:after="0" w:line="154" w:lineRule="exact"/>
              <w:rPr>
                <w:rFonts w:ascii="Arial" w:cs="Arial" w:eastAsia="Arial" w:hAnsi="Arial"/>
                <w:sz w:val="15"/>
                <w:szCs w:val="15"/>
                <w:color w:val="0000EE"/>
              </w:rPr>
            </w:pPr>
            <w:hyperlink w:anchor="page182">
              <w:r>
                <w:rPr>
                  <w:rFonts w:ascii="Arial" w:cs="Arial" w:eastAsia="Arial" w:hAnsi="Arial"/>
                  <w:sz w:val="15"/>
                  <w:szCs w:val="15"/>
                  <w:color w:val="0000EE"/>
                </w:rPr>
                <w:t>Principal stockholders</w:t>
              </w:r>
            </w:hyperlink>
          </w:p>
        </w:tc>
        <w:tc>
          <w:tcPr>
            <w:tcW w:w="2920" w:type="dxa"/>
            <w:vAlign w:val="bottom"/>
            <w:gridSpan w:val="3"/>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1"/>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2">
              <w:r>
                <w:rPr>
                  <w:rFonts w:ascii="Arial" w:cs="Arial" w:eastAsia="Arial" w:hAnsi="Arial"/>
                  <w:sz w:val="15"/>
                  <w:szCs w:val="15"/>
                  <w:b w:val="1"/>
                  <w:bCs w:val="1"/>
                  <w:color w:val="0000EE"/>
                </w:rPr>
                <w:t>178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60" w:type="dxa"/>
            <w:vAlign w:val="bottom"/>
            <w:tcBorders>
              <w:bottom w:val="single" w:sz="8" w:color="0000EE"/>
            </w:tcBorders>
            <w:gridSpan w:val="12"/>
          </w:tcPr>
          <w:p>
            <w:pPr>
              <w:spacing w:after="0" w:line="134" w:lineRule="exact"/>
              <w:rPr>
                <w:rFonts w:ascii="Arial" w:cs="Arial" w:eastAsia="Arial" w:hAnsi="Arial"/>
                <w:sz w:val="15"/>
                <w:szCs w:val="15"/>
                <w:color w:val="0000EE"/>
                <w:w w:val="91"/>
              </w:rPr>
            </w:pPr>
            <w:hyperlink w:anchor="page185">
              <w:r>
                <w:rPr>
                  <w:rFonts w:ascii="Arial" w:cs="Arial" w:eastAsia="Arial" w:hAnsi="Arial"/>
                  <w:sz w:val="15"/>
                  <w:szCs w:val="15"/>
                  <w:color w:val="0000EE"/>
                  <w:w w:val="91"/>
                </w:rPr>
                <w:t>Description of capital stock</w:t>
              </w:r>
            </w:hyperlink>
          </w:p>
        </w:tc>
        <w:tc>
          <w:tcPr>
            <w:tcW w:w="4400" w:type="dxa"/>
            <w:vAlign w:val="bottom"/>
            <w:gridSpan w:val="12"/>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5">
              <w:r>
                <w:rPr>
                  <w:rFonts w:ascii="Arial" w:cs="Arial" w:eastAsia="Arial" w:hAnsi="Arial"/>
                  <w:sz w:val="15"/>
                  <w:szCs w:val="15"/>
                  <w:b w:val="1"/>
                  <w:bCs w:val="1"/>
                  <w:color w:val="0000EE"/>
                </w:rPr>
                <w:t>181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14"/>
            <w:vMerge w:val="restart"/>
          </w:tcPr>
          <w:p>
            <w:pPr>
              <w:spacing w:after="0" w:line="154" w:lineRule="exact"/>
              <w:rPr>
                <w:rFonts w:ascii="Arial" w:cs="Arial" w:eastAsia="Arial" w:hAnsi="Arial"/>
                <w:sz w:val="15"/>
                <w:szCs w:val="15"/>
                <w:color w:val="0000EE"/>
                <w:w w:val="90"/>
              </w:rPr>
            </w:pPr>
            <w:hyperlink w:anchor="page191">
              <w:r>
                <w:rPr>
                  <w:rFonts w:ascii="Arial" w:cs="Arial" w:eastAsia="Arial" w:hAnsi="Arial"/>
                  <w:sz w:val="15"/>
                  <w:szCs w:val="15"/>
                  <w:color w:val="0000EE"/>
                  <w:w w:val="90"/>
                </w:rPr>
                <w:t>Shares eligible for future sale</w:t>
              </w:r>
            </w:hyperlink>
          </w:p>
        </w:tc>
        <w:tc>
          <w:tcPr>
            <w:tcW w:w="4280" w:type="dxa"/>
            <w:vAlign w:val="bottom"/>
            <w:gridSpan w:val="10"/>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80" w:type="dxa"/>
            <w:vAlign w:val="bottom"/>
            <w:tcBorders>
              <w:bottom w:val="single" w:sz="8" w:color="0000EE"/>
            </w:tcBorders>
            <w:gridSpan w:val="14"/>
            <w:vMerge w:val="continue"/>
          </w:tcPr>
          <w:p>
            <w:pPr>
              <w:spacing w:after="0"/>
              <w:rPr>
                <w:sz w:val="12"/>
                <w:szCs w:val="12"/>
                <w:color w:val="auto"/>
              </w:rPr>
            </w:pPr>
          </w:p>
        </w:tc>
        <w:tc>
          <w:tcPr>
            <w:tcW w:w="4280" w:type="dxa"/>
            <w:vAlign w:val="bottom"/>
            <w:gridSpan w:val="10"/>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1">
              <w:r>
                <w:rPr>
                  <w:rFonts w:ascii="Arial" w:cs="Arial" w:eastAsia="Arial" w:hAnsi="Arial"/>
                  <w:sz w:val="15"/>
                  <w:szCs w:val="15"/>
                  <w:b w:val="1"/>
                  <w:bCs w:val="1"/>
                  <w:color w:val="0000EE"/>
                </w:rPr>
                <w:t>187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2"/>
            <w:vMerge w:val="restart"/>
          </w:tcPr>
          <w:p>
            <w:pPr>
              <w:spacing w:after="0" w:line="154" w:lineRule="exact"/>
              <w:rPr>
                <w:rFonts w:ascii="Arial" w:cs="Arial" w:eastAsia="Arial" w:hAnsi="Arial"/>
                <w:sz w:val="15"/>
                <w:szCs w:val="15"/>
                <w:color w:val="0000EE"/>
                <w:w w:val="90"/>
              </w:rPr>
            </w:pPr>
            <w:hyperlink w:anchor="page194">
              <w:r>
                <w:rPr>
                  <w:rFonts w:ascii="Arial" w:cs="Arial" w:eastAsia="Arial" w:hAnsi="Arial"/>
                  <w:sz w:val="15"/>
                  <w:szCs w:val="15"/>
                  <w:color w:val="0000EE"/>
                  <w:w w:val="90"/>
                </w:rPr>
                <w:t>Material U.S. federal income tax consequences to non-U.S. holders</w:t>
              </w:r>
            </w:hyperlink>
          </w:p>
        </w:tc>
        <w:tc>
          <w:tcPr>
            <w:tcW w:w="2000" w:type="dxa"/>
            <w:vAlign w:val="bottom"/>
            <w:gridSpan w:val="2"/>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Borders>
              <w:bottom w:val="single" w:sz="8" w:color="0000EE"/>
            </w:tcBorders>
            <w:gridSpan w:val="2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4">
              <w:r>
                <w:rPr>
                  <w:rFonts w:ascii="Arial" w:cs="Arial" w:eastAsia="Arial" w:hAnsi="Arial"/>
                  <w:sz w:val="15"/>
                  <w:szCs w:val="15"/>
                  <w:b w:val="1"/>
                  <w:bCs w:val="1"/>
                  <w:color w:val="0000EE"/>
                </w:rPr>
                <w:t>190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line="154" w:lineRule="exact"/>
              <w:rPr>
                <w:rFonts w:ascii="Arial" w:cs="Arial" w:eastAsia="Arial" w:hAnsi="Arial"/>
                <w:sz w:val="15"/>
                <w:szCs w:val="15"/>
                <w:color w:val="0000EE"/>
                <w:w w:val="94"/>
              </w:rPr>
            </w:pPr>
            <w:hyperlink w:anchor="page198">
              <w:r>
                <w:rPr>
                  <w:rFonts w:ascii="Arial" w:cs="Arial" w:eastAsia="Arial" w:hAnsi="Arial"/>
                  <w:sz w:val="15"/>
                  <w:szCs w:val="15"/>
                  <w:color w:val="0000EE"/>
                  <w:w w:val="94"/>
                </w:rPr>
                <w:t>Underwriting</w:t>
              </w:r>
            </w:hyperlink>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Borders>
              <w:bottom w:val="single" w:sz="8" w:color="0000EE"/>
            </w:tcBorders>
            <w:gridSpan w:val="5"/>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98">
              <w:r>
                <w:rPr>
                  <w:rFonts w:ascii="Arial" w:cs="Arial" w:eastAsia="Arial" w:hAnsi="Arial"/>
                  <w:sz w:val="15"/>
                  <w:szCs w:val="15"/>
                  <w:b w:val="1"/>
                  <w:bCs w:val="1"/>
                  <w:color w:val="0000EE"/>
                </w:rPr>
                <w:t>194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05">
              <w:r>
                <w:rPr>
                  <w:rFonts w:ascii="Arial" w:cs="Arial" w:eastAsia="Arial" w:hAnsi="Arial"/>
                  <w:sz w:val="15"/>
                  <w:szCs w:val="15"/>
                  <w:color w:val="0000EE"/>
                </w:rPr>
                <w:t>Legal matters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5">
              <w:r>
                <w:rPr>
                  <w:rFonts w:ascii="Arial" w:cs="Arial" w:eastAsia="Arial" w:hAnsi="Arial"/>
                  <w:sz w:val="15"/>
                  <w:szCs w:val="15"/>
                  <w:b w:val="1"/>
                  <w:bCs w:val="1"/>
                  <w:color w:val="0000EE"/>
                </w:rPr>
                <w:t>201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vMerge w:val="restart"/>
          </w:tcPr>
          <w:p>
            <w:pPr>
              <w:spacing w:after="0" w:line="154" w:lineRule="exact"/>
              <w:rPr>
                <w:rFonts w:ascii="Arial" w:cs="Arial" w:eastAsia="Arial" w:hAnsi="Arial"/>
                <w:sz w:val="15"/>
                <w:szCs w:val="15"/>
                <w:color w:val="0000EE"/>
                <w:w w:val="90"/>
              </w:rPr>
            </w:pPr>
            <w:hyperlink w:anchor="page205">
              <w:r>
                <w:rPr>
                  <w:rFonts w:ascii="Arial" w:cs="Arial" w:eastAsia="Arial" w:hAnsi="Arial"/>
                  <w:sz w:val="15"/>
                  <w:szCs w:val="15"/>
                  <w:color w:val="0000EE"/>
                  <w:w w:val="90"/>
                </w:rPr>
                <w:t>Experts</w:t>
              </w:r>
            </w:hyperlink>
          </w:p>
        </w:tc>
        <w:tc>
          <w:tcPr>
            <w:tcW w:w="320" w:type="dxa"/>
            <w:vAlign w:val="bottom"/>
            <w:tcBorders>
              <w:top w:val="single" w:sz="8" w:color="0000EE"/>
            </w:tcBorders>
            <w:gridSpan w:val="4"/>
            <w:vMerge w:val="restart"/>
          </w:tcPr>
          <w:p>
            <w:pPr>
              <w:spacing w:after="0" w:line="20" w:lineRule="exact"/>
              <w:rPr>
                <w:sz w:val="1"/>
                <w:szCs w:val="1"/>
                <w:color w:val="auto"/>
              </w:rPr>
            </w:pPr>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Borders>
              <w:bottom w:val="single" w:sz="8" w:color="0000EE"/>
            </w:tcBorders>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5">
              <w:r>
                <w:rPr>
                  <w:rFonts w:ascii="Arial" w:cs="Arial" w:eastAsia="Arial" w:hAnsi="Arial"/>
                  <w:sz w:val="15"/>
                  <w:szCs w:val="15"/>
                  <w:b w:val="1"/>
                  <w:bCs w:val="1"/>
                  <w:color w:val="0000EE"/>
                </w:rPr>
                <w:t>201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05">
              <w:r>
                <w:rPr>
                  <w:rFonts w:ascii="Arial" w:cs="Arial" w:eastAsia="Arial" w:hAnsi="Arial"/>
                  <w:sz w:val="15"/>
                  <w:szCs w:val="15"/>
                  <w:color w:val="0000EE"/>
                </w:rPr>
                <w:t>Where you can find more information</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vMerge w:val="continue"/>
          </w:tcPr>
          <w:p>
            <w:pPr>
              <w:spacing w:after="0"/>
              <w:rPr>
                <w:sz w:val="14"/>
                <w:szCs w:val="14"/>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5">
              <w:r>
                <w:rPr>
                  <w:rFonts w:ascii="Arial" w:cs="Arial" w:eastAsia="Arial" w:hAnsi="Arial"/>
                  <w:sz w:val="15"/>
                  <w:szCs w:val="15"/>
                  <w:b w:val="1"/>
                  <w:bCs w:val="1"/>
                  <w:color w:val="0000EE"/>
                </w:rPr>
                <w:t>201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17"/>
          </w:tcPr>
          <w:p>
            <w:pPr>
              <w:spacing w:after="0" w:line="134" w:lineRule="exact"/>
              <w:rPr>
                <w:rFonts w:ascii="Arial" w:cs="Arial" w:eastAsia="Arial" w:hAnsi="Arial"/>
                <w:sz w:val="15"/>
                <w:szCs w:val="15"/>
                <w:color w:val="0000EE"/>
              </w:rPr>
            </w:pPr>
            <w:hyperlink w:anchor="page206">
              <w:r>
                <w:rPr>
                  <w:rFonts w:ascii="Arial" w:cs="Arial" w:eastAsia="Arial" w:hAnsi="Arial"/>
                  <w:sz w:val="15"/>
                  <w:szCs w:val="15"/>
                  <w:color w:val="0000EE"/>
                </w:rPr>
                <w:t>Index to financial statements</w:t>
              </w:r>
            </w:hyperlink>
          </w:p>
        </w:tc>
        <w:tc>
          <w:tcPr>
            <w:tcW w:w="3780" w:type="dxa"/>
            <w:vAlign w:val="bottom"/>
            <w:gridSpan w:val="7"/>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2" w:lineRule="exact"/>
              <w:rPr>
                <w:rFonts w:ascii="Arial" w:cs="Arial" w:eastAsia="Arial" w:hAnsi="Arial"/>
                <w:sz w:val="15"/>
                <w:szCs w:val="15"/>
                <w:b w:val="1"/>
                <w:bCs w:val="1"/>
                <w:color w:val="0000EE"/>
                <w:w w:val="88"/>
              </w:rPr>
            </w:pPr>
            <w:hyperlink w:anchor="page206">
              <w:r>
                <w:rPr>
                  <w:rFonts w:ascii="Arial" w:cs="Arial" w:eastAsia="Arial" w:hAnsi="Arial"/>
                  <w:sz w:val="15"/>
                  <w:szCs w:val="15"/>
                  <w:b w:val="1"/>
                  <w:bCs w:val="1"/>
                  <w:color w:val="0000EE"/>
                  <w:w w:val="88"/>
                </w:rPr>
                <w:t>F-1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3"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color w:val="auto"/>
        </w:rPr>
        <w:t>Through and including , 2016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4403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440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3"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12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60"/>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harmful deposits of uric acid crystals in chronic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the second half of 2016.</w:t>
      </w:r>
    </w:p>
    <w:p>
      <w:pPr>
        <w:spacing w:after="0" w:line="153" w:lineRule="exact"/>
        <w:rPr>
          <w:sz w:val="20"/>
          <w:szCs w:val="20"/>
          <w:color w:val="auto"/>
        </w:rPr>
      </w:pPr>
    </w:p>
    <w:p>
      <w:pPr>
        <w:ind w:left="200" w:right="220"/>
        <w:spacing w:after="0" w:line="284" w:lineRule="auto"/>
        <w:rPr>
          <w:sz w:val="20"/>
          <w:szCs w:val="20"/>
          <w:color w:val="auto"/>
        </w:rPr>
      </w:pPr>
      <w:r>
        <w:rPr>
          <w:rFonts w:ascii="Arial" w:cs="Arial" w:eastAsia="Arial" w:hAnsi="Arial"/>
          <w:sz w:val="14"/>
          <w:szCs w:val="14"/>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color w:val="auto"/>
        </w:rPr>
        <w:t>Our SVP technology is based on the pioneering research performed by our co-founders at Harvard University, Massachusetts Institute of Technology, or MIT, and Brigham and Women's Hospital, or Brigham. We license this technology pursuant to an agreement with MIT. Our SVP technology utilizes a biodegradable nanoparticle to selectively modulate an immune response in an antigen-specific manner. We believe that nanoparticles are uniquely suited to deliver precise instructions to the immune system as a result of the natural predisposition of the immune system to interrogate nanoparticles, such as viruses.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447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44475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14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4" w:lineRule="exact"/>
        <w:rPr>
          <w:sz w:val="20"/>
          <w:szCs w:val="20"/>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antigen-specific immune tolerance to gene therapy;</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2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capable of either inducing a:</w:t>
      </w:r>
    </w:p>
    <w:p>
      <w:pPr>
        <w:spacing w:after="0" w:line="162" w:lineRule="exact"/>
        <w:rPr>
          <w:sz w:val="20"/>
          <w:szCs w:val="20"/>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200"/>
        <w:spacing w:after="0" w:line="263"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7" w:lineRule="exact"/>
        <w:rPr>
          <w:sz w:val="20"/>
          <w:szCs w:val="20"/>
          <w:color w:val="auto"/>
        </w:rPr>
      </w:pPr>
    </w:p>
    <w:p>
      <w:pPr>
        <w:ind w:left="200"/>
        <w:spacing w:after="0" w:line="290"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To date, these programs have been primarily financed through grants.</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859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5859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80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Description</w:t>
            </w:r>
          </w:p>
        </w:tc>
        <w:tc>
          <w:tcPr>
            <w:tcW w:w="294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Development status</w:t>
            </w:r>
          </w:p>
        </w:tc>
        <w:tc>
          <w:tcPr>
            <w:tcW w:w="272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5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307"/>
        </w:trPr>
        <w:tc>
          <w:tcPr>
            <w:tcW w:w="2580" w:type="dxa"/>
            <w:vAlign w:val="bottom"/>
          </w:tcPr>
          <w:p>
            <w:pPr>
              <w:spacing w:after="0"/>
              <w:rPr>
                <w:sz w:val="20"/>
                <w:szCs w:val="20"/>
                <w:color w:val="auto"/>
              </w:rPr>
            </w:pPr>
            <w:r>
              <w:rPr>
                <w:rFonts w:ascii="Arial" w:cs="Arial" w:eastAsia="Arial" w:hAnsi="Arial"/>
                <w:sz w:val="12"/>
                <w:szCs w:val="12"/>
                <w:color w:val="auto"/>
                <w:w w:val="94"/>
              </w:rPr>
              <w:t>Refractory and chronic tophaceous gout (SEL-212)</w:t>
            </w:r>
          </w:p>
        </w:tc>
        <w:tc>
          <w:tcPr>
            <w:tcW w:w="2800" w:type="dxa"/>
            <w:vAlign w:val="bottom"/>
          </w:tcPr>
          <w:p>
            <w:pPr>
              <w:ind w:left="200"/>
              <w:spacing w:after="0"/>
              <w:rPr>
                <w:sz w:val="20"/>
                <w:szCs w:val="20"/>
                <w:color w:val="auto"/>
              </w:rPr>
            </w:pPr>
            <w:r>
              <w:rPr>
                <w:rFonts w:ascii="Arial" w:cs="Arial" w:eastAsia="Arial" w:hAnsi="Arial"/>
                <w:sz w:val="12"/>
                <w:szCs w:val="12"/>
                <w:color w:val="auto"/>
                <w:w w:val="97"/>
              </w:rPr>
              <w:t>SVP-Rapamycin co-administered with pegsiticase</w:t>
            </w:r>
          </w:p>
        </w:tc>
        <w:tc>
          <w:tcPr>
            <w:tcW w:w="2940" w:type="dxa"/>
            <w:vAlign w:val="bottom"/>
          </w:tcPr>
          <w:p>
            <w:pPr>
              <w:ind w:left="200"/>
              <w:spacing w:after="0"/>
              <w:rPr>
                <w:sz w:val="20"/>
                <w:szCs w:val="20"/>
                <w:color w:val="auto"/>
              </w:rPr>
            </w:pPr>
            <w:r>
              <w:rPr>
                <w:rFonts w:ascii="Arial" w:cs="Arial" w:eastAsia="Arial" w:hAnsi="Arial"/>
                <w:sz w:val="12"/>
                <w:szCs w:val="12"/>
                <w:color w:val="auto"/>
                <w:w w:val="89"/>
              </w:rPr>
              <w:t>Final data from Phase 1a and Phase 1b trials expected in</w:t>
            </w:r>
          </w:p>
        </w:tc>
        <w:tc>
          <w:tcPr>
            <w:tcW w:w="2720" w:type="dxa"/>
            <w:vAlign w:val="bottom"/>
          </w:tcPr>
          <w:p>
            <w:pPr>
              <w:ind w:left="80"/>
              <w:spacing w:after="0"/>
              <w:rPr>
                <w:sz w:val="20"/>
                <w:szCs w:val="20"/>
                <w:color w:val="auto"/>
              </w:rPr>
            </w:pPr>
            <w:r>
              <w:rPr>
                <w:rFonts w:ascii="Arial" w:cs="Arial" w:eastAsia="Arial" w:hAnsi="Arial"/>
                <w:sz w:val="12"/>
                <w:szCs w:val="12"/>
                <w:color w:val="auto"/>
              </w:rPr>
              <w:t>Own development</w:t>
            </w:r>
          </w:p>
        </w:tc>
      </w:tr>
      <w:tr>
        <w:trPr>
          <w:trHeight w:val="127"/>
        </w:trPr>
        <w:tc>
          <w:tcPr>
            <w:tcW w:w="2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940" w:type="dxa"/>
            <w:vAlign w:val="bottom"/>
          </w:tcPr>
          <w:p>
            <w:pPr>
              <w:ind w:left="200"/>
              <w:spacing w:after="0" w:line="128" w:lineRule="exact"/>
              <w:rPr>
                <w:sz w:val="20"/>
                <w:szCs w:val="20"/>
                <w:color w:val="auto"/>
              </w:rPr>
            </w:pPr>
            <w:r>
              <w:rPr>
                <w:rFonts w:ascii="Arial" w:cs="Arial" w:eastAsia="Arial" w:hAnsi="Arial"/>
                <w:sz w:val="12"/>
                <w:szCs w:val="12"/>
                <w:color w:val="auto"/>
                <w:w w:val="93"/>
              </w:rPr>
              <w:t>the first half of 2016. Initiation of Phase 2 trial expected</w:t>
            </w:r>
          </w:p>
        </w:tc>
        <w:tc>
          <w:tcPr>
            <w:tcW w:w="2720" w:type="dxa"/>
            <w:vAlign w:val="bottom"/>
          </w:tcPr>
          <w:p>
            <w:pPr>
              <w:spacing w:after="0"/>
              <w:rPr>
                <w:sz w:val="11"/>
                <w:szCs w:val="11"/>
                <w:color w:val="auto"/>
              </w:rPr>
            </w:pPr>
          </w:p>
        </w:tc>
      </w:tr>
      <w:tr>
        <w:trPr>
          <w:trHeight w:val="147"/>
        </w:trPr>
        <w:tc>
          <w:tcPr>
            <w:tcW w:w="25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in the second half of 2016</w:t>
            </w:r>
          </w:p>
        </w:tc>
        <w:tc>
          <w:tcPr>
            <w:tcW w:w="2720" w:type="dxa"/>
            <w:vAlign w:val="bottom"/>
          </w:tcPr>
          <w:p>
            <w:pPr>
              <w:spacing w:after="0"/>
              <w:rPr>
                <w:sz w:val="12"/>
                <w:szCs w:val="12"/>
                <w:color w:val="auto"/>
              </w:rPr>
            </w:pPr>
          </w:p>
        </w:tc>
      </w:tr>
      <w:tr>
        <w:trPr>
          <w:trHeight w:val="316"/>
        </w:trPr>
        <w:tc>
          <w:tcPr>
            <w:tcW w:w="2580" w:type="dxa"/>
            <w:vAlign w:val="bottom"/>
          </w:tcPr>
          <w:p>
            <w:pPr>
              <w:spacing w:after="0"/>
              <w:rPr>
                <w:sz w:val="20"/>
                <w:szCs w:val="20"/>
                <w:color w:val="auto"/>
              </w:rPr>
            </w:pPr>
            <w:r>
              <w:rPr>
                <w:rFonts w:ascii="Arial" w:cs="Arial" w:eastAsia="Arial" w:hAnsi="Arial"/>
                <w:sz w:val="12"/>
                <w:szCs w:val="12"/>
                <w:color w:val="auto"/>
              </w:rPr>
              <w:t>Gene therapy</w:t>
            </w:r>
          </w:p>
        </w:tc>
        <w:tc>
          <w:tcPr>
            <w:tcW w:w="2800" w:type="dxa"/>
            <w:vAlign w:val="bottom"/>
          </w:tcPr>
          <w:p>
            <w:pPr>
              <w:ind w:left="200"/>
              <w:spacing w:after="0"/>
              <w:rPr>
                <w:sz w:val="20"/>
                <w:szCs w:val="20"/>
                <w:color w:val="auto"/>
              </w:rPr>
            </w:pPr>
            <w:r>
              <w:rPr>
                <w:rFonts w:ascii="Arial" w:cs="Arial" w:eastAsia="Arial" w:hAnsi="Arial"/>
                <w:sz w:val="12"/>
                <w:szCs w:val="12"/>
                <w:color w:val="auto"/>
                <w:w w:val="97"/>
              </w:rPr>
              <w:t>SVP-Rapamycin co-administered with AAV vector</w:t>
            </w:r>
          </w:p>
        </w:tc>
        <w:tc>
          <w:tcPr>
            <w:tcW w:w="2940" w:type="dxa"/>
            <w:vAlign w:val="bottom"/>
          </w:tcPr>
          <w:p>
            <w:pPr>
              <w:ind w:left="200"/>
              <w:spacing w:after="0"/>
              <w:rPr>
                <w:sz w:val="20"/>
                <w:szCs w:val="20"/>
                <w:color w:val="auto"/>
              </w:rPr>
            </w:pPr>
            <w:r>
              <w:rPr>
                <w:rFonts w:ascii="Arial" w:cs="Arial" w:eastAsia="Arial" w:hAnsi="Arial"/>
                <w:sz w:val="12"/>
                <w:szCs w:val="12"/>
                <w:color w:val="auto"/>
                <w:w w:val="95"/>
              </w:rPr>
              <w:t>Investigational New Drug Application, or IND, filing for</w:t>
            </w:r>
          </w:p>
        </w:tc>
        <w:tc>
          <w:tcPr>
            <w:tcW w:w="2720" w:type="dxa"/>
            <w:vAlign w:val="bottom"/>
          </w:tcPr>
          <w:p>
            <w:pPr>
              <w:ind w:left="80"/>
              <w:spacing w:after="0"/>
              <w:rPr>
                <w:sz w:val="20"/>
                <w:szCs w:val="20"/>
                <w:color w:val="auto"/>
              </w:rPr>
            </w:pPr>
            <w:r>
              <w:rPr>
                <w:rFonts w:ascii="Arial" w:cs="Arial" w:eastAsia="Arial" w:hAnsi="Arial"/>
                <w:sz w:val="12"/>
                <w:szCs w:val="12"/>
                <w:color w:val="auto"/>
              </w:rPr>
              <w:t>Own development</w:t>
            </w:r>
          </w:p>
        </w:tc>
      </w:tr>
      <w:tr>
        <w:trPr>
          <w:trHeight w:val="147"/>
        </w:trPr>
        <w:tc>
          <w:tcPr>
            <w:tcW w:w="25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940" w:type="dxa"/>
            <w:vAlign w:val="bottom"/>
          </w:tcPr>
          <w:p>
            <w:pPr>
              <w:ind w:left="200"/>
              <w:spacing w:after="0"/>
              <w:rPr>
                <w:sz w:val="20"/>
                <w:szCs w:val="20"/>
                <w:color w:val="auto"/>
              </w:rPr>
            </w:pPr>
            <w:r>
              <w:rPr>
                <w:rFonts w:ascii="Arial" w:cs="Arial" w:eastAsia="Arial" w:hAnsi="Arial"/>
                <w:sz w:val="12"/>
                <w:szCs w:val="12"/>
                <w:color w:val="auto"/>
              </w:rPr>
              <w:t>first indication expected by the end of 2017</w:t>
            </w:r>
          </w:p>
        </w:tc>
        <w:tc>
          <w:tcPr>
            <w:tcW w:w="2720" w:type="dxa"/>
            <w:vAlign w:val="bottom"/>
          </w:tcPr>
          <w:p>
            <w:pPr>
              <w:spacing w:after="0"/>
              <w:rPr>
                <w:sz w:val="12"/>
                <w:szCs w:val="12"/>
                <w:color w:val="auto"/>
              </w:rPr>
            </w:pPr>
          </w:p>
        </w:tc>
      </w:tr>
      <w:tr>
        <w:trPr>
          <w:trHeight w:val="336"/>
        </w:trPr>
        <w:tc>
          <w:tcPr>
            <w:tcW w:w="25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88" w:lineRule="exact"/>
        <w:rPr>
          <w:sz w:val="20"/>
          <w:szCs w:val="20"/>
          <w:color w:val="auto"/>
        </w:rPr>
      </w:pPr>
    </w:p>
    <w:p>
      <w:pPr>
        <w:sectPr>
          <w:pgSz w:w="11900" w:h="16838" w:orient="portrait"/>
          <w:cols w:equalWidth="0" w:num="1">
            <w:col w:w="11440"/>
          </w:cols>
          <w:pgMar w:left="240" w:top="132" w:right="219" w:bottom="1440" w:gutter="0" w:footer="0" w:header="0"/>
        </w:sect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780"/>
        <w:spacing w:after="0"/>
        <w:rPr>
          <w:sz w:val="20"/>
          <w:szCs w:val="20"/>
          <w:color w:val="auto"/>
        </w:rPr>
      </w:pPr>
      <w:r>
        <w:rPr>
          <w:rFonts w:ascii="Arial" w:cs="Arial" w:eastAsia="Arial" w:hAnsi="Arial"/>
          <w:sz w:val="12"/>
          <w:szCs w:val="12"/>
          <w:color w:val="auto"/>
        </w:rPr>
        <w:t>ongoing</w:t>
      </w:r>
    </w:p>
    <w:p>
      <w:pPr>
        <w:spacing w:after="0" w:line="20" w:lineRule="exact"/>
        <w:rPr>
          <w:sz w:val="20"/>
          <w:szCs w:val="20"/>
          <w:color w:val="auto"/>
        </w:rPr>
      </w:pPr>
      <w:r>
        <w:rPr>
          <w:sz w:val="20"/>
          <w:szCs w:val="20"/>
          <w:color w:val="auto"/>
        </w:rPr>
        <w:br w:type="column"/>
      </w:r>
    </w:p>
    <w:p>
      <w:pPr>
        <w:ind w:right="620"/>
        <w:spacing w:after="0" w:line="333" w:lineRule="auto"/>
        <w:rPr>
          <w:sz w:val="20"/>
          <w:szCs w:val="20"/>
          <w:color w:val="auto"/>
        </w:rPr>
      </w:pPr>
      <w:r>
        <w:rPr>
          <w:rFonts w:ascii="Arial" w:cs="Arial" w:eastAsia="Arial" w:hAnsi="Arial"/>
          <w:sz w:val="10"/>
          <w:szCs w:val="10"/>
          <w:color w:val="auto"/>
        </w:rPr>
        <w:t>Own development, with grant from the National Institute on Drug Abuse, or NIDA</w:t>
      </w:r>
    </w:p>
    <w:p>
      <w:pPr>
        <w:spacing w:after="0" w:line="200" w:lineRule="exact"/>
        <w:rPr>
          <w:sz w:val="20"/>
          <w:szCs w:val="20"/>
          <w:color w:val="auto"/>
        </w:rPr>
      </w:pPr>
    </w:p>
    <w:p>
      <w:pPr>
        <w:sectPr>
          <w:pgSz w:w="11900" w:h="16838" w:orient="portrait"/>
          <w:cols w:equalWidth="0" w:num="2">
            <w:col w:w="8240" w:space="360"/>
            <w:col w:w="2840"/>
          </w:cols>
          <w:pgMar w:left="240" w:top="132" w:right="219" w:bottom="1440" w:gutter="0" w:footer="0" w:header="0"/>
          <w:type w:val="continuous"/>
        </w:sect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20" w:type="dxa"/>
            <w:vAlign w:val="bottom"/>
            <w:tcBorders>
              <w:bottom w:val="single" w:sz="8" w:color="auto"/>
            </w:tcBorders>
          </w:tcPr>
          <w:p>
            <w:pPr>
              <w:ind w:left="1580"/>
              <w:spacing w:after="0"/>
              <w:rPr>
                <w:sz w:val="20"/>
                <w:szCs w:val="20"/>
                <w:color w:val="auto"/>
              </w:rPr>
            </w:pPr>
            <w:r>
              <w:rPr>
                <w:rFonts w:ascii="Arial" w:cs="Arial" w:eastAsia="Arial" w:hAnsi="Arial"/>
                <w:sz w:val="12"/>
                <w:szCs w:val="12"/>
                <w:b w:val="1"/>
                <w:bCs w:val="1"/>
                <w:color w:val="auto"/>
              </w:rPr>
              <w:t>Description</w:t>
            </w: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1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7"/>
        </w:trPr>
        <w:tc>
          <w:tcPr>
            <w:tcW w:w="2180" w:type="dxa"/>
            <w:vAlign w:val="bottom"/>
          </w:tcPr>
          <w:p>
            <w:pPr>
              <w:spacing w:after="0"/>
              <w:rPr>
                <w:sz w:val="20"/>
                <w:szCs w:val="20"/>
                <w:color w:val="auto"/>
              </w:rPr>
            </w:pPr>
            <w:r>
              <w:rPr>
                <w:rFonts w:ascii="Arial" w:cs="Arial" w:eastAsia="Arial" w:hAnsi="Arial"/>
                <w:sz w:val="12"/>
                <w:szCs w:val="12"/>
                <w:color w:val="auto"/>
              </w:rPr>
              <w:t>Food allergy</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SVP-food allergen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180" w:type="dxa"/>
            <w:vAlign w:val="bottom"/>
          </w:tcPr>
          <w:p>
            <w:pPr>
              <w:spacing w:after="0"/>
              <w:rPr>
                <w:sz w:val="20"/>
                <w:szCs w:val="20"/>
                <w:color w:val="auto"/>
              </w:rPr>
            </w:pPr>
            <w:r>
              <w:rPr>
                <w:rFonts w:ascii="Arial" w:cs="Arial" w:eastAsia="Arial" w:hAnsi="Arial"/>
                <w:sz w:val="12"/>
                <w:szCs w:val="12"/>
                <w:color w:val="auto"/>
              </w:rPr>
              <w:t>Celiac disease</w:t>
            </w:r>
          </w:p>
        </w:tc>
        <w:tc>
          <w:tcPr>
            <w:tcW w:w="2920" w:type="dxa"/>
            <w:vAlign w:val="bottom"/>
          </w:tcPr>
          <w:p>
            <w:pPr>
              <w:ind w:left="600"/>
              <w:spacing w:after="0"/>
              <w:rPr>
                <w:sz w:val="20"/>
                <w:szCs w:val="20"/>
                <w:color w:val="auto"/>
              </w:rPr>
            </w:pPr>
            <w:r>
              <w:rPr>
                <w:rFonts w:ascii="Arial" w:cs="Arial" w:eastAsia="Arial" w:hAnsi="Arial"/>
                <w:sz w:val="12"/>
                <w:szCs w:val="12"/>
                <w:color w:val="auto"/>
              </w:rPr>
              <w:t>SVP-Rapamycin and SVP-gluten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180" w:type="dxa"/>
            <w:vAlign w:val="bottom"/>
          </w:tcPr>
          <w:p>
            <w:pPr>
              <w:spacing w:after="0"/>
              <w:rPr>
                <w:sz w:val="20"/>
                <w:szCs w:val="20"/>
                <w:color w:val="auto"/>
              </w:rPr>
            </w:pPr>
            <w:r>
              <w:rPr>
                <w:rFonts w:ascii="Arial" w:cs="Arial" w:eastAsia="Arial" w:hAnsi="Arial"/>
                <w:sz w:val="12"/>
                <w:szCs w:val="12"/>
                <w:color w:val="auto"/>
              </w:rPr>
              <w:t>Type 1 diabetes</w:t>
            </w:r>
          </w:p>
        </w:tc>
        <w:tc>
          <w:tcPr>
            <w:tcW w:w="2920" w:type="dxa"/>
            <w:vAlign w:val="bottom"/>
          </w:tcPr>
          <w:p>
            <w:pPr>
              <w:ind w:left="600"/>
              <w:spacing w:after="0"/>
              <w:rPr>
                <w:sz w:val="20"/>
                <w:szCs w:val="20"/>
                <w:color w:val="auto"/>
              </w:rPr>
            </w:pPr>
            <w:r>
              <w:rPr>
                <w:rFonts w:ascii="Arial" w:cs="Arial" w:eastAsia="Arial" w:hAnsi="Arial"/>
                <w:sz w:val="12"/>
                <w:szCs w:val="12"/>
                <w:color w:val="auto"/>
              </w:rPr>
              <w:t>SVP-Rapamycin and SVP-insulin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1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6"/>
        </w:trPr>
        <w:tc>
          <w:tcPr>
            <w:tcW w:w="218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SVP-HPV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1"/>
              </w:rPr>
              <w:t>Own development, with grant from the Russian-based</w:t>
            </w:r>
          </w:p>
        </w:tc>
      </w:tr>
      <w:tr>
        <w:trPr>
          <w:trHeight w:val="127"/>
        </w:trPr>
        <w:tc>
          <w:tcPr>
            <w:tcW w:w="2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100" w:type="dxa"/>
            <w:vAlign w:val="bottom"/>
          </w:tcPr>
          <w:p>
            <w:pPr>
              <w:ind w:left="460"/>
              <w:spacing w:after="0" w:line="128" w:lineRule="exact"/>
              <w:rPr>
                <w:sz w:val="20"/>
                <w:szCs w:val="20"/>
                <w:color w:val="auto"/>
              </w:rPr>
            </w:pPr>
            <w:r>
              <w:rPr>
                <w:rFonts w:ascii="Arial" w:cs="Arial" w:eastAsia="Arial" w:hAnsi="Arial"/>
                <w:sz w:val="12"/>
                <w:szCs w:val="12"/>
                <w:color w:val="auto"/>
                <w:w w:val="90"/>
              </w:rPr>
              <w:t>Development Fund of New Technologies Development</w:t>
            </w:r>
          </w:p>
        </w:tc>
      </w:tr>
      <w:tr>
        <w:trPr>
          <w:trHeight w:val="127"/>
        </w:trPr>
        <w:tc>
          <w:tcPr>
            <w:tcW w:w="2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100" w:type="dxa"/>
            <w:vAlign w:val="bottom"/>
          </w:tcPr>
          <w:p>
            <w:pPr>
              <w:ind w:left="46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Foundation</w:t>
            </w:r>
          </w:p>
        </w:tc>
      </w:tr>
      <w:tr>
        <w:trPr>
          <w:trHeight w:val="316"/>
        </w:trPr>
        <w:tc>
          <w:tcPr>
            <w:tcW w:w="2180" w:type="dxa"/>
            <w:vAlign w:val="bottom"/>
          </w:tcPr>
          <w:p>
            <w:pPr>
              <w:spacing w:after="0"/>
              <w:rPr>
                <w:sz w:val="20"/>
                <w:szCs w:val="20"/>
                <w:color w:val="auto"/>
              </w:rPr>
            </w:pPr>
            <w:r>
              <w:rPr>
                <w:rFonts w:ascii="Arial" w:cs="Arial" w:eastAsia="Arial" w:hAnsi="Arial"/>
                <w:sz w:val="12"/>
                <w:szCs w:val="12"/>
                <w:color w:val="auto"/>
              </w:rPr>
              <w:t>Malaria</w:t>
            </w:r>
          </w:p>
        </w:tc>
        <w:tc>
          <w:tcPr>
            <w:tcW w:w="2920" w:type="dxa"/>
            <w:vAlign w:val="bottom"/>
          </w:tcPr>
          <w:p>
            <w:pPr>
              <w:ind w:left="600"/>
              <w:spacing w:after="0"/>
              <w:rPr>
                <w:sz w:val="20"/>
                <w:szCs w:val="20"/>
                <w:color w:val="auto"/>
              </w:rPr>
            </w:pPr>
            <w:r>
              <w:rPr>
                <w:rFonts w:ascii="Arial" w:cs="Arial" w:eastAsia="Arial" w:hAnsi="Arial"/>
                <w:sz w:val="12"/>
                <w:szCs w:val="12"/>
                <w:color w:val="auto"/>
              </w:rPr>
              <w:t>SVP-adjuvant and SVP-malaria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Currently in 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95" w:lineRule="exact"/>
        <w:rPr>
          <w:sz w:val="20"/>
          <w:szCs w:val="20"/>
          <w:color w:val="auto"/>
        </w:rPr>
      </w:pPr>
    </w:p>
    <w:p>
      <w:pPr>
        <w:ind w:left="200" w:right="420"/>
        <w:spacing w:after="0" w:line="266" w:lineRule="auto"/>
        <w:rPr>
          <w:sz w:val="20"/>
          <w:szCs w:val="20"/>
          <w:color w:val="auto"/>
        </w:rPr>
      </w:pPr>
      <w:r>
        <w:rPr>
          <w:rFonts w:ascii="Arial" w:cs="Arial" w:eastAsia="Arial" w:hAnsi="Arial"/>
          <w:sz w:val="15"/>
          <w:szCs w:val="15"/>
          <w:color w:val="auto"/>
        </w:rPr>
        <w:t>Our lead product candidate, SEL-212, consists of SVP-Rapamycin co-administered with pegsiticase, our proprietary pegylated uricase, for the treatment of refractory and chronic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chronic tophaceous gout, while also demonstrating the clinical effectiveness of our SVP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7" w:name="page8"/>
    <w:bookmarkEnd w:id="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609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460946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280"/>
        <w:spacing w:after="0" w:line="282" w:lineRule="auto"/>
        <w:rPr>
          <w:sz w:val="20"/>
          <w:szCs w:val="20"/>
          <w:color w:val="auto"/>
        </w:rPr>
      </w:pPr>
      <w:r>
        <w:rPr>
          <w:rFonts w:ascii="Arial" w:cs="Arial" w:eastAsia="Arial" w:hAnsi="Arial"/>
          <w:sz w:val="15"/>
          <w:szCs w:val="15"/>
          <w:color w:val="auto"/>
        </w:rPr>
        <w:t>technology. We completed the patient treatment portion of our Phase 1a trial in November 2015 and initiated a Phase 1b trial in December 2015, with final data from both Phase 1 clinical trials expected in the first half of 2016.</w:t>
      </w:r>
    </w:p>
    <w:p>
      <w:pPr>
        <w:spacing w:after="0" w:line="151" w:lineRule="exact"/>
        <w:rPr>
          <w:sz w:val="20"/>
          <w:szCs w:val="20"/>
          <w:color w:val="auto"/>
        </w:rPr>
      </w:pPr>
    </w:p>
    <w:p>
      <w:pPr>
        <w:ind w:left="200" w:right="40"/>
        <w:spacing w:after="0" w:line="281" w:lineRule="auto"/>
        <w:rPr>
          <w:sz w:val="20"/>
          <w:szCs w:val="20"/>
          <w:color w:val="auto"/>
        </w:rPr>
      </w:pPr>
      <w:r>
        <w:rPr>
          <w:rFonts w:ascii="Arial" w:cs="Arial" w:eastAsia="Arial" w:hAnsi="Arial"/>
          <w:sz w:val="14"/>
          <w:szCs w:val="14"/>
          <w:color w:val="auto"/>
        </w:rPr>
        <w:t>Approximately 8.3 million and 10 million patients in the United States and the European Union, respectively, suffer from gout, which is caused by elevated levels of serum uric acid. Excessive uric acid levels result in harmful deposits of uric acid crystals in joints and tissues, causing joint damage and painful inflammation. High concentrations of uric acid in the blood also increase the risk for other conditions, including hypertension, diabetes, atherosclerosis and kidney disease. No treatment has been approved to remove uric acid deposits from joints and tissues.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57" w:lineRule="exact"/>
        <w:rPr>
          <w:sz w:val="20"/>
          <w:szCs w:val="20"/>
          <w:color w:val="auto"/>
        </w:rPr>
      </w:pPr>
    </w:p>
    <w:p>
      <w:pPr>
        <w:ind w:left="200"/>
        <w:spacing w:after="0" w:line="266" w:lineRule="auto"/>
        <w:rPr>
          <w:sz w:val="20"/>
          <w:szCs w:val="20"/>
          <w:color w:val="auto"/>
        </w:rPr>
      </w:pPr>
      <w:r>
        <w:rPr>
          <w:rFonts w:ascii="Arial" w:cs="Arial" w:eastAsia="Arial" w:hAnsi="Arial"/>
          <w:sz w:val="15"/>
          <w:szCs w:val="15"/>
          <w:color w:val="auto"/>
        </w:rPr>
        <w:t>In addition,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Both refractory and chronic tophaceous gout are severe diseases that can cause pain, arthritis and organ failure. Krystexxa, a pegylated uricase, is the only product approved by the FDA for the treatment of chronic refractory gout. There is no approved product for chronic tophaceous gout.</w:t>
      </w:r>
    </w:p>
    <w:p>
      <w:pPr>
        <w:spacing w:after="0" w:line="162" w:lineRule="exact"/>
        <w:rPr>
          <w:sz w:val="20"/>
          <w:szCs w:val="20"/>
          <w:color w:val="auto"/>
        </w:rPr>
      </w:pPr>
    </w:p>
    <w:p>
      <w:pPr>
        <w:ind w:left="200" w:right="60"/>
        <w:spacing w:after="0" w:line="262" w:lineRule="auto"/>
        <w:rPr>
          <w:sz w:val="20"/>
          <w:szCs w:val="20"/>
          <w:color w:val="auto"/>
        </w:rPr>
      </w:pPr>
      <w:r>
        <w:rPr>
          <w:rFonts w:ascii="Arial" w:cs="Arial" w:eastAsia="Arial" w:hAnsi="Arial"/>
          <w:sz w:val="15"/>
          <w:szCs w:val="15"/>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normalization of uric acid levels. Similarly, a 2011 study published in The Journal of the American Medical Association found that 58% of Krystexxa patients were non-responders as measured by the high uric acid levels in patients, which was associated with the anti-Krystexxa antibody levels.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40"/>
        <w:spacing w:after="0" w:line="261" w:lineRule="auto"/>
        <w:rPr>
          <w:sz w:val="20"/>
          <w:szCs w:val="20"/>
          <w:color w:val="auto"/>
        </w:rPr>
      </w:pPr>
      <w:r>
        <w:rPr>
          <w:rFonts w:ascii="Arial" w:cs="Arial" w:eastAsia="Arial" w:hAnsi="Arial"/>
          <w:sz w:val="15"/>
          <w:szCs w:val="15"/>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In our preclinical studies, we have observed that the application of SVP-Rapamycin to an AAV-based gene therapy mitigates the formation of ADAs against AAV vectors. Based on our preclinical data, we believe that SVP-Rapamycin has the potential to enable repeat dosing of AAV-based gene therapies via system-wide, or systemic, routes of administration by eliminating such undesired immunogenicity. We are currently in discussions with third parties regarding potential development opportunities for gene therapy applications utilizing our SVP technology. We have also initiated preclinical studies to assess whether SVP-Rapamycin enables repeat administration of gene therapy by eliminating such undesired immunogenicity for two monogenic diseases.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741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4741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420"/>
        <w:spacing w:after="0" w:line="283" w:lineRule="auto"/>
        <w:rPr>
          <w:sz w:val="20"/>
          <w:szCs w:val="20"/>
          <w:color w:val="auto"/>
        </w:rPr>
      </w:pPr>
      <w:r>
        <w:rPr>
          <w:rFonts w:ascii="Arial" w:cs="Arial" w:eastAsia="Arial" w:hAnsi="Arial"/>
          <w:sz w:val="14"/>
          <w:szCs w:val="14"/>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 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ind w:left="200" w:right="420"/>
        <w:spacing w:after="0" w:line="297" w:lineRule="auto"/>
        <w:rPr>
          <w:sz w:val="20"/>
          <w:szCs w:val="20"/>
          <w:color w:val="auto"/>
        </w:rPr>
      </w:pPr>
      <w:r>
        <w:rPr>
          <w:rFonts w:ascii="Arial" w:cs="Arial" w:eastAsia="Arial" w:hAnsi="Arial"/>
          <w:sz w:val="14"/>
          <w:szCs w:val="14"/>
          <w:color w:val="auto"/>
        </w:rPr>
        <w:t>We also believe our SVP technology, by encapsulating other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To date, these programs have been primarily financed through grants.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left="200" w:right="30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2" w:lineRule="exact"/>
        <w:rPr>
          <w:sz w:val="20"/>
          <w:szCs w:val="20"/>
          <w:color w:val="auto"/>
        </w:rPr>
      </w:pPr>
    </w:p>
    <w:p>
      <w:pPr>
        <w:ind w:left="660" w:right="240" w:hanging="467"/>
        <w:spacing w:after="0" w:line="319"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Rapidly advance the development of our lead product candidate, SEL-212, for the treatment of refractory and chronic tophaceous gout</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SEL-212 has the potential to be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biologic treatment for gout that durably controls uric acid in refractory gout and dissolves and removes harmful deposits of uric acid crystals in chronic tophaceous gout. We are currently conducting a comprehensive Phase 1/2 clinical program, comprised of two Phase 1 clinical trials, for which we expect to receive final data in the first half of 2016, and a Phase 2 clinical trial, which we expect to initiate in the second half of 2016. We plan to advance this program through regulatory approval and commercialization.</w:t>
      </w:r>
    </w:p>
    <w:p>
      <w:pPr>
        <w:spacing w:after="0" w:line="143" w:lineRule="exact"/>
        <w:rPr>
          <w:rFonts w:ascii="Arial" w:cs="Arial" w:eastAsia="Arial" w:hAnsi="Arial"/>
          <w:sz w:val="13"/>
          <w:szCs w:val="13"/>
          <w:color w:val="auto"/>
        </w:rPr>
      </w:pPr>
    </w:p>
    <w:p>
      <w:pPr>
        <w:ind w:left="660" w:right="420" w:hanging="467"/>
        <w:spacing w:after="0" w:line="287"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SVP technology for immune tolerance to develop novel uses and classes of non-immunogenic biologics. </w:t>
      </w:r>
      <w:r>
        <w:rPr>
          <w:rFonts w:ascii="Arial" w:cs="Arial" w:eastAsia="Arial" w:hAnsi="Arial"/>
          <w:sz w:val="14"/>
          <w:szCs w:val="14"/>
          <w:color w:val="auto"/>
        </w:rPr>
        <w:t>We intend to use our SVP technology to develop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60" w:lineRule="exact"/>
        <w:rPr>
          <w:rFonts w:ascii="Arial" w:cs="Arial" w:eastAsia="Arial" w:hAnsi="Arial"/>
          <w:sz w:val="14"/>
          <w:szCs w:val="14"/>
          <w:color w:val="auto"/>
        </w:rPr>
      </w:pPr>
    </w:p>
    <w:p>
      <w:pPr>
        <w:ind w:left="660" w:right="320" w:hanging="467"/>
        <w:spacing w:after="0" w:line="27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disease areas, we intend to focus our efforts on developing and commercializing proprietary SVP-enabled products for rare diseases where there is high unmet medical need. Therapies for treating rare diseases require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5283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552831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right="400"/>
        <w:spacing w:after="0" w:line="282" w:lineRule="auto"/>
        <w:rPr>
          <w:sz w:val="20"/>
          <w:szCs w:val="20"/>
          <w:color w:val="auto"/>
        </w:rPr>
      </w:pPr>
      <w:r>
        <w:rPr>
          <w:rFonts w:ascii="Arial" w:cs="Arial" w:eastAsia="Arial" w:hAnsi="Arial"/>
          <w:sz w:val="15"/>
          <w:szCs w:val="15"/>
          <w:color w:val="auto"/>
        </w:rPr>
        <w:t>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74" w:lineRule="exact"/>
        <w:rPr>
          <w:sz w:val="20"/>
          <w:szCs w:val="20"/>
          <w:color w:val="auto"/>
        </w:rPr>
      </w:pPr>
    </w:p>
    <w:p>
      <w:pPr>
        <w:jc w:val="both"/>
        <w:ind w:left="660" w:right="60" w:hanging="467"/>
        <w:spacing w:after="0" w:line="330"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Selectively pursue collaborations and maximize the value of our SVP programs for immune tolerance. </w:t>
      </w:r>
      <w:r>
        <w:rPr>
          <w:rFonts w:ascii="Arial" w:cs="Arial" w:eastAsia="Arial" w:hAnsi="Arial"/>
          <w:sz w:val="13"/>
          <w:szCs w:val="13"/>
          <w:color w:val="auto"/>
        </w:rPr>
        <w:t>In addition to our own proprietary product development efforts,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in discussions with third parties regarding potential collaborations to pursue AAV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36" w:lineRule="exact"/>
        <w:rPr>
          <w:rFonts w:ascii="Arial" w:cs="Arial" w:eastAsia="Arial" w:hAnsi="Arial"/>
          <w:sz w:val="13"/>
          <w:szCs w:val="13"/>
          <w:color w:val="auto"/>
        </w:rPr>
      </w:pPr>
    </w:p>
    <w:p>
      <w:pPr>
        <w:ind w:left="660" w:right="60" w:hanging="467"/>
        <w:spacing w:after="0" w:line="313"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80"/>
        <w:spacing w:after="0" w:line="282"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73" w:lineRule="exact"/>
        <w:rPr>
          <w:rFonts w:ascii="Arial" w:cs="Arial" w:eastAsia="Arial" w:hAnsi="Arial"/>
          <w:sz w:val="15"/>
          <w:szCs w:val="15"/>
          <w:color w:val="auto"/>
        </w:rPr>
      </w:pPr>
    </w:p>
    <w:p>
      <w:pPr>
        <w:ind w:left="660" w:right="100" w:hanging="467"/>
        <w:spacing w:after="0" w:line="362"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16" w:lineRule="exact"/>
        <w:rPr>
          <w:rFonts w:ascii="Arial" w:cs="Arial" w:eastAsia="Arial" w:hAnsi="Arial"/>
          <w:sz w:val="13"/>
          <w:szCs w:val="13"/>
          <w:color w:val="auto"/>
        </w:rPr>
      </w:pPr>
    </w:p>
    <w:p>
      <w:pPr>
        <w:ind w:left="66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2" w:lineRule="exact"/>
        <w:rPr>
          <w:rFonts w:ascii="Arial" w:cs="Arial" w:eastAsia="Arial" w:hAnsi="Arial"/>
          <w:sz w:val="15"/>
          <w:szCs w:val="15"/>
          <w:color w:val="auto"/>
        </w:rPr>
      </w:pPr>
    </w:p>
    <w:p>
      <w:pPr>
        <w:ind w:left="660" w:right="2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73" w:lineRule="exact"/>
        <w:rPr>
          <w:rFonts w:ascii="Arial" w:cs="Arial" w:eastAsia="Arial" w:hAnsi="Arial"/>
          <w:sz w:val="15"/>
          <w:szCs w:val="15"/>
          <w:color w:val="auto"/>
        </w:rPr>
      </w:pPr>
    </w:p>
    <w:p>
      <w:pPr>
        <w:ind w:left="660" w:right="24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62" w:lineRule="exact"/>
        <w:rPr>
          <w:rFonts w:ascii="Arial" w:cs="Arial" w:eastAsia="Arial" w:hAnsi="Arial"/>
          <w:sz w:val="15"/>
          <w:szCs w:val="15"/>
          <w:color w:val="auto"/>
        </w:rPr>
      </w:pPr>
    </w:p>
    <w:p>
      <w:pPr>
        <w:ind w:left="660" w:right="20" w:hanging="467"/>
        <w:spacing w:after="0" w:line="29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155" w:lineRule="exact"/>
        <w:rPr>
          <w:rFonts w:ascii="Arial" w:cs="Arial" w:eastAsia="Arial" w:hAnsi="Arial"/>
          <w:sz w:val="14"/>
          <w:szCs w:val="14"/>
          <w:color w:val="auto"/>
        </w:rPr>
      </w:pPr>
    </w:p>
    <w:p>
      <w:pPr>
        <w:ind w:left="660" w:right="22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73" w:lineRule="exact"/>
        <w:rPr>
          <w:rFonts w:ascii="Arial" w:cs="Arial" w:eastAsia="Arial" w:hAnsi="Arial"/>
          <w:sz w:val="15"/>
          <w:szCs w:val="15"/>
          <w:color w:val="auto"/>
        </w:rPr>
      </w:pPr>
    </w:p>
    <w:p>
      <w:pPr>
        <w:ind w:left="660" w:right="20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645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46456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220"/>
        <w:spacing w:after="0" w:line="270"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171" w:lineRule="exact"/>
        <w:rPr>
          <w:sz w:val="20"/>
          <w:szCs w:val="20"/>
          <w:color w:val="auto"/>
        </w:rPr>
      </w:pPr>
    </w:p>
    <w:p>
      <w:pPr>
        <w:ind w:left="660" w:right="24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09" w:lineRule="exact"/>
        <w:rPr>
          <w:rFonts w:ascii="Arial" w:cs="Arial" w:eastAsia="Arial" w:hAnsi="Arial"/>
          <w:sz w:val="15"/>
          <w:szCs w:val="15"/>
          <w:color w:val="auto"/>
        </w:rPr>
      </w:pPr>
    </w:p>
    <w:p>
      <w:pPr>
        <w:ind w:left="660" w:right="800" w:hanging="467"/>
        <w:spacing w:after="0" w:line="28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200" w:right="26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59" w:lineRule="exact"/>
        <w:rPr>
          <w:sz w:val="20"/>
          <w:szCs w:val="20"/>
          <w:color w:val="auto"/>
        </w:rPr>
      </w:pPr>
    </w:p>
    <w:p>
      <w:pPr>
        <w:ind w:left="200" w:right="44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ind w:left="200" w:right="26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right="20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815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581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20" w:type="dxa"/>
            <w:vAlign w:val="bottom"/>
          </w:tcPr>
          <w:p>
            <w:pPr>
              <w:spacing w:after="0"/>
              <w:rPr>
                <w:sz w:val="20"/>
                <w:szCs w:val="20"/>
                <w:color w:val="auto"/>
              </w:rPr>
            </w:pPr>
            <w:r>
              <w:rPr>
                <w:rFonts w:ascii="Arial" w:cs="Arial" w:eastAsia="Arial" w:hAnsi="Arial"/>
                <w:sz w:val="15"/>
                <w:szCs w:val="15"/>
                <w:color w:val="auto"/>
              </w:rPr>
              <w:t>Common</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stock</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2240" w:type="dxa"/>
            <w:vAlign w:val="bottom"/>
            <w:gridSpan w:val="2"/>
          </w:tcPr>
          <w:p>
            <w:pPr>
              <w:ind w:left="140"/>
              <w:spacing w:after="0"/>
              <w:rPr>
                <w:sz w:val="20"/>
                <w:szCs w:val="20"/>
                <w:color w:val="auto"/>
              </w:rPr>
            </w:pPr>
            <w:r>
              <w:rPr>
                <w:rFonts w:ascii="Arial" w:cs="Arial" w:eastAsia="Arial" w:hAnsi="Arial"/>
                <w:sz w:val="15"/>
                <w:szCs w:val="15"/>
                <w:color w:val="auto"/>
              </w:rPr>
              <w:t>offered by</w:t>
            </w: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us</w:t>
            </w:r>
          </w:p>
        </w:tc>
        <w:tc>
          <w:tcPr>
            <w:tcW w:w="1520" w:type="dxa"/>
            <w:vAlign w:val="bottom"/>
          </w:tcPr>
          <w:p>
            <w:pPr>
              <w:ind w:left="760"/>
              <w:spacing w:after="0"/>
              <w:rPr>
                <w:sz w:val="20"/>
                <w:szCs w:val="20"/>
                <w:color w:val="auto"/>
              </w:rPr>
            </w:pPr>
            <w:r>
              <w:rPr>
                <w:rFonts w:ascii="Arial" w:cs="Arial" w:eastAsia="Arial" w:hAnsi="Arial"/>
                <w:sz w:val="15"/>
                <w:szCs w:val="15"/>
                <w:color w:val="auto"/>
              </w:rPr>
              <w:t>shares (or</w:t>
            </w:r>
          </w:p>
        </w:tc>
        <w:tc>
          <w:tcPr>
            <w:tcW w:w="8780" w:type="dxa"/>
            <w:vAlign w:val="bottom"/>
            <w:gridSpan w:val="4"/>
          </w:tcPr>
          <w:p>
            <w:pPr>
              <w:ind w:left="84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Common</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85"/>
        </w:trPr>
        <w:tc>
          <w:tcPr>
            <w:tcW w:w="2240" w:type="dxa"/>
            <w:vAlign w:val="bottom"/>
            <w:gridSpan w:val="2"/>
          </w:tcPr>
          <w:p>
            <w:pPr>
              <w:ind w:left="140"/>
              <w:spacing w:after="0"/>
              <w:rPr>
                <w:sz w:val="20"/>
                <w:szCs w:val="20"/>
                <w:color w:val="auto"/>
              </w:rPr>
            </w:pPr>
            <w:r>
              <w:rPr>
                <w:rFonts w:ascii="Arial" w:cs="Arial" w:eastAsia="Arial" w:hAnsi="Arial"/>
                <w:sz w:val="15"/>
                <w:szCs w:val="15"/>
                <w:color w:val="auto"/>
              </w:rPr>
              <w:t>stock to be</w:t>
            </w: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2240" w:type="dxa"/>
            <w:vAlign w:val="bottom"/>
            <w:gridSpan w:val="2"/>
          </w:tcPr>
          <w:p>
            <w:pPr>
              <w:ind w:left="140"/>
              <w:spacing w:after="0"/>
              <w:rPr>
                <w:sz w:val="20"/>
                <w:szCs w:val="20"/>
                <w:color w:val="auto"/>
              </w:rPr>
            </w:pPr>
            <w:r>
              <w:rPr>
                <w:rFonts w:ascii="Arial" w:cs="Arial" w:eastAsia="Arial" w:hAnsi="Arial"/>
                <w:sz w:val="15"/>
                <w:szCs w:val="15"/>
                <w:color w:val="auto"/>
              </w:rPr>
              <w:t>outstanding</w:t>
            </w: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w w:val="97"/>
              </w:rPr>
              <w:t>after this</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520" w:type="dxa"/>
            <w:vAlign w:val="bottom"/>
          </w:tcPr>
          <w:p>
            <w:pPr>
              <w:ind w:left="760"/>
              <w:spacing w:after="0"/>
              <w:rPr>
                <w:sz w:val="20"/>
                <w:szCs w:val="20"/>
                <w:color w:val="auto"/>
              </w:rPr>
            </w:pPr>
            <w:r>
              <w:rPr>
                <w:rFonts w:ascii="Arial" w:cs="Arial" w:eastAsia="Arial" w:hAnsi="Arial"/>
                <w:sz w:val="15"/>
                <w:szCs w:val="15"/>
                <w:color w:val="auto"/>
              </w:rPr>
              <w:t>shares (or</w:t>
            </w:r>
          </w:p>
        </w:tc>
        <w:tc>
          <w:tcPr>
            <w:tcW w:w="8780" w:type="dxa"/>
            <w:vAlign w:val="bottom"/>
            <w:gridSpan w:val="4"/>
          </w:tcPr>
          <w:p>
            <w:pPr>
              <w:ind w:left="840"/>
              <w:spacing w:after="0"/>
              <w:rPr>
                <w:sz w:val="20"/>
                <w:szCs w:val="20"/>
                <w:color w:val="auto"/>
              </w:rPr>
            </w:pPr>
            <w:r>
              <w:rPr>
                <w:rFonts w:ascii="Arial" w:cs="Arial" w:eastAsia="Arial" w:hAnsi="Arial"/>
                <w:sz w:val="15"/>
                <w:szCs w:val="15"/>
                <w:color w:val="auto"/>
              </w:rPr>
              <w:t>shares if the underwriters exercise their option to purchase additional shares in full).</w:t>
            </w: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Use of</w:t>
            </w:r>
          </w:p>
        </w:tc>
        <w:tc>
          <w:tcPr>
            <w:tcW w:w="10300" w:type="dxa"/>
            <w:vAlign w:val="bottom"/>
            <w:gridSpan w:val="5"/>
          </w:tcPr>
          <w:p>
            <w:pPr>
              <w:ind w:left="280"/>
              <w:spacing w:after="0"/>
              <w:rPr>
                <w:sz w:val="20"/>
                <w:szCs w:val="20"/>
                <w:color w:val="auto"/>
              </w:rPr>
            </w:pPr>
            <w:r>
              <w:rPr>
                <w:rFonts w:ascii="Arial" w:cs="Arial" w:eastAsia="Arial" w:hAnsi="Arial"/>
                <w:sz w:val="15"/>
                <w:szCs w:val="15"/>
                <w:color w:val="auto"/>
                <w:w w:val="99"/>
              </w:rPr>
              <w:t>We estimate that the net proceeds to us from this offering, after deducting underwriting discounts and estimated offering expenses payable by us, will be</w:t>
            </w: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w w:val="90"/>
              </w:rPr>
              <w:t>proceeds</w:t>
            </w:r>
          </w:p>
        </w:tc>
        <w:tc>
          <w:tcPr>
            <w:tcW w:w="1520" w:type="dxa"/>
            <w:vAlign w:val="bottom"/>
          </w:tcPr>
          <w:p>
            <w:pPr>
              <w:ind w:left="280"/>
              <w:spacing w:after="0"/>
              <w:rPr>
                <w:sz w:val="20"/>
                <w:szCs w:val="20"/>
                <w:color w:val="auto"/>
              </w:rPr>
            </w:pPr>
            <w:r>
              <w:rPr>
                <w:rFonts w:ascii="Arial" w:cs="Arial" w:eastAsia="Arial" w:hAnsi="Arial"/>
                <w:sz w:val="15"/>
                <w:szCs w:val="15"/>
                <w:color w:val="auto"/>
              </w:rPr>
              <w:t>approximately $</w:t>
            </w:r>
          </w:p>
        </w:tc>
        <w:tc>
          <w:tcPr>
            <w:tcW w:w="1820" w:type="dxa"/>
            <w:vAlign w:val="bottom"/>
          </w:tcPr>
          <w:p>
            <w:pPr>
              <w:ind w:left="220"/>
              <w:spacing w:after="0"/>
              <w:rPr>
                <w:sz w:val="20"/>
                <w:szCs w:val="20"/>
                <w:color w:val="auto"/>
              </w:rPr>
            </w:pPr>
            <w:r>
              <w:rPr>
                <w:rFonts w:ascii="Arial" w:cs="Arial" w:eastAsia="Arial" w:hAnsi="Arial"/>
                <w:sz w:val="15"/>
                <w:szCs w:val="15"/>
                <w:color w:val="auto"/>
              </w:rPr>
              <w:t>, or approximately $</w:t>
            </w:r>
          </w:p>
        </w:tc>
        <w:tc>
          <w:tcPr>
            <w:tcW w:w="6960" w:type="dxa"/>
            <w:vAlign w:val="bottom"/>
            <w:gridSpan w:val="3"/>
          </w:tcPr>
          <w:p>
            <w:pPr>
              <w:ind w:left="120"/>
              <w:spacing w:after="0"/>
              <w:rPr>
                <w:sz w:val="20"/>
                <w:szCs w:val="20"/>
                <w:color w:val="auto"/>
              </w:rPr>
            </w:pPr>
            <w:r>
              <w:rPr>
                <w:rFonts w:ascii="Arial" w:cs="Arial" w:eastAsia="Arial" w:hAnsi="Arial"/>
                <w:sz w:val="15"/>
                <w:szCs w:val="15"/>
                <w:color w:val="auto"/>
                <w:w w:val="92"/>
              </w:rPr>
              <w:t>if the underwriters exercise their option to purchase additional shares in full, based on an assumed initial public</w:t>
            </w:r>
          </w:p>
        </w:tc>
      </w:tr>
      <w:tr>
        <w:trPr>
          <w:trHeight w:val="185"/>
        </w:trPr>
        <w:tc>
          <w:tcPr>
            <w:tcW w:w="720" w:type="dxa"/>
            <w:vAlign w:val="bottom"/>
          </w:tcPr>
          <w:p>
            <w:pPr>
              <w:spacing w:after="0"/>
              <w:rPr>
                <w:sz w:val="16"/>
                <w:szCs w:val="16"/>
                <w:color w:val="auto"/>
              </w:rPr>
            </w:pPr>
          </w:p>
        </w:tc>
        <w:tc>
          <w:tcPr>
            <w:tcW w:w="1520" w:type="dxa"/>
            <w:vAlign w:val="bottom"/>
          </w:tcPr>
          <w:p>
            <w:pPr>
              <w:ind w:left="280"/>
              <w:spacing w:after="0"/>
              <w:rPr>
                <w:sz w:val="20"/>
                <w:szCs w:val="20"/>
                <w:color w:val="auto"/>
              </w:rPr>
            </w:pPr>
            <w:r>
              <w:rPr>
                <w:rFonts w:ascii="Arial" w:cs="Arial" w:eastAsia="Arial" w:hAnsi="Arial"/>
                <w:sz w:val="15"/>
                <w:szCs w:val="15"/>
                <w:color w:val="auto"/>
              </w:rPr>
              <w:t>offering price of $</w:t>
            </w:r>
          </w:p>
        </w:tc>
        <w:tc>
          <w:tcPr>
            <w:tcW w:w="8780" w:type="dxa"/>
            <w:vAlign w:val="bottom"/>
            <w:gridSpan w:val="4"/>
          </w:tcPr>
          <w:p>
            <w:pPr>
              <w:ind w:left="340"/>
              <w:spacing w:after="0"/>
              <w:rPr>
                <w:sz w:val="20"/>
                <w:szCs w:val="20"/>
                <w:color w:val="auto"/>
              </w:rPr>
            </w:pPr>
            <w:r>
              <w:rPr>
                <w:rFonts w:ascii="Arial" w:cs="Arial" w:eastAsia="Arial" w:hAnsi="Arial"/>
                <w:sz w:val="15"/>
                <w:szCs w:val="15"/>
                <w:color w:val="auto"/>
                <w:w w:val="96"/>
              </w:rPr>
              <w:t>per share, which is the midpoint of the price range set forth on the cover page of this prospectus. We expect that we will use the net</w:t>
            </w:r>
          </w:p>
        </w:tc>
      </w:tr>
      <w:tr>
        <w:trPr>
          <w:trHeight w:val="185"/>
        </w:trPr>
        <w:tc>
          <w:tcPr>
            <w:tcW w:w="720" w:type="dxa"/>
            <w:vAlign w:val="bottom"/>
          </w:tcPr>
          <w:p>
            <w:pPr>
              <w:spacing w:after="0"/>
              <w:rPr>
                <w:sz w:val="16"/>
                <w:szCs w:val="16"/>
                <w:color w:val="auto"/>
              </w:rPr>
            </w:pPr>
          </w:p>
        </w:tc>
        <w:tc>
          <w:tcPr>
            <w:tcW w:w="10300" w:type="dxa"/>
            <w:vAlign w:val="bottom"/>
            <w:gridSpan w:val="5"/>
          </w:tcPr>
          <w:p>
            <w:pPr>
              <w:ind w:left="280"/>
              <w:spacing w:after="0"/>
              <w:rPr>
                <w:sz w:val="20"/>
                <w:szCs w:val="20"/>
                <w:color w:val="auto"/>
              </w:rPr>
            </w:pPr>
            <w:r>
              <w:rPr>
                <w:rFonts w:ascii="Arial" w:cs="Arial" w:eastAsia="Arial" w:hAnsi="Arial"/>
                <w:sz w:val="15"/>
                <w:szCs w:val="15"/>
                <w:color w:val="auto"/>
                <w:w w:val="91"/>
              </w:rPr>
              <w:t>proceeds from this offering to support the clinical development of SEL-212, conduct preclinical studies in order to advance the development of our other SVP product</w:t>
            </w:r>
          </w:p>
        </w:tc>
      </w:tr>
      <w:tr>
        <w:trPr>
          <w:trHeight w:val="190"/>
        </w:trPr>
        <w:tc>
          <w:tcPr>
            <w:tcW w:w="720" w:type="dxa"/>
            <w:vAlign w:val="bottom"/>
          </w:tcPr>
          <w:p>
            <w:pPr>
              <w:spacing w:after="0"/>
              <w:rPr>
                <w:sz w:val="16"/>
                <w:szCs w:val="16"/>
                <w:color w:val="auto"/>
              </w:rPr>
            </w:pPr>
          </w:p>
        </w:tc>
        <w:tc>
          <w:tcPr>
            <w:tcW w:w="7160" w:type="dxa"/>
            <w:vAlign w:val="bottom"/>
            <w:gridSpan w:val="4"/>
          </w:tcPr>
          <w:p>
            <w:pPr>
              <w:ind w:left="280"/>
              <w:spacing w:after="0"/>
              <w:rPr>
                <w:sz w:val="20"/>
                <w:szCs w:val="20"/>
                <w:color w:val="auto"/>
              </w:rPr>
            </w:pPr>
            <w:r>
              <w:rPr>
                <w:rFonts w:ascii="Arial" w:cs="Arial" w:eastAsia="Arial" w:hAnsi="Arial"/>
                <w:sz w:val="15"/>
                <w:szCs w:val="15"/>
                <w:color w:val="auto"/>
                <w:w w:val="90"/>
              </w:rPr>
              <w:t>candidates and for working capital and general corporate purposes. See "Use of proceeds" beginning on page 66.</w:t>
            </w:r>
          </w:p>
        </w:tc>
        <w:tc>
          <w:tcPr>
            <w:tcW w:w="3140" w:type="dxa"/>
            <w:vAlign w:val="bottom"/>
          </w:tcPr>
          <w:p>
            <w:pPr>
              <w:spacing w:after="0"/>
              <w:rPr>
                <w:sz w:val="16"/>
                <w:szCs w:val="16"/>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w w:val="89"/>
              </w:rPr>
              <w:t>Risk factors</w:t>
            </w:r>
          </w:p>
        </w:tc>
        <w:tc>
          <w:tcPr>
            <w:tcW w:w="10300" w:type="dxa"/>
            <w:vAlign w:val="bottom"/>
            <w:gridSpan w:val="5"/>
          </w:tcPr>
          <w:p>
            <w:pPr>
              <w:ind w:left="280"/>
              <w:spacing w:after="0"/>
              <w:rPr>
                <w:sz w:val="20"/>
                <w:szCs w:val="20"/>
                <w:color w:val="auto"/>
              </w:rPr>
            </w:pPr>
            <w:r>
              <w:rPr>
                <w:rFonts w:ascii="Arial" w:cs="Arial" w:eastAsia="Arial" w:hAnsi="Arial"/>
                <w:sz w:val="15"/>
                <w:szCs w:val="15"/>
                <w:color w:val="auto"/>
                <w:w w:val="96"/>
              </w:rPr>
              <w:t>See "Risk factors" beginning on page 12 and the other information included in this prospectus for a discussion of factors you should consider carefully before</w:t>
            </w:r>
          </w:p>
        </w:tc>
      </w:tr>
      <w:tr>
        <w:trPr>
          <w:trHeight w:val="190"/>
        </w:trPr>
        <w:tc>
          <w:tcPr>
            <w:tcW w:w="720" w:type="dxa"/>
            <w:vAlign w:val="bottom"/>
          </w:tcPr>
          <w:p>
            <w:pPr>
              <w:spacing w:after="0"/>
              <w:rPr>
                <w:sz w:val="16"/>
                <w:szCs w:val="16"/>
                <w:color w:val="auto"/>
              </w:rPr>
            </w:pPr>
          </w:p>
        </w:tc>
        <w:tc>
          <w:tcPr>
            <w:tcW w:w="3340" w:type="dxa"/>
            <w:vAlign w:val="bottom"/>
            <w:gridSpan w:val="2"/>
          </w:tcPr>
          <w:p>
            <w:pPr>
              <w:ind w:left="280"/>
              <w:spacing w:after="0"/>
              <w:rPr>
                <w:sz w:val="20"/>
                <w:szCs w:val="20"/>
                <w:color w:val="auto"/>
              </w:rPr>
            </w:pPr>
            <w:r>
              <w:rPr>
                <w:rFonts w:ascii="Arial" w:cs="Arial" w:eastAsia="Arial" w:hAnsi="Arial"/>
                <w:sz w:val="15"/>
                <w:szCs w:val="15"/>
                <w:color w:val="auto"/>
              </w:rPr>
              <w:t>deciding to invest in our common stock.</w:t>
            </w: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5"/>
                <w:szCs w:val="15"/>
                <w:color w:val="auto"/>
              </w:rPr>
              <w:t>Proposed</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85"/>
        </w:trPr>
        <w:tc>
          <w:tcPr>
            <w:tcW w:w="2240" w:type="dxa"/>
            <w:vAlign w:val="bottom"/>
            <w:gridSpan w:val="2"/>
          </w:tcPr>
          <w:p>
            <w:pPr>
              <w:ind w:left="140"/>
              <w:spacing w:after="0"/>
              <w:rPr>
                <w:sz w:val="20"/>
                <w:szCs w:val="20"/>
                <w:color w:val="auto"/>
              </w:rPr>
            </w:pPr>
            <w:r>
              <w:rPr>
                <w:rFonts w:ascii="Arial" w:cs="Arial" w:eastAsia="Arial" w:hAnsi="Arial"/>
                <w:sz w:val="15"/>
                <w:szCs w:val="15"/>
                <w:color w:val="auto"/>
              </w:rPr>
              <w:t>NASDAQ</w:t>
            </w: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Global</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5"/>
        </w:trPr>
        <w:tc>
          <w:tcPr>
            <w:tcW w:w="720" w:type="dxa"/>
            <w:vAlign w:val="bottom"/>
          </w:tcPr>
          <w:p>
            <w:pPr>
              <w:ind w:left="140"/>
              <w:spacing w:after="0"/>
              <w:rPr>
                <w:sz w:val="20"/>
                <w:szCs w:val="20"/>
                <w:color w:val="auto"/>
              </w:rPr>
            </w:pPr>
            <w:r>
              <w:rPr>
                <w:rFonts w:ascii="Arial" w:cs="Arial" w:eastAsia="Arial" w:hAnsi="Arial"/>
                <w:sz w:val="15"/>
                <w:szCs w:val="15"/>
                <w:color w:val="auto"/>
              </w:rPr>
              <w:t>Market</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90"/>
        </w:trPr>
        <w:tc>
          <w:tcPr>
            <w:tcW w:w="720" w:type="dxa"/>
            <w:vAlign w:val="bottom"/>
          </w:tcPr>
          <w:p>
            <w:pPr>
              <w:ind w:left="140"/>
              <w:spacing w:after="0"/>
              <w:rPr>
                <w:sz w:val="20"/>
                <w:szCs w:val="20"/>
                <w:color w:val="auto"/>
              </w:rPr>
            </w:pPr>
            <w:r>
              <w:rPr>
                <w:rFonts w:ascii="Arial" w:cs="Arial" w:eastAsia="Arial" w:hAnsi="Arial"/>
                <w:sz w:val="15"/>
                <w:szCs w:val="15"/>
                <w:color w:val="auto"/>
              </w:rPr>
              <w:t>symbol</w:t>
            </w:r>
          </w:p>
        </w:tc>
        <w:tc>
          <w:tcPr>
            <w:tcW w:w="1520" w:type="dxa"/>
            <w:vAlign w:val="bottom"/>
          </w:tcPr>
          <w:p>
            <w:pPr>
              <w:ind w:left="280"/>
              <w:spacing w:after="0"/>
              <w:rPr>
                <w:sz w:val="20"/>
                <w:szCs w:val="20"/>
                <w:color w:val="auto"/>
              </w:rPr>
            </w:pPr>
            <w:r>
              <w:rPr>
                <w:rFonts w:ascii="Arial" w:cs="Arial" w:eastAsia="Arial" w:hAnsi="Arial"/>
                <w:sz w:val="15"/>
                <w:szCs w:val="15"/>
                <w:color w:val="auto"/>
              </w:rPr>
              <w:t>"SELB"</w:t>
            </w:r>
          </w:p>
        </w:tc>
        <w:tc>
          <w:tcPr>
            <w:tcW w:w="18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188"/>
        </w:trPr>
        <w:tc>
          <w:tcPr>
            <w:tcW w:w="720" w:type="dxa"/>
            <w:vAlign w:val="bottom"/>
          </w:tcPr>
          <w:p>
            <w:pPr>
              <w:spacing w:after="0"/>
              <w:rPr>
                <w:sz w:val="16"/>
                <w:szCs w:val="16"/>
                <w:color w:val="auto"/>
              </w:rPr>
            </w:pPr>
          </w:p>
        </w:tc>
        <w:tc>
          <w:tcPr>
            <w:tcW w:w="3340" w:type="dxa"/>
            <w:vAlign w:val="bottom"/>
            <w:gridSpan w:val="2"/>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60" w:type="dxa"/>
            <w:vAlign w:val="bottom"/>
            <w:gridSpan w:val="2"/>
          </w:tcPr>
          <w:p>
            <w:pPr>
              <w:spacing w:after="0"/>
              <w:rPr>
                <w:sz w:val="16"/>
                <w:szCs w:val="16"/>
                <w:color w:val="auto"/>
              </w:rPr>
            </w:pPr>
          </w:p>
        </w:tc>
      </w:tr>
      <w:tr>
        <w:trPr>
          <w:trHeight w:val="633"/>
        </w:trPr>
        <w:tc>
          <w:tcPr>
            <w:tcW w:w="720" w:type="dxa"/>
            <w:vAlign w:val="bottom"/>
          </w:tcPr>
          <w:p>
            <w:pPr>
              <w:spacing w:after="0"/>
              <w:rPr>
                <w:sz w:val="20"/>
                <w:szCs w:val="20"/>
                <w:color w:val="auto"/>
              </w:rPr>
            </w:pPr>
            <w:r>
              <w:rPr>
                <w:rFonts w:ascii="Arial" w:cs="Arial" w:eastAsia="Arial" w:hAnsi="Arial"/>
                <w:sz w:val="15"/>
                <w:szCs w:val="15"/>
                <w:color w:val="auto"/>
              </w:rPr>
              <w:t>The</w:t>
            </w:r>
          </w:p>
        </w:tc>
        <w:tc>
          <w:tcPr>
            <w:tcW w:w="10300" w:type="dxa"/>
            <w:vAlign w:val="bottom"/>
            <w:gridSpan w:val="5"/>
          </w:tcPr>
          <w:p>
            <w:pPr>
              <w:spacing w:after="0"/>
              <w:rPr>
                <w:sz w:val="20"/>
                <w:szCs w:val="20"/>
                <w:color w:val="auto"/>
              </w:rPr>
            </w:pPr>
            <w:r>
              <w:rPr>
                <w:rFonts w:ascii="Arial" w:cs="Arial" w:eastAsia="Arial" w:hAnsi="Arial"/>
                <w:sz w:val="15"/>
                <w:szCs w:val="15"/>
                <w:color w:val="auto"/>
                <w:w w:val="91"/>
              </w:rPr>
              <w:t>shares of our common stock to be outstanding after this offering is based on 8,505,810 shares of our common stock outstanding as of December 31, 2015, which included</w:t>
            </w:r>
          </w:p>
        </w:tc>
      </w:tr>
      <w:tr>
        <w:trPr>
          <w:trHeight w:val="185"/>
        </w:trPr>
        <w:tc>
          <w:tcPr>
            <w:tcW w:w="4060" w:type="dxa"/>
            <w:vAlign w:val="bottom"/>
            <w:gridSpan w:val="3"/>
          </w:tcPr>
          <w:p>
            <w:pPr>
              <w:spacing w:after="0"/>
              <w:rPr>
                <w:sz w:val="20"/>
                <w:szCs w:val="20"/>
                <w:color w:val="auto"/>
              </w:rPr>
            </w:pPr>
            <w:r>
              <w:rPr>
                <w:rFonts w:ascii="Arial" w:cs="Arial" w:eastAsia="Arial" w:hAnsi="Arial"/>
                <w:sz w:val="15"/>
                <w:szCs w:val="15"/>
                <w:color w:val="auto"/>
                <w:w w:val="91"/>
              </w:rPr>
              <w:t>29,540 shares of unvested restricted stock, reflects the issuance of</w:t>
            </w:r>
          </w:p>
        </w:tc>
        <w:tc>
          <w:tcPr>
            <w:tcW w:w="6960" w:type="dxa"/>
            <w:vAlign w:val="bottom"/>
            <w:gridSpan w:val="3"/>
          </w:tcPr>
          <w:p>
            <w:pPr>
              <w:ind w:left="400"/>
              <w:spacing w:after="0"/>
              <w:rPr>
                <w:sz w:val="20"/>
                <w:szCs w:val="20"/>
                <w:color w:val="auto"/>
              </w:rPr>
            </w:pPr>
            <w:r>
              <w:rPr>
                <w:rFonts w:ascii="Arial" w:cs="Arial" w:eastAsia="Arial" w:hAnsi="Arial"/>
                <w:sz w:val="15"/>
                <w:szCs w:val="15"/>
                <w:color w:val="auto"/>
                <w:w w:val="96"/>
              </w:rPr>
              <w:t>shares of common stock issued in connection with the automatic cashless exercise of warrants, or the</w:t>
            </w:r>
          </w:p>
        </w:tc>
      </w:tr>
      <w:tr>
        <w:trPr>
          <w:trHeight w:val="185"/>
        </w:trPr>
        <w:tc>
          <w:tcPr>
            <w:tcW w:w="2240" w:type="dxa"/>
            <w:vAlign w:val="bottom"/>
            <w:gridSpan w:val="2"/>
          </w:tcPr>
          <w:p>
            <w:pPr>
              <w:spacing w:after="0"/>
              <w:rPr>
                <w:sz w:val="20"/>
                <w:szCs w:val="20"/>
                <w:color w:val="auto"/>
              </w:rPr>
            </w:pPr>
            <w:r>
              <w:rPr>
                <w:rFonts w:ascii="Arial" w:cs="Arial" w:eastAsia="Arial" w:hAnsi="Arial"/>
                <w:sz w:val="15"/>
                <w:szCs w:val="15"/>
                <w:color w:val="auto"/>
              </w:rPr>
              <w:t>Series E Common Warrants, on</w:t>
            </w:r>
          </w:p>
        </w:tc>
        <w:tc>
          <w:tcPr>
            <w:tcW w:w="5640" w:type="dxa"/>
            <w:vAlign w:val="bottom"/>
            <w:gridSpan w:val="3"/>
          </w:tcPr>
          <w:p>
            <w:pPr>
              <w:ind w:left="400"/>
              <w:spacing w:after="0"/>
              <w:rPr>
                <w:sz w:val="20"/>
                <w:szCs w:val="20"/>
                <w:color w:val="auto"/>
              </w:rPr>
            </w:pPr>
            <w:r>
              <w:rPr>
                <w:rFonts w:ascii="Arial" w:cs="Arial" w:eastAsia="Arial" w:hAnsi="Arial"/>
                <w:sz w:val="15"/>
                <w:szCs w:val="15"/>
                <w:color w:val="auto"/>
                <w:w w:val="98"/>
              </w:rPr>
              <w:t>, 2016, and gives effect to the conversion of our outstanding preferred stock into</w:t>
            </w:r>
          </w:p>
        </w:tc>
        <w:tc>
          <w:tcPr>
            <w:tcW w:w="3140" w:type="dxa"/>
            <w:vAlign w:val="bottom"/>
          </w:tcPr>
          <w:p>
            <w:pPr>
              <w:ind w:left="80"/>
              <w:spacing w:after="0"/>
              <w:rPr>
                <w:sz w:val="20"/>
                <w:szCs w:val="20"/>
                <w:color w:val="auto"/>
              </w:rPr>
            </w:pPr>
            <w:r>
              <w:rPr>
                <w:rFonts w:ascii="Arial" w:cs="Arial" w:eastAsia="Arial" w:hAnsi="Arial"/>
                <w:sz w:val="15"/>
                <w:szCs w:val="15"/>
                <w:color w:val="auto"/>
                <w:w w:val="95"/>
              </w:rPr>
              <w:t>shares of common stock, based on an assumed</w:t>
            </w:r>
          </w:p>
        </w:tc>
      </w:tr>
      <w:tr>
        <w:trPr>
          <w:trHeight w:val="190"/>
        </w:trPr>
        <w:tc>
          <w:tcPr>
            <w:tcW w:w="2240" w:type="dxa"/>
            <w:vAlign w:val="bottom"/>
            <w:gridSpan w:val="2"/>
          </w:tcPr>
          <w:p>
            <w:pPr>
              <w:spacing w:after="0"/>
              <w:rPr>
                <w:sz w:val="20"/>
                <w:szCs w:val="20"/>
                <w:color w:val="auto"/>
              </w:rPr>
            </w:pPr>
            <w:r>
              <w:rPr>
                <w:rFonts w:ascii="Arial" w:cs="Arial" w:eastAsia="Arial" w:hAnsi="Arial"/>
                <w:sz w:val="15"/>
                <w:szCs w:val="15"/>
                <w:color w:val="auto"/>
              </w:rPr>
              <w:t>initial public offering price of $</w:t>
            </w:r>
          </w:p>
        </w:tc>
        <w:tc>
          <w:tcPr>
            <w:tcW w:w="8780" w:type="dxa"/>
            <w:vAlign w:val="bottom"/>
            <w:gridSpan w:val="4"/>
          </w:tcPr>
          <w:p>
            <w:pPr>
              <w:ind w:left="140"/>
              <w:spacing w:after="0"/>
              <w:rPr>
                <w:sz w:val="20"/>
                <w:szCs w:val="20"/>
                <w:color w:val="auto"/>
              </w:rPr>
            </w:pPr>
            <w:r>
              <w:rPr>
                <w:rFonts w:ascii="Arial" w:cs="Arial" w:eastAsia="Arial" w:hAnsi="Arial"/>
                <w:sz w:val="15"/>
                <w:szCs w:val="15"/>
                <w:color w:val="auto"/>
              </w:rPr>
              <w:t>per share, the midpoint of the price range set forth on the cover of this prospectus, upon the closing of this offering, and excludes:</w:t>
            </w:r>
          </w:p>
        </w:tc>
      </w:tr>
    </w:tbl>
    <w:p>
      <w:pPr>
        <w:spacing w:after="0" w:line="204" w:lineRule="exact"/>
        <w:rPr>
          <w:sz w:val="20"/>
          <w:szCs w:val="20"/>
          <w:color w:val="auto"/>
        </w:rPr>
      </w:pPr>
    </w:p>
    <w:p>
      <w:pPr>
        <w:ind w:left="660" w:hanging="467"/>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3"/>
          <w:szCs w:val="13"/>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 and</w:t>
      </w:r>
    </w:p>
    <w:p>
      <w:pPr>
        <w:spacing w:after="0" w:line="221" w:lineRule="exact"/>
        <w:rPr>
          <w:rFonts w:ascii="Arial" w:cs="Arial" w:eastAsia="Arial" w:hAnsi="Arial"/>
          <w:sz w:val="15"/>
          <w:szCs w:val="15"/>
          <w:color w:val="auto"/>
        </w:rPr>
      </w:pPr>
    </w:p>
    <w:p>
      <w:pPr>
        <w:ind w:left="1140" w:hanging="947"/>
        <w:spacing w:after="0"/>
        <w:tabs>
          <w:tab w:leader="none" w:pos="11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2016 Incentive Award Plan, which will become effective upon the closing of this offering, as well</w:t>
      </w:r>
    </w:p>
    <w:p>
      <w:pPr>
        <w:spacing w:after="0" w:line="41" w:lineRule="exact"/>
        <w:rPr>
          <w:sz w:val="20"/>
          <w:szCs w:val="20"/>
          <w:color w:val="auto"/>
        </w:rPr>
      </w:pPr>
    </w:p>
    <w:p>
      <w:pPr>
        <w:ind w:left="660" w:right="100"/>
        <w:spacing w:after="0" w:line="275" w:lineRule="auto"/>
        <w:rPr>
          <w:sz w:val="20"/>
          <w:szCs w:val="20"/>
          <w:color w:val="auto"/>
        </w:rPr>
      </w:pPr>
      <w:r>
        <w:rPr>
          <w:rFonts w:ascii="Arial" w:cs="Arial" w:eastAsia="Arial" w:hAnsi="Arial"/>
          <w:sz w:val="15"/>
          <w:szCs w:val="15"/>
          <w:color w:val="auto"/>
        </w:rPr>
        <w:t>as shares of our common stock that become available pursuant to provisions in our 2016 Incentive Award Plan on January 1 of each subsequent calendar year as described in "Executive and director compensation—Long-term incentive plans—2016 Incentive Award Plan."</w:t>
      </w: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2917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291782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ectPr>
          <w:pgSz w:w="11900" w:h="16838" w:orient="portrait"/>
          <w:cols w:equalWidth="0" w:num="1">
            <w:col w:w="11440"/>
          </w:cols>
          <w:pgMar w:left="240" w:top="132" w:right="21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-for-</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reverse stock split of our common stock, which will become effective prior to the effectiveness of the registration statement of which</w:t>
      </w:r>
    </w:p>
    <w:p>
      <w:pPr>
        <w:spacing w:after="0" w:line="390" w:lineRule="exact"/>
        <w:rPr>
          <w:sz w:val="20"/>
          <w:szCs w:val="20"/>
          <w:color w:val="auto"/>
        </w:rPr>
      </w:pPr>
    </w:p>
    <w:p>
      <w:pPr>
        <w:sectPr>
          <w:pgSz w:w="11900" w:h="16838" w:orient="portrait"/>
          <w:cols w:equalWidth="0" w:num="3">
            <w:col w:w="240" w:space="420"/>
            <w:col w:w="1700" w:space="700"/>
            <w:col w:w="8380"/>
          </w:cols>
          <w:pgMar w:left="240" w:top="132" w:right="219" w:bottom="1440" w:gutter="0" w:footer="0" w:header="0"/>
          <w:type w:val="continuous"/>
        </w:sectPr>
      </w:pPr>
    </w:p>
    <w:p>
      <w:pPr>
        <w:spacing w:after="0" w:line="28" w:lineRule="exact"/>
        <w:rPr>
          <w:sz w:val="20"/>
          <w:szCs w:val="20"/>
          <w:color w:val="auto"/>
        </w:rPr>
      </w:pPr>
    </w:p>
    <w:p>
      <w:pPr>
        <w:ind w:left="660" w:hanging="467"/>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into common stock upon closing of this offering, which, based on an assumed initial public offering</w:t>
      </w:r>
    </w:p>
    <w:p>
      <w:pPr>
        <w:sectPr>
          <w:pgSz w:w="11900" w:h="16838" w:orient="portrait"/>
          <w:cols w:equalWidth="0" w:num="1">
            <w:col w:w="11440"/>
          </w:cols>
          <w:pgMar w:left="240" w:top="132" w:right="219" w:bottom="1440" w:gutter="0" w:footer="0" w:header="0"/>
          <w:type w:val="continuous"/>
        </w:sectPr>
      </w:pPr>
    </w:p>
    <w:p>
      <w:pPr>
        <w:spacing w:after="0" w:line="41" w:lineRule="exact"/>
        <w:rPr>
          <w:sz w:val="20"/>
          <w:szCs w:val="20"/>
          <w:color w:val="auto"/>
        </w:rPr>
      </w:pPr>
    </w:p>
    <w:p>
      <w:pPr>
        <w:ind w:left="660" w:right="500"/>
        <w:spacing w:after="0" w:line="257" w:lineRule="auto"/>
        <w:rPr>
          <w:sz w:val="20"/>
          <w:szCs w:val="20"/>
          <w:color w:val="auto"/>
        </w:rPr>
      </w:pPr>
      <w:r>
        <w:rPr>
          <w:rFonts w:ascii="Arial" w:cs="Arial" w:eastAsia="Arial" w:hAnsi="Arial"/>
          <w:sz w:val="15"/>
          <w:szCs w:val="15"/>
          <w:color w:val="auto"/>
        </w:rPr>
        <w:t>price of $ per share, the midpoint of the price range set forth on the cover of this prospectus, would result in the issuance of shares of our common stock;</w:t>
      </w:r>
    </w:p>
    <w:p>
      <w:pPr>
        <w:sectPr>
          <w:pgSz w:w="11900" w:h="16838" w:orient="portrait"/>
          <w:cols w:equalWidth="0" w:num="1">
            <w:col w:w="11440"/>
          </w:cols>
          <w:pgMar w:left="240" w:top="132" w:right="219" w:bottom="1440" w:gutter="0" w:footer="0" w:header="0"/>
          <w:type w:val="continuous"/>
        </w:sectPr>
      </w:pPr>
    </w:p>
    <w:p>
      <w:pPr>
        <w:spacing w:after="0" w:line="378" w:lineRule="exact"/>
        <w:rPr>
          <w:sz w:val="20"/>
          <w:szCs w:val="20"/>
          <w:color w:val="auto"/>
        </w:rPr>
      </w:pPr>
    </w:p>
    <w:p>
      <w:pPr>
        <w:ind w:left="660" w:right="320" w:hanging="467"/>
        <w:spacing w:after="0" w:line="282"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outstanding warrants to purchase shares of our Series D redeemable convertible preferred stock, or Series D Preferred Stock, becoming warrants to purchase 69,768 shares of our common stock, at a weighted average exercise price of $4.30 per share of common stock, upon the closing of this offering;</w:t>
      </w:r>
    </w:p>
    <w:p>
      <w:pPr>
        <w:sectPr>
          <w:pgSz w:w="11900" w:h="16838" w:orient="portrait"/>
          <w:cols w:equalWidth="0" w:num="1">
            <w:col w:w="11440"/>
          </w:cols>
          <w:pgMar w:left="240" w:top="132" w:right="219" w:bottom="1440" w:gutter="0" w:footer="0" w:header="0"/>
          <w:type w:val="continuous"/>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outstanding warrants to purchase shares of our Series E redeemable convertible preferred stock, or Series E Preferred Stock, becoming warrants to purchase our common stock, at a weighted average exercise price of $ per share of common stock, upon the closing of this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shares of</w:t>
      </w:r>
    </w:p>
    <w:p>
      <w:pPr>
        <w:spacing w:after="0" w:line="418" w:lineRule="exact"/>
        <w:rPr>
          <w:sz w:val="20"/>
          <w:szCs w:val="20"/>
          <w:color w:val="auto"/>
        </w:rPr>
      </w:pPr>
    </w:p>
    <w:p>
      <w:pPr>
        <w:sectPr>
          <w:pgSz w:w="11900" w:h="16838" w:orient="portrait"/>
          <w:cols w:equalWidth="0" w:num="3">
            <w:col w:w="240" w:space="420"/>
            <w:col w:w="9400" w:space="480"/>
            <w:col w:w="900"/>
          </w:cols>
          <w:pgMar w:left="240" w:top="132" w:right="219" w:bottom="1440" w:gutter="0" w:footer="0" w:header="0"/>
          <w:type w:val="continuous"/>
        </w:sectPr>
      </w:pPr>
    </w:p>
    <w:p>
      <w:pPr>
        <w:ind w:left="660" w:hanging="467"/>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exercise of options or warrants outstanding as of December 31, 2015 after that date, except for the automatic cashless exercise of the Series E Common Warrants;</w:t>
      </w:r>
    </w:p>
    <w:p>
      <w:pPr>
        <w:spacing w:after="0" w:line="221" w:lineRule="exact"/>
        <w:rPr>
          <w:rFonts w:ascii="Arial" w:cs="Arial" w:eastAsia="Arial" w:hAnsi="Arial"/>
          <w:sz w:val="14"/>
          <w:szCs w:val="14"/>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3" w:name="page14"/>
    <w:bookmarkEnd w:id="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646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5646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3" w:lineRule="exact"/>
        <w:rPr>
          <w:sz w:val="20"/>
          <w:szCs w:val="20"/>
          <w:color w:val="auto"/>
        </w:rPr>
      </w:pPr>
    </w:p>
    <w:p>
      <w:pPr>
        <w:ind w:left="200" w:right="100"/>
        <w:spacing w:after="0" w:line="263" w:lineRule="auto"/>
        <w:rPr>
          <w:sz w:val="20"/>
          <w:szCs w:val="20"/>
          <w:color w:val="auto"/>
        </w:rPr>
      </w:pPr>
      <w:r>
        <w:rPr>
          <w:rFonts w:ascii="Arial" w:cs="Arial" w:eastAsia="Arial" w:hAnsi="Arial"/>
          <w:sz w:val="15"/>
          <w:szCs w:val="15"/>
          <w:color w:val="auto"/>
        </w:rPr>
        <w:t>The following tables set forth, for the periods and as of the dates indicated, our summary consolidated financial data. You should read the following information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 The consolidated operations data and the consolidated balance sheet data for the years ended and as of December 31, 2014 and 2015 have been derived from our audited condensed consolidated financial statements appearing at the end of this prospectus. Our historical results are not necessarily indicative of the results that should be expected in the future.</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rPr>
              <w:t>Years ended December 31,</w:t>
            </w:r>
          </w:p>
        </w:tc>
      </w:tr>
      <w:tr>
        <w:trPr>
          <w:trHeight w:val="154"/>
        </w:trPr>
        <w:tc>
          <w:tcPr>
            <w:tcW w:w="90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08"/>
        </w:trPr>
        <w:tc>
          <w:tcPr>
            <w:tcW w:w="900" w:type="dxa"/>
            <w:vAlign w:val="bottom"/>
          </w:tcPr>
          <w:p>
            <w:pPr>
              <w:spacing w:after="0"/>
              <w:rPr>
                <w:sz w:val="9"/>
                <w:szCs w:val="9"/>
                <w:color w:val="auto"/>
              </w:rPr>
            </w:pPr>
          </w:p>
        </w:tc>
        <w:tc>
          <w:tcPr>
            <w:tcW w:w="5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tcPr>
          <w:p>
            <w:pPr>
              <w:jc w:val="center"/>
              <w:ind w:right="6"/>
              <w:spacing w:after="0" w:line="109" w:lineRule="exact"/>
              <w:rPr>
                <w:sz w:val="20"/>
                <w:szCs w:val="20"/>
                <w:color w:val="auto"/>
              </w:rPr>
            </w:pPr>
            <w:r>
              <w:rPr>
                <w:rFonts w:ascii="Arial" w:cs="Arial" w:eastAsia="Arial" w:hAnsi="Arial"/>
                <w:sz w:val="12"/>
                <w:szCs w:val="12"/>
                <w:b w:val="1"/>
                <w:bCs w:val="1"/>
                <w:color w:val="auto"/>
                <w:w w:val="84"/>
              </w:rPr>
              <w:t>(in thousands, except share and per</w:t>
            </w:r>
          </w:p>
        </w:tc>
        <w:tc>
          <w:tcPr>
            <w:tcW w:w="140" w:type="dxa"/>
            <w:vAlign w:val="bottom"/>
          </w:tcPr>
          <w:p>
            <w:pPr>
              <w:spacing w:after="0"/>
              <w:rPr>
                <w:sz w:val="9"/>
                <w:szCs w:val="9"/>
                <w:color w:val="auto"/>
              </w:rPr>
            </w:pPr>
          </w:p>
        </w:tc>
      </w:tr>
      <w:tr>
        <w:trPr>
          <w:trHeight w:val="138"/>
        </w:trPr>
        <w:tc>
          <w:tcPr>
            <w:tcW w:w="9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left="528"/>
              <w:spacing w:after="0"/>
              <w:rPr>
                <w:sz w:val="20"/>
                <w:szCs w:val="20"/>
                <w:color w:val="auto"/>
              </w:rPr>
            </w:pPr>
            <w:r>
              <w:rPr>
                <w:rFonts w:ascii="Arial" w:cs="Arial" w:eastAsia="Arial" w:hAnsi="Arial"/>
                <w:sz w:val="12"/>
                <w:szCs w:val="12"/>
                <w:b w:val="1"/>
                <w:bCs w:val="1"/>
                <w:color w:val="auto"/>
                <w:w w:val="87"/>
              </w:rPr>
              <w:t>share data)</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General and administrative</w:t>
            </w: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5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1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177"/>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Investment income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6"/>
                <w:szCs w:val="16"/>
                <w:color w:val="auto"/>
              </w:rPr>
            </w:pP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shd w:val="clear" w:color="auto" w:fill="CCEEFF"/>
          </w:tcPr>
          <w:p>
            <w:pPr>
              <w:spacing w:after="0"/>
              <w:rPr>
                <w:sz w:val="16"/>
                <w:szCs w:val="16"/>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w:t>
            </w:r>
          </w:p>
        </w:tc>
      </w:tr>
      <w:tr>
        <w:trPr>
          <w:trHeight w:val="177"/>
        </w:trPr>
        <w:tc>
          <w:tcPr>
            <w:tcW w:w="6160" w:type="dxa"/>
            <w:vAlign w:val="bottom"/>
            <w:gridSpan w:val="2"/>
          </w:tcPr>
          <w:p>
            <w:pPr>
              <w:ind w:left="460"/>
              <w:spacing w:after="0"/>
              <w:rPr>
                <w:sz w:val="20"/>
                <w:szCs w:val="20"/>
                <w:color w:val="auto"/>
              </w:rPr>
            </w:pPr>
            <w:r>
              <w:rPr>
                <w:rFonts w:ascii="Arial" w:cs="Arial" w:eastAsia="Arial" w:hAnsi="Arial"/>
                <w:sz w:val="15"/>
                <w:szCs w:val="15"/>
                <w:color w:val="auto"/>
              </w:rPr>
              <w:t>Total other income, net</w:t>
            </w:r>
          </w:p>
        </w:tc>
        <w:tc>
          <w:tcPr>
            <w:tcW w:w="5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5"/>
                <w:szCs w:val="15"/>
                <w:color w:val="auto"/>
              </w:rPr>
            </w:pPr>
          </w:p>
        </w:tc>
      </w:tr>
      <w:tr>
        <w:trPr>
          <w:trHeight w:val="177"/>
        </w:trPr>
        <w:tc>
          <w:tcPr>
            <w:tcW w:w="6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85"/>
        </w:trPr>
        <w:tc>
          <w:tcPr>
            <w:tcW w:w="6160" w:type="dxa"/>
            <w:vAlign w:val="bottom"/>
            <w:gridSpan w:val="2"/>
          </w:tcPr>
          <w:p>
            <w:pPr>
              <w:ind w:left="320"/>
              <w:spacing w:after="0"/>
              <w:rPr>
                <w:sz w:val="20"/>
                <w:szCs w:val="20"/>
                <w:color w:val="auto"/>
              </w:rPr>
            </w:pPr>
            <w:r>
              <w:rPr>
                <w:rFonts w:ascii="Arial" w:cs="Arial" w:eastAsia="Arial" w:hAnsi="Arial"/>
                <w:sz w:val="15"/>
                <w:szCs w:val="15"/>
                <w:color w:val="auto"/>
              </w:rPr>
              <w:t>Accretion of redeemable convertible preferred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1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1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5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32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8,386,644</w:t>
            </w: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(unaudited)(1)(2)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ind w:right="125"/>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1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w w:val="99"/>
              </w:rPr>
              <w:t>Pro forma weighted average common shares of common stock outstanding (unaudited)(1)(2)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1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00" w:type="dxa"/>
            <w:vAlign w:val="bottom"/>
            <w:tcBorders>
              <w:bottom w:val="single" w:sz="8" w:color="auto"/>
            </w:tcBorders>
          </w:tcPr>
          <w:p>
            <w:pPr>
              <w:spacing w:after="0"/>
              <w:rPr>
                <w:sz w:val="5"/>
                <w:szCs w:val="5"/>
                <w:color w:val="auto"/>
              </w:rPr>
            </w:pPr>
          </w:p>
        </w:tc>
        <w:tc>
          <w:tcPr>
            <w:tcW w:w="5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120" w:hanging="463"/>
        <w:spacing w:after="0" w:line="238" w:lineRule="auto"/>
        <w:tabs>
          <w:tab w:leader="none" w:pos="1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760" w:hanging="463"/>
        <w:spacing w:after="0"/>
        <w:tabs>
          <w:tab w:leader="none" w:pos="1760" w:val="left"/>
        </w:tabs>
        <w:numPr>
          <w:ilvl w:val="0"/>
          <w:numId w:val="14"/>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w:t>
      </w:r>
    </w:p>
    <w:p>
      <w:pPr>
        <w:spacing w:after="0" w:line="22" w:lineRule="exact"/>
        <w:rPr>
          <w:sz w:val="20"/>
          <w:szCs w:val="20"/>
          <w:color w:val="auto"/>
        </w:rPr>
      </w:pPr>
    </w:p>
    <w:p>
      <w:pPr>
        <w:ind w:left="1760"/>
        <w:spacing w:after="0"/>
        <w:tabs>
          <w:tab w:leader="none" w:pos="6180" w:val="left"/>
        </w:tabs>
        <w:rPr>
          <w:sz w:val="20"/>
          <w:szCs w:val="20"/>
          <w:color w:val="auto"/>
        </w:rPr>
      </w:pPr>
      <w:r>
        <w:rPr>
          <w:rFonts w:ascii="Arial" w:cs="Arial" w:eastAsia="Arial" w:hAnsi="Arial"/>
          <w:sz w:val="12"/>
          <w:szCs w:val="12"/>
          <w:color w:val="auto"/>
        </w:rPr>
        <w:t>upon closing of this offering, which, based on an assumed initial public offering price of $</w:t>
      </w:r>
      <w:r>
        <w:rPr>
          <w:sz w:val="20"/>
          <w:szCs w:val="20"/>
          <w:color w:val="auto"/>
        </w:rPr>
        <w:tab/>
      </w:r>
      <w:r>
        <w:rPr>
          <w:rFonts w:ascii="Arial" w:cs="Arial" w:eastAsia="Arial" w:hAnsi="Arial"/>
          <w:sz w:val="10"/>
          <w:szCs w:val="10"/>
          <w:color w:val="auto"/>
        </w:rPr>
        <w:t>per share, the midpoint of the price range set forth on the cover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132" w:right="45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307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430784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760" w:right="320"/>
        <w:spacing w:after="0" w:line="276" w:lineRule="auto"/>
        <w:rPr>
          <w:sz w:val="20"/>
          <w:szCs w:val="20"/>
          <w:color w:val="auto"/>
        </w:rPr>
      </w:pPr>
      <w:r>
        <w:rPr>
          <w:rFonts w:ascii="Arial" w:cs="Arial" w:eastAsia="Arial" w:hAnsi="Arial"/>
          <w:sz w:val="10"/>
          <w:szCs w:val="10"/>
          <w:color w:val="auto"/>
        </w:rPr>
        <w:t>of this prospectus, would result in the issuance of shares of our common stock, (ii) outstanding warrants to purchase Series D Preferred Stock becoming warrants to purchase 69,768 shares of our common stock, at a weighted average exercise price of $4.30 per share of common stock, upon the closing of this offering, (iii) outstanding warrants to purchase Series E Preferred Stock becoming</w:t>
      </w:r>
    </w:p>
    <w:tbl>
      <w:tblPr>
        <w:tblLayout w:type="fixed"/>
        <w:tblInd w:w="200" w:type="dxa"/>
        <w:tblCellMar>
          <w:top w:w="0" w:type="dxa"/>
          <w:left w:w="0" w:type="dxa"/>
          <w:bottom w:w="0" w:type="dxa"/>
          <w:right w:w="0" w:type="dxa"/>
        </w:tblCellMar>
      </w:tblPr>
      <w:tr>
        <w:trPr>
          <w:trHeight w:val="118"/>
        </w:trPr>
        <w:tc>
          <w:tcPr>
            <w:tcW w:w="1100" w:type="dxa"/>
            <w:vAlign w:val="bottom"/>
          </w:tcPr>
          <w:p>
            <w:pPr>
              <w:spacing w:after="0"/>
              <w:rPr>
                <w:sz w:val="10"/>
                <w:szCs w:val="10"/>
                <w:color w:val="auto"/>
              </w:rPr>
            </w:pPr>
          </w:p>
        </w:tc>
        <w:tc>
          <w:tcPr>
            <w:tcW w:w="1700" w:type="dxa"/>
            <w:vAlign w:val="bottom"/>
            <w:gridSpan w:val="2"/>
          </w:tcPr>
          <w:p>
            <w:pPr>
              <w:ind w:left="460"/>
              <w:spacing w:after="0" w:line="118" w:lineRule="exact"/>
              <w:rPr>
                <w:sz w:val="20"/>
                <w:szCs w:val="20"/>
                <w:color w:val="auto"/>
              </w:rPr>
            </w:pPr>
            <w:r>
              <w:rPr>
                <w:rFonts w:ascii="Arial" w:cs="Arial" w:eastAsia="Arial" w:hAnsi="Arial"/>
                <w:sz w:val="12"/>
                <w:szCs w:val="12"/>
                <w:color w:val="auto"/>
              </w:rPr>
              <w:t>warrants to purchase</w:t>
            </w:r>
          </w:p>
        </w:tc>
        <w:tc>
          <w:tcPr>
            <w:tcW w:w="3480" w:type="dxa"/>
            <w:vAlign w:val="bottom"/>
            <w:gridSpan w:val="2"/>
          </w:tcPr>
          <w:p>
            <w:pPr>
              <w:ind w:left="100"/>
              <w:spacing w:after="0" w:line="118" w:lineRule="exact"/>
              <w:rPr>
                <w:sz w:val="20"/>
                <w:szCs w:val="20"/>
                <w:color w:val="auto"/>
              </w:rPr>
            </w:pPr>
            <w:r>
              <w:rPr>
                <w:rFonts w:ascii="Arial" w:cs="Arial" w:eastAsia="Arial" w:hAnsi="Arial"/>
                <w:sz w:val="12"/>
                <w:szCs w:val="12"/>
                <w:color w:val="auto"/>
                <w:w w:val="89"/>
              </w:rPr>
              <w:t>shares of our common stock, at a weighted average exercise price of $</w:t>
            </w:r>
          </w:p>
        </w:tc>
        <w:tc>
          <w:tcPr>
            <w:tcW w:w="4380" w:type="dxa"/>
            <w:vAlign w:val="bottom"/>
            <w:gridSpan w:val="7"/>
          </w:tcPr>
          <w:p>
            <w:pPr>
              <w:ind w:left="120"/>
              <w:spacing w:after="0" w:line="118" w:lineRule="exact"/>
              <w:rPr>
                <w:sz w:val="20"/>
                <w:szCs w:val="20"/>
                <w:color w:val="auto"/>
              </w:rPr>
            </w:pPr>
            <w:r>
              <w:rPr>
                <w:rFonts w:ascii="Arial" w:cs="Arial" w:eastAsia="Arial" w:hAnsi="Arial"/>
                <w:sz w:val="12"/>
                <w:szCs w:val="12"/>
                <w:color w:val="auto"/>
                <w:w w:val="87"/>
              </w:rPr>
              <w:t>per share of common stock, upon the closing of this offering and (iv) the automatic cashless</w:t>
            </w:r>
          </w:p>
        </w:tc>
      </w:tr>
      <w:tr>
        <w:trPr>
          <w:trHeight w:val="147"/>
        </w:trPr>
        <w:tc>
          <w:tcPr>
            <w:tcW w:w="1100" w:type="dxa"/>
            <w:vAlign w:val="bottom"/>
          </w:tcPr>
          <w:p>
            <w:pPr>
              <w:spacing w:after="0"/>
              <w:rPr>
                <w:sz w:val="12"/>
                <w:szCs w:val="12"/>
                <w:color w:val="auto"/>
              </w:rPr>
            </w:pPr>
          </w:p>
        </w:tc>
        <w:tc>
          <w:tcPr>
            <w:tcW w:w="2800" w:type="dxa"/>
            <w:vAlign w:val="bottom"/>
            <w:gridSpan w:val="3"/>
          </w:tcPr>
          <w:p>
            <w:pPr>
              <w:ind w:left="460"/>
              <w:spacing w:after="0"/>
              <w:rPr>
                <w:sz w:val="20"/>
                <w:szCs w:val="20"/>
                <w:color w:val="auto"/>
              </w:rPr>
            </w:pPr>
            <w:r>
              <w:rPr>
                <w:rFonts w:ascii="Arial" w:cs="Arial" w:eastAsia="Arial" w:hAnsi="Arial"/>
                <w:sz w:val="12"/>
                <w:szCs w:val="12"/>
                <w:color w:val="auto"/>
                <w:w w:val="93"/>
              </w:rPr>
              <w:t>exercise of the Series E Common Warrants for</w:t>
            </w:r>
          </w:p>
        </w:tc>
        <w:tc>
          <w:tcPr>
            <w:tcW w:w="2380" w:type="dxa"/>
            <w:vAlign w:val="bottom"/>
          </w:tcPr>
          <w:p>
            <w:pPr>
              <w:ind w:left="200"/>
              <w:spacing w:after="0"/>
              <w:rPr>
                <w:sz w:val="20"/>
                <w:szCs w:val="20"/>
                <w:color w:val="auto"/>
              </w:rPr>
            </w:pPr>
            <w:r>
              <w:rPr>
                <w:rFonts w:ascii="Arial" w:cs="Arial" w:eastAsia="Arial" w:hAnsi="Arial"/>
                <w:sz w:val="12"/>
                <w:szCs w:val="12"/>
                <w:color w:val="auto"/>
              </w:rPr>
              <w:t>shares of our common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357"/>
        </w:trPr>
        <w:tc>
          <w:tcPr>
            <w:tcW w:w="2800" w:type="dxa"/>
            <w:vAlign w:val="bottom"/>
            <w:gridSpan w:val="3"/>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0"/>
        </w:trPr>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ind w:left="520"/>
              <w:spacing w:after="0"/>
              <w:rPr>
                <w:sz w:val="20"/>
                <w:szCs w:val="20"/>
                <w:color w:val="auto"/>
              </w:rPr>
            </w:pPr>
            <w:r>
              <w:rPr>
                <w:rFonts w:ascii="Arial" w:cs="Arial" w:eastAsia="Arial" w:hAnsi="Arial"/>
                <w:sz w:val="12"/>
                <w:szCs w:val="12"/>
                <w:b w:val="1"/>
                <w:bCs w:val="1"/>
                <w:color w:val="auto"/>
              </w:rPr>
              <w:t>As of December 31, 2015</w:t>
            </w:r>
          </w:p>
        </w:tc>
      </w:tr>
      <w:tr>
        <w:trPr>
          <w:trHeight w:val="121"/>
        </w:trPr>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left="29"/>
              <w:spacing w:after="0" w:line="121" w:lineRule="exact"/>
              <w:rPr>
                <w:sz w:val="20"/>
                <w:szCs w:val="20"/>
                <w:color w:val="auto"/>
              </w:rPr>
            </w:pPr>
            <w:r>
              <w:rPr>
                <w:rFonts w:ascii="Arial" w:cs="Arial" w:eastAsia="Arial" w:hAnsi="Arial"/>
                <w:sz w:val="12"/>
                <w:szCs w:val="12"/>
                <w:b w:val="1"/>
                <w:bCs w:val="1"/>
                <w:color w:val="auto"/>
              </w:rPr>
              <w:t>Pro forma as</w:t>
            </w:r>
          </w:p>
        </w:tc>
        <w:tc>
          <w:tcPr>
            <w:tcW w:w="880" w:type="dxa"/>
            <w:vAlign w:val="bottom"/>
            <w:gridSpan w:val="2"/>
          </w:tcPr>
          <w:p>
            <w:pPr>
              <w:spacing w:after="0"/>
              <w:rPr>
                <w:sz w:val="10"/>
                <w:szCs w:val="10"/>
                <w:color w:val="auto"/>
              </w:rPr>
            </w:pPr>
          </w:p>
        </w:tc>
      </w:tr>
      <w:tr>
        <w:trPr>
          <w:trHeight w:val="167"/>
        </w:trPr>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2"/>
                <w:szCs w:val="12"/>
                <w:b w:val="1"/>
                <w:bCs w:val="1"/>
                <w:color w:val="auto"/>
              </w:rPr>
              <w:t>Actual</w:t>
            </w:r>
          </w:p>
        </w:tc>
        <w:tc>
          <w:tcPr>
            <w:tcW w:w="940" w:type="dxa"/>
            <w:vAlign w:val="bottom"/>
          </w:tcPr>
          <w:p>
            <w:pPr>
              <w:jc w:val="right"/>
              <w:ind w:right="50"/>
              <w:spacing w:after="0"/>
              <w:rPr>
                <w:sz w:val="20"/>
                <w:szCs w:val="20"/>
                <w:color w:val="auto"/>
              </w:rPr>
            </w:pPr>
            <w:r>
              <w:rPr>
                <w:rFonts w:ascii="Arial" w:cs="Arial" w:eastAsia="Arial" w:hAnsi="Arial"/>
                <w:sz w:val="12"/>
                <w:szCs w:val="12"/>
                <w:b w:val="1"/>
                <w:bCs w:val="1"/>
                <w:color w:val="auto"/>
              </w:rPr>
              <w:t>Pro forma(1)</w:t>
            </w:r>
          </w:p>
        </w:tc>
        <w:tc>
          <w:tcPr>
            <w:tcW w:w="1820" w:type="dxa"/>
            <w:vAlign w:val="bottom"/>
            <w:gridSpan w:val="3"/>
          </w:tcPr>
          <w:p>
            <w:pPr>
              <w:jc w:val="center"/>
              <w:ind w:right="840"/>
              <w:spacing w:after="0"/>
              <w:rPr>
                <w:sz w:val="20"/>
                <w:szCs w:val="20"/>
                <w:color w:val="auto"/>
              </w:rPr>
            </w:pPr>
            <w:r>
              <w:rPr>
                <w:rFonts w:ascii="Arial" w:cs="Arial" w:eastAsia="Arial" w:hAnsi="Arial"/>
                <w:sz w:val="12"/>
                <w:szCs w:val="12"/>
                <w:b w:val="1"/>
                <w:bCs w:val="1"/>
                <w:color w:val="auto"/>
              </w:rPr>
              <w:t>adjusted(2)</w:t>
            </w:r>
          </w:p>
        </w:tc>
      </w:tr>
      <w:tr>
        <w:trPr>
          <w:trHeight w:val="113"/>
        </w:trPr>
        <w:tc>
          <w:tcPr>
            <w:tcW w:w="1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10"/>
              <w:spacing w:after="0" w:line="113" w:lineRule="exact"/>
              <w:rPr>
                <w:sz w:val="20"/>
                <w:szCs w:val="20"/>
                <w:color w:val="auto"/>
              </w:rPr>
            </w:pPr>
            <w:r>
              <w:rPr>
                <w:rFonts w:ascii="Arial" w:cs="Arial" w:eastAsia="Arial" w:hAnsi="Arial"/>
                <w:sz w:val="12"/>
                <w:szCs w:val="12"/>
                <w:b w:val="1"/>
                <w:bCs w:val="1"/>
                <w:color w:val="auto"/>
              </w:rPr>
              <w:t>(in thousands)</w:t>
            </w: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38"/>
        </w:trPr>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110"/>
              <w:spacing w:after="0"/>
              <w:rPr>
                <w:sz w:val="20"/>
                <w:szCs w:val="20"/>
                <w:color w:val="auto"/>
              </w:rPr>
            </w:pPr>
            <w:r>
              <w:rPr>
                <w:rFonts w:ascii="Arial" w:cs="Arial" w:eastAsia="Arial" w:hAnsi="Arial"/>
                <w:sz w:val="12"/>
                <w:szCs w:val="12"/>
                <w:b w:val="1"/>
                <w:bCs w:val="1"/>
                <w:color w:val="auto"/>
              </w:rPr>
              <w:t>(unaudited)</w:t>
            </w:r>
          </w:p>
        </w:tc>
        <w:tc>
          <w:tcPr>
            <w:tcW w:w="1820" w:type="dxa"/>
            <w:vAlign w:val="bottom"/>
            <w:gridSpan w:val="3"/>
          </w:tcPr>
          <w:p>
            <w:pPr>
              <w:jc w:val="center"/>
              <w:ind w:right="800"/>
              <w:spacing w:after="0"/>
              <w:rPr>
                <w:sz w:val="20"/>
                <w:szCs w:val="20"/>
                <w:color w:val="auto"/>
              </w:rPr>
            </w:pPr>
            <w:r>
              <w:rPr>
                <w:rFonts w:ascii="Arial" w:cs="Arial" w:eastAsia="Arial" w:hAnsi="Arial"/>
                <w:sz w:val="12"/>
                <w:szCs w:val="12"/>
                <w:b w:val="1"/>
                <w:bCs w:val="1"/>
                <w:color w:val="auto"/>
                <w:w w:val="88"/>
              </w:rPr>
              <w:t>(unaudited)</w:t>
            </w:r>
          </w:p>
        </w:tc>
      </w:tr>
      <w:tr>
        <w:trPr>
          <w:trHeight w:val="185"/>
        </w:trPr>
        <w:tc>
          <w:tcPr>
            <w:tcW w:w="1100" w:type="dxa"/>
            <w:vAlign w:val="bottom"/>
          </w:tcPr>
          <w:p>
            <w:pPr>
              <w:spacing w:after="0"/>
              <w:rPr>
                <w:sz w:val="16"/>
                <w:szCs w:val="16"/>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3"/>
              </w:rPr>
              <w:t>Cash and cash equivalents</w:t>
            </w:r>
          </w:p>
        </w:tc>
        <w:tc>
          <w:tcPr>
            <w:tcW w:w="1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32,337</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42,824</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11,855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Arial" w:cs="Arial" w:eastAsia="Arial" w:hAnsi="Arial"/>
                <w:sz w:val="15"/>
                <w:szCs w:val="15"/>
                <w:color w:val="auto"/>
              </w:rPr>
              <w:t>Redeemable convertible preferred stock</w:t>
            </w:r>
          </w:p>
        </w:tc>
        <w:tc>
          <w:tcPr>
            <w:tcW w:w="23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8"/>
              <w:spacing w:after="0"/>
              <w:rPr>
                <w:sz w:val="20"/>
                <w:szCs w:val="20"/>
                <w:color w:val="auto"/>
              </w:rPr>
            </w:pPr>
            <w:r>
              <w:rPr>
                <w:rFonts w:ascii="Arial" w:cs="Arial" w:eastAsia="Arial" w:hAnsi="Arial"/>
                <w:sz w:val="15"/>
                <w:szCs w:val="15"/>
                <w:color w:val="auto"/>
              </w:rPr>
              <w:t>137,482</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1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(111,508)</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Arial" w:cs="Arial" w:eastAsia="Arial" w:hAnsi="Arial"/>
                <w:sz w:val="15"/>
                <w:szCs w:val="15"/>
                <w:color w:val="auto"/>
              </w:rPr>
              <w:t>Accumulated other comprehensive loss</w:t>
            </w:r>
          </w:p>
        </w:tc>
        <w:tc>
          <w:tcPr>
            <w:tcW w:w="23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(4,986)</w:t>
            </w:r>
          </w:p>
        </w:tc>
        <w:tc>
          <w:tcPr>
            <w:tcW w:w="940" w:type="dxa"/>
            <w:vAlign w:val="bottom"/>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1100" w:type="dxa"/>
            <w:vAlign w:val="bottom"/>
          </w:tcPr>
          <w:p>
            <w:pPr>
              <w:spacing w:after="0"/>
              <w:rPr>
                <w:sz w:val="16"/>
                <w:szCs w:val="16"/>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2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(116,493)</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09"/>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r>
      <w:tr>
        <w:trPr>
          <w:trHeight w:val="93"/>
        </w:trPr>
        <w:tc>
          <w:tcPr>
            <w:tcW w:w="1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165" w:lineRule="exact"/>
        <w:rPr>
          <w:sz w:val="20"/>
          <w:szCs w:val="20"/>
          <w:color w:val="auto"/>
        </w:rPr>
      </w:pPr>
    </w:p>
    <w:p>
      <w:pPr>
        <w:ind w:left="1760" w:hanging="463"/>
        <w:spacing w:after="0"/>
        <w:tabs>
          <w:tab w:leader="none" w:pos="1760" w:val="left"/>
        </w:tabs>
        <w:numPr>
          <w:ilvl w:val="0"/>
          <w:numId w:val="15"/>
        </w:numPr>
        <w:rPr>
          <w:rFonts w:ascii="Arial" w:cs="Arial" w:eastAsia="Arial" w:hAnsi="Arial"/>
          <w:sz w:val="10"/>
          <w:szCs w:val="10"/>
          <w:color w:val="auto"/>
        </w:rPr>
      </w:pPr>
      <w:r>
        <w:rPr>
          <w:rFonts w:ascii="Arial" w:cs="Arial" w:eastAsia="Arial" w:hAnsi="Arial"/>
          <w:sz w:val="10"/>
          <w:szCs w:val="10"/>
          <w:color w:val="auto"/>
        </w:rPr>
        <w:t>The pro forma balance sheet data give effect to: (i) the automatic conversion of all shares of our preferred stock into common stock upon closing of this offering, which, based on an assumed initial public</w:t>
      </w:r>
    </w:p>
    <w:p>
      <w:pPr>
        <w:spacing w:after="0" w:line="2"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140" w:type="dxa"/>
            <w:vAlign w:val="bottom"/>
          </w:tcPr>
          <w:p>
            <w:pPr>
              <w:ind w:left="160"/>
              <w:spacing w:after="0"/>
              <w:rPr>
                <w:sz w:val="20"/>
                <w:szCs w:val="20"/>
                <w:color w:val="auto"/>
              </w:rPr>
            </w:pPr>
            <w:r>
              <w:rPr>
                <w:rFonts w:ascii="Arial" w:cs="Arial" w:eastAsia="Arial" w:hAnsi="Arial"/>
                <w:sz w:val="12"/>
                <w:szCs w:val="12"/>
                <w:color w:val="auto"/>
              </w:rPr>
              <w:t>offering price of $</w:t>
            </w:r>
          </w:p>
        </w:tc>
        <w:tc>
          <w:tcPr>
            <w:tcW w:w="5600" w:type="dxa"/>
            <w:vAlign w:val="bottom"/>
            <w:gridSpan w:val="3"/>
          </w:tcPr>
          <w:p>
            <w:pPr>
              <w:ind w:left="160"/>
              <w:spacing w:after="0"/>
              <w:rPr>
                <w:sz w:val="20"/>
                <w:szCs w:val="20"/>
                <w:color w:val="auto"/>
              </w:rPr>
            </w:pPr>
            <w:r>
              <w:rPr>
                <w:rFonts w:ascii="Arial" w:cs="Arial" w:eastAsia="Arial" w:hAnsi="Arial"/>
                <w:sz w:val="12"/>
                <w:szCs w:val="12"/>
                <w:color w:val="auto"/>
                <w:w w:val="90"/>
              </w:rPr>
              <w:t>per share, the midpoint of the price range set forth on the cover of this prospectus, would result in the issuance of</w:t>
            </w:r>
          </w:p>
        </w:tc>
        <w:tc>
          <w:tcPr>
            <w:tcW w:w="2820" w:type="dxa"/>
            <w:vAlign w:val="bottom"/>
            <w:gridSpan w:val="2"/>
          </w:tcPr>
          <w:p>
            <w:pPr>
              <w:jc w:val="right"/>
              <w:spacing w:after="0"/>
              <w:rPr>
                <w:sz w:val="20"/>
                <w:szCs w:val="20"/>
                <w:color w:val="auto"/>
              </w:rPr>
            </w:pPr>
            <w:r>
              <w:rPr>
                <w:rFonts w:ascii="Arial" w:cs="Arial" w:eastAsia="Arial" w:hAnsi="Arial"/>
                <w:sz w:val="12"/>
                <w:szCs w:val="12"/>
                <w:color w:val="auto"/>
                <w:w w:val="93"/>
              </w:rPr>
              <w:t>shares of our common stock, (ii) outstanding warrants to</w:t>
            </w:r>
          </w:p>
        </w:tc>
      </w:tr>
      <w:tr>
        <w:trPr>
          <w:trHeight w:val="127"/>
        </w:trPr>
        <w:tc>
          <w:tcPr>
            <w:tcW w:w="300" w:type="dxa"/>
            <w:vAlign w:val="bottom"/>
          </w:tcPr>
          <w:p>
            <w:pPr>
              <w:spacing w:after="0"/>
              <w:rPr>
                <w:sz w:val="11"/>
                <w:szCs w:val="11"/>
                <w:color w:val="auto"/>
              </w:rPr>
            </w:pPr>
          </w:p>
        </w:tc>
        <w:tc>
          <w:tcPr>
            <w:tcW w:w="9560" w:type="dxa"/>
            <w:vAlign w:val="bottom"/>
            <w:gridSpan w:val="6"/>
          </w:tcPr>
          <w:p>
            <w:pPr>
              <w:ind w:left="160"/>
              <w:spacing w:after="0" w:line="128" w:lineRule="exact"/>
              <w:rPr>
                <w:sz w:val="20"/>
                <w:szCs w:val="20"/>
                <w:color w:val="auto"/>
              </w:rPr>
            </w:pPr>
            <w:r>
              <w:rPr>
                <w:rFonts w:ascii="Arial" w:cs="Arial" w:eastAsia="Arial" w:hAnsi="Arial"/>
                <w:sz w:val="12"/>
                <w:szCs w:val="12"/>
                <w:color w:val="auto"/>
                <w:w w:val="87"/>
              </w:rPr>
              <w:t>purchase Series D Preferred Stock becoming warrants to purchase 69,768 shares of our common stock, at a weighted average exercise price of $4.30 per share of common stock, upon the closing of this</w:t>
            </w:r>
          </w:p>
        </w:tc>
      </w:tr>
      <w:tr>
        <w:trPr>
          <w:trHeight w:val="127"/>
        </w:trPr>
        <w:tc>
          <w:tcPr>
            <w:tcW w:w="300" w:type="dxa"/>
            <w:vAlign w:val="bottom"/>
          </w:tcPr>
          <w:p>
            <w:pPr>
              <w:spacing w:after="0"/>
              <w:rPr>
                <w:sz w:val="11"/>
                <w:szCs w:val="11"/>
                <w:color w:val="auto"/>
              </w:rPr>
            </w:pPr>
          </w:p>
        </w:tc>
        <w:tc>
          <w:tcPr>
            <w:tcW w:w="5160" w:type="dxa"/>
            <w:vAlign w:val="bottom"/>
            <w:gridSpan w:val="2"/>
          </w:tcPr>
          <w:p>
            <w:pPr>
              <w:ind w:left="160"/>
              <w:spacing w:after="0" w:line="128" w:lineRule="exact"/>
              <w:rPr>
                <w:sz w:val="20"/>
                <w:szCs w:val="20"/>
                <w:color w:val="auto"/>
              </w:rPr>
            </w:pPr>
            <w:r>
              <w:rPr>
                <w:rFonts w:ascii="Arial" w:cs="Arial" w:eastAsia="Arial" w:hAnsi="Arial"/>
                <w:sz w:val="12"/>
                <w:szCs w:val="12"/>
                <w:color w:val="auto"/>
                <w:w w:val="90"/>
              </w:rPr>
              <w:t>offering, (iii) outstanding warrants to purchase Series E Preferred Stock becoming warrants to purchase</w:t>
            </w:r>
          </w:p>
        </w:tc>
        <w:tc>
          <w:tcPr>
            <w:tcW w:w="3600" w:type="dxa"/>
            <w:vAlign w:val="bottom"/>
            <w:gridSpan w:val="3"/>
          </w:tcPr>
          <w:p>
            <w:pPr>
              <w:ind w:left="200"/>
              <w:spacing w:after="0" w:line="128" w:lineRule="exact"/>
              <w:rPr>
                <w:sz w:val="20"/>
                <w:szCs w:val="20"/>
                <w:color w:val="auto"/>
              </w:rPr>
            </w:pPr>
            <w:r>
              <w:rPr>
                <w:rFonts w:ascii="Arial" w:cs="Arial" w:eastAsia="Arial" w:hAnsi="Arial"/>
                <w:sz w:val="12"/>
                <w:szCs w:val="12"/>
                <w:color w:val="auto"/>
                <w:w w:val="89"/>
              </w:rPr>
              <w:t>shares of our common stock, at a weighted average exercise price of $</w:t>
            </w:r>
          </w:p>
        </w:tc>
        <w:tc>
          <w:tcPr>
            <w:tcW w:w="800" w:type="dxa"/>
            <w:vAlign w:val="bottom"/>
          </w:tcPr>
          <w:p>
            <w:pPr>
              <w:jc w:val="right"/>
              <w:ind w:right="42"/>
              <w:spacing w:after="0" w:line="128" w:lineRule="exact"/>
              <w:rPr>
                <w:sz w:val="20"/>
                <w:szCs w:val="20"/>
                <w:color w:val="auto"/>
              </w:rPr>
            </w:pPr>
            <w:r>
              <w:rPr>
                <w:rFonts w:ascii="Arial" w:cs="Arial" w:eastAsia="Arial" w:hAnsi="Arial"/>
                <w:sz w:val="12"/>
                <w:szCs w:val="12"/>
                <w:color w:val="auto"/>
              </w:rPr>
              <w:t>per share of</w:t>
            </w:r>
          </w:p>
        </w:tc>
      </w:tr>
      <w:tr>
        <w:trPr>
          <w:trHeight w:val="147"/>
        </w:trPr>
        <w:tc>
          <w:tcPr>
            <w:tcW w:w="300" w:type="dxa"/>
            <w:vAlign w:val="bottom"/>
          </w:tcPr>
          <w:p>
            <w:pPr>
              <w:spacing w:after="0"/>
              <w:rPr>
                <w:sz w:val="12"/>
                <w:szCs w:val="12"/>
                <w:color w:val="auto"/>
              </w:rPr>
            </w:pPr>
          </w:p>
        </w:tc>
        <w:tc>
          <w:tcPr>
            <w:tcW w:w="6220" w:type="dxa"/>
            <w:vAlign w:val="bottom"/>
            <w:gridSpan w:val="3"/>
          </w:tcPr>
          <w:p>
            <w:pPr>
              <w:ind w:left="160"/>
              <w:spacing w:after="0"/>
              <w:rPr>
                <w:sz w:val="20"/>
                <w:szCs w:val="20"/>
                <w:color w:val="auto"/>
              </w:rPr>
            </w:pPr>
            <w:r>
              <w:rPr>
                <w:rFonts w:ascii="Arial" w:cs="Arial" w:eastAsia="Arial" w:hAnsi="Arial"/>
                <w:sz w:val="12"/>
                <w:szCs w:val="12"/>
                <w:color w:val="auto"/>
                <w:w w:val="90"/>
              </w:rPr>
              <w:t>common stock, upon the closing of this offering and (iv) the automatic cashless exercise of the Series E Common Warrants for</w:t>
            </w:r>
          </w:p>
        </w:tc>
        <w:tc>
          <w:tcPr>
            <w:tcW w:w="2540" w:type="dxa"/>
            <w:vAlign w:val="bottom"/>
            <w:gridSpan w:val="2"/>
          </w:tcPr>
          <w:p>
            <w:pPr>
              <w:ind w:left="220"/>
              <w:spacing w:after="0"/>
              <w:rPr>
                <w:sz w:val="20"/>
                <w:szCs w:val="20"/>
                <w:color w:val="auto"/>
              </w:rPr>
            </w:pPr>
            <w:r>
              <w:rPr>
                <w:rFonts w:ascii="Arial" w:cs="Arial" w:eastAsia="Arial" w:hAnsi="Arial"/>
                <w:sz w:val="12"/>
                <w:szCs w:val="12"/>
                <w:color w:val="auto"/>
              </w:rPr>
              <w:t>shares of our common stock.</w:t>
            </w:r>
          </w:p>
        </w:tc>
        <w:tc>
          <w:tcPr>
            <w:tcW w:w="800" w:type="dxa"/>
            <w:vAlign w:val="bottom"/>
          </w:tcPr>
          <w:p>
            <w:pPr>
              <w:spacing w:after="0"/>
              <w:rPr>
                <w:sz w:val="12"/>
                <w:szCs w:val="12"/>
                <w:color w:val="auto"/>
              </w:rPr>
            </w:pPr>
          </w:p>
        </w:tc>
      </w:tr>
      <w:tr>
        <w:trPr>
          <w:trHeight w:val="233"/>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(2)</w:t>
            </w:r>
          </w:p>
        </w:tc>
        <w:tc>
          <w:tcPr>
            <w:tcW w:w="5160" w:type="dxa"/>
            <w:vAlign w:val="bottom"/>
            <w:gridSpan w:val="2"/>
          </w:tcPr>
          <w:p>
            <w:pPr>
              <w:ind w:left="160"/>
              <w:spacing w:after="0"/>
              <w:rPr>
                <w:sz w:val="20"/>
                <w:szCs w:val="20"/>
                <w:color w:val="auto"/>
              </w:rPr>
            </w:pPr>
            <w:r>
              <w:rPr>
                <w:rFonts w:ascii="Arial" w:cs="Arial" w:eastAsia="Arial" w:hAnsi="Arial"/>
                <w:sz w:val="12"/>
                <w:szCs w:val="12"/>
                <w:color w:val="auto"/>
                <w:w w:val="89"/>
              </w:rPr>
              <w:t>The pro forma as adjusted consolidated balance sheet data give further effect to our issuance and sale of</w:t>
            </w:r>
          </w:p>
        </w:tc>
        <w:tc>
          <w:tcPr>
            <w:tcW w:w="4400" w:type="dxa"/>
            <w:vAlign w:val="bottom"/>
            <w:gridSpan w:val="4"/>
          </w:tcPr>
          <w:p>
            <w:pPr>
              <w:jc w:val="right"/>
              <w:ind w:right="42"/>
              <w:spacing w:after="0"/>
              <w:rPr>
                <w:sz w:val="20"/>
                <w:szCs w:val="20"/>
                <w:color w:val="auto"/>
              </w:rPr>
            </w:pPr>
            <w:r>
              <w:rPr>
                <w:rFonts w:ascii="Arial" w:cs="Arial" w:eastAsia="Arial" w:hAnsi="Arial"/>
                <w:sz w:val="12"/>
                <w:szCs w:val="12"/>
                <w:color w:val="auto"/>
                <w:w w:val="92"/>
              </w:rPr>
              <w:t>shares of our common stock in this offering at an assumed initial public offering price of</w:t>
            </w:r>
          </w:p>
        </w:tc>
      </w:tr>
    </w:tbl>
    <w:p>
      <w:pPr>
        <w:ind w:left="1760" w:right="420" w:firstLine="1"/>
        <w:spacing w:after="0" w:line="230" w:lineRule="auto"/>
        <w:tabs>
          <w:tab w:leader="none" w:pos="2194"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 share, which is the midpoint of the price range set forth on the cover page of this prospectus, after deducting the estimated underwriting discounts and commissions and estimated offering expenses payable by us.</w:t>
      </w:r>
    </w:p>
    <w:p>
      <w:pPr>
        <w:spacing w:after="0" w:line="167" w:lineRule="exact"/>
        <w:rPr>
          <w:sz w:val="20"/>
          <w:szCs w:val="20"/>
          <w:color w:val="auto"/>
        </w:rPr>
      </w:pPr>
    </w:p>
    <w:p>
      <w:pPr>
        <w:ind w:left="200" w:right="220"/>
        <w:spacing w:after="0" w:line="279"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the pro forma as adjusted amount of each of cash and cash equivalents, total assets, additional paid-in capital and total stockholders' equity (deficit) by</w:t>
      </w:r>
    </w:p>
    <w:p>
      <w:pPr>
        <w:spacing w:after="0" w:line="1" w:lineRule="exact"/>
        <w:rPr>
          <w:sz w:val="20"/>
          <w:szCs w:val="20"/>
          <w:color w:val="auto"/>
        </w:rPr>
      </w:pPr>
    </w:p>
    <w:p>
      <w:pPr>
        <w:ind w:left="200" w:right="480" w:hanging="7"/>
        <w:spacing w:after="0" w:line="297" w:lineRule="auto"/>
        <w:tabs>
          <w:tab w:leader="none" w:pos="802" w:val="left"/>
        </w:tabs>
        <w:numPr>
          <w:ilvl w:val="0"/>
          <w:numId w:val="17"/>
        </w:numPr>
        <w:rPr>
          <w:rFonts w:ascii="Arial" w:cs="Arial" w:eastAsia="Arial" w:hAnsi="Arial"/>
          <w:sz w:val="13"/>
          <w:szCs w:val="13"/>
          <w:color w:val="auto"/>
        </w:rPr>
      </w:pPr>
      <w:r>
        <w:rPr>
          <w:rFonts w:ascii="Arial" w:cs="Arial" w:eastAsia="Arial" w:hAnsi="Arial"/>
          <w:sz w:val="13"/>
          <w:szCs w:val="13"/>
          <w:color w:val="auto"/>
        </w:rPr>
        <w:t>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w:t>
      </w:r>
    </w:p>
    <w:p>
      <w:pPr>
        <w:ind w:left="200"/>
        <w:spacing w:after="0"/>
        <w:rPr>
          <w:rFonts w:ascii="Arial" w:cs="Arial" w:eastAsia="Arial" w:hAnsi="Arial"/>
          <w:sz w:val="13"/>
          <w:szCs w:val="13"/>
          <w:color w:val="auto"/>
        </w:rPr>
      </w:pPr>
      <w:r>
        <w:rPr>
          <w:rFonts w:ascii="Arial" w:cs="Arial" w:eastAsia="Arial" w:hAnsi="Arial"/>
          <w:sz w:val="15"/>
          <w:szCs w:val="15"/>
          <w:color w:val="auto"/>
        </w:rPr>
        <w:t>assumed initial public offering price of $</w:t>
      </w:r>
      <w:r>
        <w:rPr>
          <w:rFonts w:ascii="Arial" w:cs="Arial" w:eastAsia="Arial" w:hAnsi="Arial"/>
          <w:sz w:val="13"/>
          <w:szCs w:val="13"/>
          <w:color w:val="auto"/>
        </w:rPr>
        <w:t>per share would increase (decrease) each of cash and cash equivalents, total assets, additional paid-in capital and total stockholders'</w:t>
      </w:r>
    </w:p>
    <w:p>
      <w:pPr>
        <w:spacing w:after="0" w:line="13" w:lineRule="exact"/>
        <w:rPr>
          <w:sz w:val="20"/>
          <w:szCs w:val="20"/>
          <w:color w:val="auto"/>
        </w:rPr>
      </w:pPr>
    </w:p>
    <w:p>
      <w:pPr>
        <w:ind w:left="200" w:right="560"/>
        <w:spacing w:after="0" w:line="275" w:lineRule="auto"/>
        <w:rPr>
          <w:sz w:val="20"/>
          <w:szCs w:val="20"/>
          <w:color w:val="auto"/>
        </w:rPr>
      </w:pPr>
      <w:r>
        <w:rPr>
          <w:rFonts w:ascii="Arial" w:cs="Arial" w:eastAsia="Arial" w:hAnsi="Arial"/>
          <w:sz w:val="15"/>
          <w:szCs w:val="15"/>
          <w:color w:val="auto"/>
        </w:rPr>
        <w:t>equity (deficit) by $ million.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 w:name="page16"/>
    <w:bookmarkEnd w:id="1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3" w:lineRule="exact"/>
        <w:rPr>
          <w:sz w:val="20"/>
          <w:szCs w:val="20"/>
          <w:color w:val="auto"/>
        </w:rPr>
      </w:pPr>
    </w:p>
    <w:p>
      <w:pPr>
        <w:ind w:left="7"/>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3" w:lineRule="exact"/>
        <w:rPr>
          <w:sz w:val="20"/>
          <w:szCs w:val="20"/>
          <w:color w:val="auto"/>
        </w:rPr>
      </w:pPr>
    </w:p>
    <w:p>
      <w:pPr>
        <w:ind w:left="7" w:right="20"/>
        <w:spacing w:after="0" w:line="284" w:lineRule="auto"/>
        <w:rPr>
          <w:sz w:val="20"/>
          <w:szCs w:val="20"/>
          <w:color w:val="auto"/>
        </w:rPr>
      </w:pPr>
      <w:r>
        <w:rPr>
          <w:rFonts w:ascii="Arial" w:cs="Arial" w:eastAsia="Arial" w:hAnsi="Arial"/>
          <w:sz w:val="14"/>
          <w:szCs w:val="14"/>
          <w:color w:val="auto"/>
        </w:rPr>
        <w:t>Since inception, we have incurred significant operating losses. Our net loss was $12.9 million and $25.2 million for the years ended December 31, 2014 and 2015, respectively. As of December 31, 2015, we had an accumulated deficit of $111.5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6"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1"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6" w:name="page17"/>
    <w:bookmarkEnd w:id="1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5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left="7" w:right="360"/>
        <w:spacing w:after="0" w:line="362"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05"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color w:val="auto"/>
        </w:rPr>
        <w:t>In addition, we have recurring losses and negative cash flows from operations and will require additional capital to fund planned operations. There can be no assurance that we will be able to raise additional capital on reasonable terms, if at all. These conditions cast substantial doubt about our ability to continue as a going concern. In this regard, our independent registered public accounting firm has issued an opinion on our 2014 and 2015 financial statements that included an explanatory paragraph referring to our ability to continue as a going concern. Our financial statements do not include any adjustments that may result from the outcome of this uncertainty.</w:t>
      </w:r>
    </w:p>
    <w:p>
      <w:pPr>
        <w:spacing w:after="0" w:line="154" w:lineRule="exact"/>
        <w:rPr>
          <w:sz w:val="20"/>
          <w:szCs w:val="20"/>
          <w:color w:val="auto"/>
        </w:rPr>
      </w:pPr>
    </w:p>
    <w:p>
      <w:pPr>
        <w:ind w:left="7" w:right="300"/>
        <w:spacing w:after="0" w:line="259"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6"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believe that our existing cash, cash equivalents and investments, and funding under our existing collaborations, together with the expected net proceeds from this offering, will enable us</w:t>
      </w:r>
    </w:p>
    <w:p>
      <w:pPr>
        <w:spacing w:after="0" w:line="41" w:lineRule="exact"/>
        <w:rPr>
          <w:sz w:val="20"/>
          <w:szCs w:val="20"/>
          <w:color w:val="auto"/>
        </w:rPr>
      </w:pPr>
    </w:p>
    <w:p>
      <w:pPr>
        <w:ind w:left="7" w:right="80"/>
        <w:spacing w:after="0" w:line="275" w:lineRule="auto"/>
        <w:rPr>
          <w:sz w:val="20"/>
          <w:szCs w:val="20"/>
          <w:color w:val="auto"/>
        </w:rPr>
      </w:pPr>
      <w:r>
        <w:rPr>
          <w:rFonts w:ascii="Arial" w:cs="Arial" w:eastAsia="Arial" w:hAnsi="Arial"/>
          <w:sz w:val="15"/>
          <w:szCs w:val="15"/>
          <w:color w:val="auto"/>
        </w:rPr>
        <w:t>to fund our operating expenses and capital expenditure requirements through at least . We have based this estimate on assumptions that may prove to be wrong, and we could use our capital resources sooner than we currently expect. Our future capital requirements will depend on many factors, including:</w:t>
      </w:r>
    </w:p>
    <w:p>
      <w:pPr>
        <w:spacing w:after="0" w:line="167"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collaboration agreements remaining in effect, our entering into additional collaboration agreements and our ability to achieve milestones under these agreements;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7" w:name="page18"/>
    <w:bookmarkEnd w:id="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480"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4" w:lineRule="exact"/>
        <w:rPr>
          <w:sz w:val="20"/>
          <w:szCs w:val="20"/>
          <w:color w:val="auto"/>
        </w:rPr>
      </w:pPr>
    </w:p>
    <w:p>
      <w:pPr>
        <w:ind w:left="7" w:right="40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 future success or viability may not be as accurate as they could be if we had a longer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663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280"/>
        <w:spacing w:after="0" w:line="277" w:lineRule="auto"/>
        <w:rPr>
          <w:sz w:val="20"/>
          <w:szCs w:val="20"/>
          <w:color w:val="auto"/>
        </w:rPr>
      </w:pPr>
      <w:r>
        <w:rPr>
          <w:rFonts w:ascii="Arial" w:cs="Arial" w:eastAsia="Arial" w:hAnsi="Arial"/>
          <w:sz w:val="15"/>
          <w:szCs w:val="15"/>
          <w:b w:val="1"/>
          <w:b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We have a $12.0 million credit facility with Oxford Finance LLC, or Oxford, and Pacific Western Bank, as successor in interest to Square 1 Bank, that is secured by a lien covering substantially all of our personal property, excluding intellectual property. As of December 31, 2015,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6"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w:t>
      </w:r>
    </w:p>
    <w:p>
      <w:pPr>
        <w:spacing w:after="0" w:line="142" w:lineRule="exact"/>
        <w:rPr>
          <w:sz w:val="20"/>
          <w:szCs w:val="20"/>
          <w:color w:val="auto"/>
        </w:rPr>
      </w:pPr>
    </w:p>
    <w:p>
      <w:pPr>
        <w:ind w:right="500"/>
        <w:spacing w:after="0" w:line="277"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may be available to offset our future taxable income, if any, at various times through 2035. At December 31, 2015, we had available federal and state research and development income tax credits of approximately $1.6 million and $1.1 million, respectively, which may be available to reduce future income taxes, if any, at various times through 2035.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 w:name="page20"/>
    <w:bookmarkEnd w:id="1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640"/>
        <w:spacing w:after="0" w:line="277"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3"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diseases, with an initial focus on developing SEL-212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9"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09"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8" w:lineRule="exact"/>
        <w:rPr>
          <w:sz w:val="20"/>
          <w:szCs w:val="20"/>
          <w:color w:val="auto"/>
        </w:rPr>
      </w:pPr>
    </w:p>
    <w:p>
      <w:pPr>
        <w:ind w:left="7" w:right="540"/>
        <w:spacing w:after="0" w:line="28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42"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3" w:lineRule="exact"/>
        <w:rPr>
          <w:sz w:val="20"/>
          <w:szCs w:val="20"/>
          <w:color w:val="auto"/>
        </w:rPr>
      </w:pPr>
    </w:p>
    <w:p>
      <w:pPr>
        <w:ind w:left="7" w:right="28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21"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70" w:lineRule="exact"/>
        <w:rPr>
          <w:rFonts w:ascii="Arial" w:cs="Arial" w:eastAsia="Arial" w:hAnsi="Arial"/>
          <w:sz w:val="15"/>
          <w:szCs w:val="15"/>
          <w:color w:val="auto"/>
        </w:rPr>
      </w:pPr>
    </w:p>
    <w:p>
      <w:pPr>
        <w:ind w:left="467" w:right="340" w:hanging="467"/>
        <w:spacing w:after="0" w:line="362" w:lineRule="auto"/>
        <w:tabs>
          <w:tab w:leader="none" w:pos="467"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0" w:lineRule="exact"/>
        <w:rPr>
          <w:sz w:val="20"/>
          <w:szCs w:val="20"/>
          <w:color w:val="auto"/>
        </w:rPr>
      </w:pPr>
    </w:p>
    <w:p>
      <w:pPr>
        <w:ind w:left="7" w:right="280"/>
        <w:spacing w:after="0" w:line="277"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3"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collaboration, licensing or other arrangements, in cases in which it would have been more advantageous for us to retain sole development and commercialization rights.</w:t>
      </w:r>
    </w:p>
    <w:p>
      <w:pPr>
        <w:spacing w:after="0" w:line="190" w:lineRule="exact"/>
        <w:rPr>
          <w:sz w:val="20"/>
          <w:szCs w:val="20"/>
          <w:color w:val="auto"/>
        </w:rPr>
      </w:pPr>
    </w:p>
    <w:p>
      <w:pPr>
        <w:ind w:right="560"/>
        <w:spacing w:after="0" w:line="277"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67"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As of November 2015, we have completed the patient treatment portion of our Phase 1a trial for pegsiticase. The Phase 1a trial was a study of one of the components of SEL-212, pegsiticase, in an ascending single dose cohort study of 22 subjects. In this trial, pegsiticase demonstrated no serious adverse effects and was well tolerated at the five dose levels tested.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pegsiticase or SEL-212.</w:t>
      </w:r>
    </w:p>
    <w:p>
      <w:pPr>
        <w:spacing w:after="0" w:line="148"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anti-nicotine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are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 w:name="page23"/>
    <w:bookmarkEnd w:id="2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Additional clinical trials could cause us to incur significant development costs, delay or prevent the commercialization of SEL-212 or otherwise adversely affect our business.</w:t>
      </w:r>
    </w:p>
    <w:p>
      <w:pPr>
        <w:spacing w:after="0" w:line="198" w:lineRule="exact"/>
        <w:rPr>
          <w:sz w:val="20"/>
          <w:szCs w:val="20"/>
          <w:color w:val="auto"/>
        </w:rPr>
      </w:pPr>
    </w:p>
    <w:p>
      <w:pPr>
        <w:ind w:left="7" w:right="460"/>
        <w:spacing w:after="0" w:line="28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21"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2" w:lineRule="exact"/>
        <w:rPr>
          <w:rFonts w:ascii="Arial" w:cs="Arial" w:eastAsia="Arial" w:hAnsi="Arial"/>
          <w:sz w:val="15"/>
          <w:szCs w:val="15"/>
          <w:color w:val="auto"/>
        </w:rPr>
      </w:pPr>
    </w:p>
    <w:p>
      <w:pPr>
        <w:ind w:left="467" w:right="340" w:hanging="467"/>
        <w:spacing w:after="0" w:line="319" w:lineRule="auto"/>
        <w:tabs>
          <w:tab w:leader="none" w:pos="467"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43" w:lineRule="exact"/>
        <w:rPr>
          <w:rFonts w:ascii="Arial" w:cs="Arial" w:eastAsia="Arial" w:hAnsi="Arial"/>
          <w:sz w:val="13"/>
          <w:szCs w:val="13"/>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1"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8"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4" w:lineRule="exact"/>
        <w:rPr>
          <w:sz w:val="20"/>
          <w:szCs w:val="20"/>
          <w:color w:val="auto"/>
        </w:rPr>
      </w:pPr>
    </w:p>
    <w:p>
      <w:pPr>
        <w:ind w:left="7" w:right="780"/>
        <w:spacing w:after="0" w:line="277"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3"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25"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7" w:lineRule="exact"/>
        <w:rPr>
          <w:sz w:val="20"/>
          <w:szCs w:val="20"/>
          <w:color w:val="auto"/>
        </w:rPr>
      </w:pPr>
    </w:p>
    <w:p>
      <w:pPr>
        <w:ind w:right="140"/>
        <w:spacing w:after="0" w:line="308" w:lineRule="auto"/>
        <w:rPr>
          <w:sz w:val="20"/>
          <w:szCs w:val="20"/>
          <w:color w:val="auto"/>
        </w:rPr>
      </w:pPr>
      <w:r>
        <w:rPr>
          <w:rFonts w:ascii="Arial" w:cs="Arial" w:eastAsia="Arial" w:hAnsi="Arial"/>
          <w:sz w:val="13"/>
          <w:szCs w:val="13"/>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3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5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40"/>
        <w:spacing w:after="0" w:line="277"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3"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59"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4"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15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6" w:name="page27"/>
    <w:bookmarkEnd w:id="2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54" w:lineRule="exact"/>
        <w:rPr>
          <w:sz w:val="20"/>
          <w:szCs w:val="20"/>
          <w:color w:val="auto"/>
        </w:rPr>
      </w:pPr>
    </w:p>
    <w:p>
      <w:pPr>
        <w:ind w:left="7" w:right="80"/>
        <w:spacing w:after="0" w:line="277"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ind w:left="7" w:right="140"/>
        <w:spacing w:after="0" w:line="310"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13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8"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60"/>
        <w:spacing w:after="0" w:line="253"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63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9" w:lineRule="exact"/>
        <w:rPr>
          <w:sz w:val="20"/>
          <w:szCs w:val="20"/>
          <w:color w:val="auto"/>
        </w:rPr>
      </w:pPr>
    </w:p>
    <w:p>
      <w:pPr>
        <w:ind w:left="7"/>
        <w:spacing w:after="0" w:line="305" w:lineRule="auto"/>
        <w:rPr>
          <w:sz w:val="20"/>
          <w:szCs w:val="20"/>
          <w:color w:val="auto"/>
        </w:rPr>
      </w:pPr>
      <w:r>
        <w:rPr>
          <w:rFonts w:ascii="Arial" w:cs="Arial" w:eastAsia="Arial" w:hAnsi="Arial"/>
          <w:sz w:val="13"/>
          <w:szCs w:val="13"/>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43"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2"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300" w:hanging="467"/>
        <w:spacing w:after="0" w:line="282"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1" w:lineRule="exact"/>
        <w:rPr>
          <w:rFonts w:ascii="Arial" w:cs="Arial" w:eastAsia="Arial" w:hAnsi="Arial"/>
          <w:sz w:val="15"/>
          <w:szCs w:val="15"/>
          <w:color w:val="auto"/>
        </w:rPr>
      </w:pPr>
    </w:p>
    <w:p>
      <w:pPr>
        <w:jc w:val="both"/>
        <w:ind w:left="467" w:right="100" w:hanging="467"/>
        <w:spacing w:after="0" w:line="270" w:lineRule="auto"/>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4"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 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41" w:lineRule="exact"/>
        <w:rPr>
          <w:sz w:val="20"/>
          <w:szCs w:val="20"/>
          <w:color w:val="auto"/>
        </w:rPr>
      </w:pPr>
    </w:p>
    <w:p>
      <w:pPr>
        <w:ind w:left="7" w:right="860"/>
        <w:spacing w:after="0" w:line="277"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3" w:lineRule="exact"/>
        <w:rPr>
          <w:sz w:val="20"/>
          <w:szCs w:val="20"/>
          <w:color w:val="auto"/>
        </w:rPr>
      </w:pPr>
    </w:p>
    <w:p>
      <w:pPr>
        <w:ind w:left="7" w:right="100"/>
        <w:spacing w:after="0" w:line="319" w:lineRule="auto"/>
        <w:rPr>
          <w:sz w:val="20"/>
          <w:szCs w:val="20"/>
          <w:color w:val="auto"/>
        </w:rPr>
      </w:pPr>
      <w:r>
        <w:rPr>
          <w:rFonts w:ascii="Arial" w:cs="Arial" w:eastAsia="Arial" w:hAnsi="Arial"/>
          <w:sz w:val="13"/>
          <w:szCs w:val="13"/>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and BIND Therapeutics,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43"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09" w:lineRule="exact"/>
        <w:rPr>
          <w:rFonts w:ascii="Arial" w:cs="Arial" w:eastAsia="Arial" w:hAnsi="Arial"/>
          <w:sz w:val="15"/>
          <w:szCs w:val="15"/>
          <w:color w:val="auto"/>
        </w:rPr>
      </w:pPr>
    </w:p>
    <w:p>
      <w:pPr>
        <w:jc w:val="both"/>
        <w:ind w:left="467" w:right="120" w:hanging="467"/>
        <w:spacing w:after="0" w:line="270" w:lineRule="auto"/>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9" w:name="page30"/>
    <w:bookmarkEnd w:id="2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24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0"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rFonts w:ascii="Arial" w:cs="Arial" w:eastAsia="Arial" w:hAnsi="Arial"/>
          <w:sz w:val="15"/>
          <w:szCs w:val="15"/>
          <w:color w:val="auto"/>
        </w:rPr>
      </w:pPr>
    </w:p>
    <w:p>
      <w:pPr>
        <w:ind w:left="467" w:right="60" w:hanging="467"/>
        <w:spacing w:after="0" w:line="270"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2"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9"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1"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right="80"/>
        <w:spacing w:after="0" w:line="305"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1"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59" w:lineRule="exact"/>
        <w:rPr>
          <w:sz w:val="20"/>
          <w:szCs w:val="20"/>
          <w:color w:val="auto"/>
        </w:rPr>
      </w:pPr>
    </w:p>
    <w:p>
      <w:pPr>
        <w:ind w:right="200"/>
        <w:spacing w:after="0" w:line="362"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6"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 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4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2" w:lineRule="exact"/>
        <w:rPr>
          <w:sz w:val="20"/>
          <w:szCs w:val="20"/>
          <w:color w:val="auto"/>
        </w:rPr>
      </w:pPr>
    </w:p>
    <w:p>
      <w:pPr>
        <w:ind w:right="540"/>
        <w:spacing w:after="0" w:line="362"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2" w:name="page33"/>
    <w:bookmarkEnd w:id="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1"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8" w:lineRule="exact"/>
        <w:rPr>
          <w:sz w:val="20"/>
          <w:szCs w:val="20"/>
          <w:color w:val="auto"/>
        </w:rPr>
      </w:pPr>
    </w:p>
    <w:p>
      <w:pPr>
        <w:ind w:left="7" w:right="300"/>
        <w:spacing w:after="0" w:line="263"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9" w:lineRule="exact"/>
        <w:rPr>
          <w:sz w:val="20"/>
          <w:szCs w:val="20"/>
          <w:color w:val="auto"/>
        </w:rPr>
      </w:pPr>
    </w:p>
    <w:p>
      <w:pPr>
        <w:ind w:left="7" w:right="380"/>
        <w:spacing w:after="0" w:line="277"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3"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make arrangements with third parties to perform sales and marketing functions and we may not be successful in doing so.</w:t>
      </w:r>
    </w:p>
    <w:p>
      <w:pPr>
        <w:spacing w:after="0" w:line="198"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9"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this regard, SEL-212 may compete with Krystexxa, recently acquired by affiliates of Horizon Pharma plc,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 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1"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0"/>
        <w:spacing w:after="0" w:line="297" w:lineRule="auto"/>
        <w:rPr>
          <w:sz w:val="20"/>
          <w:szCs w:val="20"/>
          <w:color w:val="auto"/>
        </w:rPr>
      </w:pPr>
      <w:r>
        <w:rPr>
          <w:rFonts w:ascii="Arial" w:cs="Arial" w:eastAsia="Arial" w:hAnsi="Arial"/>
          <w:sz w:val="14"/>
          <w:szCs w:val="14"/>
          <w:color w:val="auto"/>
        </w:rPr>
        <w:t>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35" w:lineRule="exact"/>
        <w:rPr>
          <w:sz w:val="20"/>
          <w:szCs w:val="20"/>
          <w:color w:val="auto"/>
        </w:rPr>
      </w:pPr>
    </w:p>
    <w:p>
      <w:pPr>
        <w:jc w:val="both"/>
        <w:ind w:right="200"/>
        <w:spacing w:after="0" w:line="277"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2"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6" w:name="page37"/>
    <w:bookmarkEnd w:id="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products that we develop could have a material adverse effect on our operating results, our ability to raise capital needed to commercialize products and our overall financial condition.</w:t>
      </w:r>
    </w:p>
    <w:p>
      <w:pPr>
        <w:spacing w:after="0" w:line="210"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1" w:lineRule="exact"/>
        <w:rPr>
          <w:sz w:val="20"/>
          <w:szCs w:val="20"/>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8" w:lineRule="exact"/>
        <w:rPr>
          <w:sz w:val="20"/>
          <w:szCs w:val="20"/>
          <w:color w:val="auto"/>
        </w:rPr>
      </w:pPr>
    </w:p>
    <w:p>
      <w:pPr>
        <w:jc w:val="both"/>
        <w:ind w:left="7" w:right="80"/>
        <w:spacing w:after="0" w:line="297"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62" w:lineRule="exact"/>
        <w:rPr>
          <w:sz w:val="20"/>
          <w:szCs w:val="20"/>
          <w:color w:val="auto"/>
        </w:rPr>
      </w:pPr>
    </w:p>
    <w:p>
      <w:pPr>
        <w:ind w:left="7" w:right="320"/>
        <w:spacing w:after="0" w:line="253"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1"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3" w:lineRule="exact"/>
        <w:rPr>
          <w:sz w:val="20"/>
          <w:szCs w:val="20"/>
          <w:color w:val="auto"/>
        </w:rPr>
      </w:pPr>
    </w:p>
    <w:p>
      <w:pPr>
        <w:ind w:left="467" w:right="20" w:hanging="467"/>
        <w:spacing w:after="0" w:line="287" w:lineRule="auto"/>
        <w:tabs>
          <w:tab w:leader="none" w:pos="46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2" w:lineRule="exact"/>
        <w:rPr>
          <w:rFonts w:ascii="Arial" w:cs="Arial" w:eastAsia="Arial" w:hAnsi="Arial"/>
          <w:sz w:val="14"/>
          <w:szCs w:val="14"/>
          <w:color w:val="auto"/>
        </w:rPr>
      </w:pPr>
    </w:p>
    <w:p>
      <w:pPr>
        <w:jc w:val="both"/>
        <w:ind w:left="467" w:right="240" w:hanging="467"/>
        <w:spacing w:after="0" w:line="270" w:lineRule="auto"/>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38" w:name="page39"/>
    <w:bookmarkEnd w:id="3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80" w:hanging="467"/>
        <w:spacing w:after="0" w:line="270"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82" w:lineRule="exact"/>
        <w:rPr>
          <w:rFonts w:ascii="Arial" w:cs="Arial" w:eastAsia="Arial" w:hAnsi="Arial"/>
          <w:sz w:val="15"/>
          <w:szCs w:val="15"/>
          <w:color w:val="auto"/>
        </w:rPr>
      </w:pPr>
    </w:p>
    <w:p>
      <w:pPr>
        <w:jc w:val="both"/>
        <w:ind w:left="467" w:right="200" w:hanging="467"/>
        <w:spacing w:after="0" w:line="270"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0" w:lineRule="exact"/>
        <w:rPr>
          <w:rFonts w:ascii="Arial" w:cs="Arial" w:eastAsia="Arial" w:hAnsi="Arial"/>
          <w:sz w:val="15"/>
          <w:szCs w:val="15"/>
          <w:color w:val="auto"/>
        </w:rPr>
      </w:pPr>
    </w:p>
    <w:p>
      <w:pPr>
        <w:ind w:left="467" w:right="260" w:hanging="467"/>
        <w:spacing w:after="0" w:line="263"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8" w:lineRule="exact"/>
        <w:rPr>
          <w:rFonts w:ascii="Arial" w:cs="Arial" w:eastAsia="Arial" w:hAnsi="Arial"/>
          <w:sz w:val="15"/>
          <w:szCs w:val="15"/>
          <w:color w:val="auto"/>
        </w:rPr>
      </w:pPr>
    </w:p>
    <w:p>
      <w:pPr>
        <w:ind w:left="467" w:right="100" w:hanging="467"/>
        <w:spacing w:after="0" w:line="262" w:lineRule="auto"/>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left="7" w:right="40"/>
        <w:spacing w:after="0" w:line="281" w:lineRule="auto"/>
        <w:rPr>
          <w:sz w:val="20"/>
          <w:szCs w:val="20"/>
          <w:color w:val="auto"/>
        </w:rPr>
      </w:pPr>
      <w:r>
        <w:rPr>
          <w:rFonts w:ascii="Arial" w:cs="Arial" w:eastAsia="Arial" w:hAnsi="Arial"/>
          <w:sz w:val="14"/>
          <w:szCs w:val="14"/>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9" w:name="page40"/>
    <w:bookmarkEnd w:id="3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9" w:lineRule="exact"/>
        <w:rPr>
          <w:sz w:val="20"/>
          <w:szCs w:val="20"/>
          <w:color w:val="auto"/>
        </w:rPr>
      </w:pPr>
    </w:p>
    <w:p>
      <w:pPr>
        <w:jc w:val="both"/>
        <w:ind w:left="7" w:right="6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09" w:lineRule="exact"/>
        <w:rPr>
          <w:rFonts w:ascii="Arial" w:cs="Arial" w:eastAsia="Arial" w:hAnsi="Arial"/>
          <w:sz w:val="15"/>
          <w:szCs w:val="15"/>
          <w:color w:val="auto"/>
        </w:rPr>
      </w:pPr>
    </w:p>
    <w:p>
      <w:pPr>
        <w:ind w:left="467" w:right="30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2" w:lineRule="exact"/>
        <w:rPr>
          <w:rFonts w:ascii="Arial" w:cs="Arial" w:eastAsia="Arial" w:hAnsi="Arial"/>
          <w:sz w:val="15"/>
          <w:szCs w:val="15"/>
          <w:color w:val="auto"/>
        </w:rPr>
      </w:pPr>
    </w:p>
    <w:p>
      <w:pPr>
        <w:ind w:left="467" w:right="180" w:hanging="467"/>
        <w:spacing w:after="0" w:line="319" w:lineRule="auto"/>
        <w:tabs>
          <w:tab w:leader="none" w:pos="46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1" w:lineRule="exact"/>
        <w:rPr>
          <w:rFonts w:ascii="Arial" w:cs="Arial" w:eastAsia="Arial" w:hAnsi="Arial"/>
          <w:sz w:val="14"/>
          <w:szCs w:val="14"/>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6"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62" w:lineRule="exact"/>
        <w:rPr>
          <w:sz w:val="20"/>
          <w:szCs w:val="20"/>
          <w:color w:val="auto"/>
        </w:rPr>
      </w:pPr>
    </w:p>
    <w:p>
      <w:pPr>
        <w:ind w:right="20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97"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8"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59" w:lineRule="exact"/>
        <w:rPr>
          <w:sz w:val="20"/>
          <w:szCs w:val="20"/>
          <w:color w:val="auto"/>
        </w:rPr>
      </w:pPr>
    </w:p>
    <w:p>
      <w:pPr>
        <w:jc w:val="both"/>
        <w:ind w:left="7"/>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9"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5"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3" w:lineRule="exact"/>
        <w:rPr>
          <w:sz w:val="20"/>
          <w:szCs w:val="20"/>
          <w:color w:val="auto"/>
        </w:rPr>
      </w:pPr>
    </w:p>
    <w:p>
      <w:pPr>
        <w:ind w:right="300"/>
        <w:spacing w:after="0" w:line="266"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7"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right to terminate the license. Termination of a necessary license could have a material adverse impact on our business.</w:t>
      </w:r>
    </w:p>
    <w:p>
      <w:pPr>
        <w:spacing w:after="0" w:line="198" w:lineRule="exact"/>
        <w:rPr>
          <w:sz w:val="20"/>
          <w:szCs w:val="20"/>
          <w:color w:val="auto"/>
        </w:rPr>
      </w:pPr>
    </w:p>
    <w:p>
      <w:pPr>
        <w:ind w:right="200"/>
        <w:spacing w:after="0" w:line="266" w:lineRule="auto"/>
        <w:rPr>
          <w:sz w:val="20"/>
          <w:szCs w:val="20"/>
          <w:color w:val="auto"/>
        </w:rPr>
      </w:pPr>
      <w:r>
        <w:rPr>
          <w:rFonts w:ascii="Arial" w:cs="Arial" w:eastAsia="Arial" w:hAnsi="Arial"/>
          <w:sz w:val="15"/>
          <w:szCs w:val="15"/>
          <w:color w:val="auto"/>
        </w:rPr>
        <w:t>We currently own five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2" w:lineRule="exact"/>
        <w:rPr>
          <w:sz w:val="20"/>
          <w:szCs w:val="20"/>
          <w:color w:val="auto"/>
        </w:rPr>
      </w:pPr>
    </w:p>
    <w:p>
      <w:pPr>
        <w:jc w:val="both"/>
        <w:ind w:right="160"/>
        <w:spacing w:after="0" w:line="266"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40"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5" w:name="page46"/>
    <w:bookmarkEnd w:id="4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80"/>
        <w:spacing w:after="0" w:line="270" w:lineRule="auto"/>
        <w:rPr>
          <w:sz w:val="20"/>
          <w:szCs w:val="20"/>
          <w:color w:val="auto"/>
        </w:rPr>
      </w:pPr>
      <w:r>
        <w:rPr>
          <w:rFonts w:ascii="Arial" w:cs="Arial" w:eastAsia="Arial" w:hAnsi="Arial"/>
          <w:sz w:val="15"/>
          <w:szCs w:val="15"/>
          <w:color w:val="auto"/>
        </w:rPr>
        <w:t>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8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2" w:lineRule="exact"/>
        <w:rPr>
          <w:rFonts w:ascii="Arial" w:cs="Arial" w:eastAsia="Arial" w:hAnsi="Arial"/>
          <w:sz w:val="13"/>
          <w:szCs w:val="13"/>
          <w:color w:val="auto"/>
        </w:rPr>
      </w:pPr>
    </w:p>
    <w:p>
      <w:pPr>
        <w:ind w:left="467" w:right="6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46" w:name="page47"/>
    <w:bookmarkEnd w:id="4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320" w:hanging="467"/>
        <w:spacing w:after="0" w:line="270"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60"/>
        <w:spacing w:after="0" w:line="277"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3"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9"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59" w:lineRule="exact"/>
        <w:rPr>
          <w:sz w:val="20"/>
          <w:szCs w:val="20"/>
          <w:color w:val="auto"/>
        </w:rPr>
      </w:pPr>
    </w:p>
    <w:p>
      <w:pPr>
        <w:ind w:left="7" w:right="180"/>
        <w:spacing w:after="0" w:line="263"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60"/>
        <w:spacing w:after="0" w:line="262"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630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industry involves both technological and legal complexity, and is therefore costly, time-consuming and inherently uncertain. In addition, recent patent reform legislation could further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increase the uncertainties and costs surrounding the prosecution of our patent applications and the enforcement or defense of our issued patents. On September 16, 2011,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America Invents Act, or the Leahy-Smith Act, was signed into law. The Leahy-Smith Act includes a number of significant changes to U.S. patent law. These include provisions that affect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way patent applications are prosecuted and may also affect patent litigation. The USPTO recently developed new regulations and procedures to govern administration of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and many of the substantive changes to patent law associated with the Leahy-Smith Act, in particular the first to file provisions, became effective on March 16, 2013. A third party that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files a patent application in the USPTO after that date but before us could therefore be awarded a patent covering an invention of ours even if we had made the invention before it was made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by the third party. This requires us to be cognizant of the time from invention to filing of a patent application. Thus, for our U.S. patent applications containing a priority claim after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March 16, 2013, there is a greater level of uncertainty in the patent law. Moreover, some of the patent applications in our portfolio will be subject to examination under the pre-Leahy-Smith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law and regulations, while other patents applications in our portfolio will be subject to examination under the law and regulations, as amended by the Leahy-Smith Act. This introduces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additional complexities into the prosecution and management of our portfolio.</w:t>
      </w:r>
    </w:p>
    <w:p>
      <w:pPr>
        <w:spacing w:after="0" w:line="19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2"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1" w:lineRule="exact"/>
        <w:rPr>
          <w:sz w:val="20"/>
          <w:szCs w:val="20"/>
          <w:color w:val="auto"/>
        </w:rPr>
      </w:pPr>
    </w:p>
    <w:p>
      <w:pPr>
        <w:jc w:val="both"/>
        <w:ind w:right="100"/>
        <w:spacing w:after="0" w:line="277"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2" w:lineRule="exact"/>
        <w:rPr>
          <w:sz w:val="20"/>
          <w:szCs w:val="20"/>
          <w:color w:val="auto"/>
        </w:rPr>
      </w:pPr>
    </w:p>
    <w:p>
      <w:pPr>
        <w:ind w:right="580"/>
        <w:spacing w:after="0" w:line="270" w:lineRule="auto"/>
        <w:rPr>
          <w:sz w:val="20"/>
          <w:szCs w:val="20"/>
          <w:color w:val="auto"/>
        </w:rPr>
      </w:pPr>
      <w:r>
        <w:rPr>
          <w:rFonts w:ascii="Arial" w:cs="Arial" w:eastAsia="Arial" w:hAnsi="Arial"/>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6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0" w:name="page51"/>
    <w:bookmarkEnd w:id="5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09"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1"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79"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26630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7"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6" w:lineRule="exact"/>
        <w:rPr>
          <w:sz w:val="20"/>
          <w:szCs w:val="20"/>
          <w:color w:val="auto"/>
        </w:rPr>
      </w:pPr>
    </w:p>
    <w:p>
      <w:pPr>
        <w:ind w:right="720"/>
        <w:spacing w:after="0" w:line="277"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and BIND Therapeutics, Inc. Under our existing licensing agreements, we are obligated to pay royalties on net product sales of product candidates or related technologies to the extent they are covered by the agreement. If we fail to comply with our obligations under current or future license agreements, our counterparties may have the right to terminate these agreements, in which event we might not be 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 —Licenses and collaborations."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9"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7"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4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3"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3"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ind w:right="20"/>
        <w:spacing w:after="0" w:line="304"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jc w:val="both"/>
        <w:ind w:right="2760"/>
        <w:spacing w:after="0" w:line="541" w:lineRule="auto"/>
        <w:rPr>
          <w:sz w:val="20"/>
          <w:szCs w:val="20"/>
          <w:color w:val="auto"/>
        </w:rPr>
      </w:pPr>
      <w:r>
        <w:rPr>
          <w:rFonts w:ascii="Arial" w:cs="Arial" w:eastAsia="Arial" w:hAnsi="Arial"/>
          <w:sz w:val="14"/>
          <w:szCs w:val="14"/>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10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3"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7" w:name="page58"/>
    <w:bookmarkEnd w:id="5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pricing and reimbursement, legal, political, tax and labor conditions, which could harm our business. For example, one of our principal shareholders, RUSNANO, is a Russian controlled entity and in 2015 several RUSNANO managers were accused of corruption and removed from their respective positions. While we and our officers and directors were not accused of any wrongdoing, further corruption charges could harm our reputation and increase the risk of political action against RUSNANO or us.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8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21" w:lineRule="exact"/>
        <w:rPr>
          <w:rFonts w:ascii="Arial" w:cs="Arial" w:eastAsia="Arial" w:hAnsi="Arial"/>
          <w:sz w:val="15"/>
          <w:szCs w:val="15"/>
          <w:color w:val="auto"/>
        </w:rPr>
      </w:pPr>
    </w:p>
    <w:p>
      <w:pPr>
        <w:ind w:left="467" w:right="200" w:hanging="467"/>
        <w:spacing w:after="0" w:line="319" w:lineRule="auto"/>
        <w:tabs>
          <w:tab w:leader="none" w:pos="4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39" w:lineRule="exact"/>
        <w:rPr>
          <w:rFonts w:ascii="Arial" w:cs="Arial" w:eastAsia="Arial" w:hAnsi="Arial"/>
          <w:sz w:val="14"/>
          <w:szCs w:val="14"/>
          <w:color w:val="auto"/>
        </w:rPr>
      </w:pPr>
    </w:p>
    <w:p>
      <w:pPr>
        <w:ind w:left="467" w:right="18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21" w:lineRule="exact"/>
        <w:rPr>
          <w:rFonts w:ascii="Arial" w:cs="Arial" w:eastAsia="Arial" w:hAnsi="Arial"/>
          <w:sz w:val="15"/>
          <w:szCs w:val="15"/>
          <w:color w:val="auto"/>
        </w:rPr>
      </w:pPr>
    </w:p>
    <w:p>
      <w:pPr>
        <w:ind w:left="467" w:right="14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21" w:lineRule="exact"/>
        <w:rPr>
          <w:rFonts w:ascii="Arial" w:cs="Arial" w:eastAsia="Arial" w:hAnsi="Arial"/>
          <w:sz w:val="15"/>
          <w:szCs w:val="15"/>
          <w:color w:val="auto"/>
        </w:rPr>
      </w:pPr>
    </w:p>
    <w:p>
      <w:pPr>
        <w:ind w:left="467" w:right="30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7"/>
          </w:cols>
          <w:pgMar w:left="233" w:top="132" w:right="359" w:bottom="1440" w:gutter="0" w:footer="0" w:header="0"/>
        </w:sectPr>
      </w:pPr>
    </w:p>
    <w:bookmarkStart w:id="58" w:name="page59"/>
    <w:bookmarkEnd w:id="5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right="100"/>
        <w:spacing w:after="0" w:line="313" w:lineRule="auto"/>
        <w:rPr>
          <w:sz w:val="20"/>
          <w:szCs w:val="20"/>
          <w:color w:val="auto"/>
        </w:rPr>
      </w:pPr>
      <w:r>
        <w:rPr>
          <w:rFonts w:ascii="Arial" w:cs="Arial" w:eastAsia="Arial" w:hAnsi="Arial"/>
          <w:sz w:val="13"/>
          <w:szCs w:val="13"/>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$3.8 million of cash in Russian banks as of December 31, 2015.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60"/>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1" w:lineRule="exact"/>
        <w:rPr>
          <w:sz w:val="20"/>
          <w:szCs w:val="20"/>
          <w:color w:val="auto"/>
        </w:rPr>
      </w:pPr>
    </w:p>
    <w:p>
      <w:pPr>
        <w:ind w:left="7" w:right="300"/>
        <w:spacing w:after="0" w:line="277"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3" w:lineRule="exact"/>
        <w:rPr>
          <w:sz w:val="20"/>
          <w:szCs w:val="20"/>
          <w:color w:val="auto"/>
        </w:rPr>
      </w:pPr>
    </w:p>
    <w:p>
      <w:pPr>
        <w:jc w:val="both"/>
        <w:ind w:left="7" w:right="22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ind w:left="7" w:right="60" w:hanging="7"/>
        <w:spacing w:after="0" w:line="283" w:lineRule="auto"/>
        <w:tabs>
          <w:tab w:leader="none" w:pos="221" w:val="left"/>
        </w:tabs>
        <w:numPr>
          <w:ilvl w:val="0"/>
          <w:numId w:val="43"/>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6630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9" w:name="page60"/>
    <w:bookmarkEnd w:id="5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97" w:lineRule="auto"/>
        <w:rPr>
          <w:sz w:val="20"/>
          <w:szCs w:val="20"/>
          <w:color w:val="auto"/>
        </w:rPr>
      </w:pPr>
      <w:r>
        <w:rPr>
          <w:rFonts w:ascii="Arial" w:cs="Arial" w:eastAsia="Arial" w:hAnsi="Arial"/>
          <w:sz w:val="14"/>
          <w:szCs w:val="14"/>
          <w:color w:val="auto"/>
        </w:rPr>
        <w:t>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1" w:lineRule="exact"/>
        <w:rPr>
          <w:sz w:val="20"/>
          <w:szCs w:val="20"/>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we have applied to have our common stock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0" w:name="page61"/>
    <w:bookmarkEnd w:id="6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20"/>
        <w:spacing w:after="0" w:line="277"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3"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1"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440"/>
        <w:spacing w:after="0" w:line="277"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143"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Upon the closing of this offering, based on the number of shares of common stock outstanding as of , 2016, our executive officers, directors and stockholders who owned more than 5% of our outstanding common stock before this offering and their respective affiliates will, in the aggregate, hold shares representing approximately % of our</w:t>
      </w:r>
    </w:p>
    <w:p>
      <w:pPr>
        <w:ind w:right="40"/>
        <w:spacing w:after="0" w:line="266" w:lineRule="auto"/>
        <w:rPr>
          <w:sz w:val="20"/>
          <w:szCs w:val="20"/>
          <w:color w:val="auto"/>
        </w:rPr>
      </w:pPr>
      <w:r>
        <w:rPr>
          <w:rFonts w:ascii="Arial" w:cs="Arial" w:eastAsia="Arial" w:hAnsi="Arial"/>
          <w:sz w:val="15"/>
          <w:szCs w:val="15"/>
          <w:color w:val="auto"/>
        </w:rPr>
        <w:t>outstanding voting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3"/>
          <w:szCs w:val="13"/>
          <w:color w:val="auto"/>
        </w:rPr>
        <w:t>The initial public offering price of our common stock will be substantially higher than the net tangible book value per share of our common stock. Therefore, if you purchase shares of our common stock in this offering, you will pay a price per share that substantially exceeds our net tangible book value per share after this offering. To the extent shares subsequently are issued</w:t>
      </w:r>
    </w:p>
    <w:p>
      <w:pPr>
        <w:ind w:right="260"/>
        <w:spacing w:after="0" w:line="257" w:lineRule="auto"/>
        <w:rPr>
          <w:sz w:val="20"/>
          <w:szCs w:val="20"/>
          <w:color w:val="auto"/>
        </w:rPr>
      </w:pPr>
      <w:r>
        <w:rPr>
          <w:rFonts w:ascii="Arial" w:cs="Arial" w:eastAsia="Arial" w:hAnsi="Arial"/>
          <w:sz w:val="15"/>
          <w:szCs w:val="15"/>
          <w:color w:val="auto"/>
        </w:rPr>
        <w:t>under outstanding options or warrants, you will incur further dilution. Based on an assumed initial public offering price of $ per share, which is the midpoint of the price range set forth on the cover page of this prospectus, you will experience immediate dilution of $ per share as of , 2016, representing the difference between our pro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forma as adjusted net tangible book value per share, after giving effect to this offering, and the assumed initial public offering price. In addition, purchasers of common stock in this offering</w:t>
      </w:r>
    </w:p>
    <w:p>
      <w:pPr>
        <w:spacing w:after="0" w:line="330"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will have contributed approximately % of the aggregate price paid by all purchasers of our stock but will own only approximately % of our common stock outstanding after this offering.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9"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Sales of a substantial number of shares of our common stock in the public market, or the perception in the market that the holders of a large number of shares intend to sell shares, could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jc w:val="right"/>
              <w:ind w:right="453"/>
              <w:spacing w:after="0"/>
              <w:rPr>
                <w:sz w:val="20"/>
                <w:szCs w:val="20"/>
                <w:color w:val="auto"/>
              </w:rPr>
            </w:pPr>
            <w:r>
              <w:rPr>
                <w:rFonts w:ascii="Arial" w:cs="Arial" w:eastAsia="Arial" w:hAnsi="Arial"/>
                <w:sz w:val="15"/>
                <w:szCs w:val="15"/>
                <w:color w:val="auto"/>
                <w:w w:val="91"/>
              </w:rPr>
              <w:t>reduce the market price of our common stock. After this offering, we will have outstanding</w:t>
            </w:r>
          </w:p>
        </w:tc>
        <w:tc>
          <w:tcPr>
            <w:tcW w:w="5440" w:type="dxa"/>
            <w:vAlign w:val="bottom"/>
          </w:tcPr>
          <w:p>
            <w:pPr>
              <w:ind w:left="500"/>
              <w:spacing w:after="0"/>
              <w:rPr>
                <w:sz w:val="20"/>
                <w:szCs w:val="20"/>
                <w:color w:val="auto"/>
              </w:rPr>
            </w:pPr>
            <w:r>
              <w:rPr>
                <w:rFonts w:ascii="Arial" w:cs="Arial" w:eastAsia="Arial" w:hAnsi="Arial"/>
                <w:sz w:val="15"/>
                <w:szCs w:val="15"/>
                <w:color w:val="auto"/>
              </w:rPr>
              <w:t>shares</w:t>
            </w:r>
          </w:p>
        </w:tc>
      </w:tr>
      <w:tr>
        <w:trPr>
          <w:trHeight w:val="183"/>
        </w:trPr>
        <w:tc>
          <w:tcPr>
            <w:tcW w:w="600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tcPr>
          <w:p>
            <w:pPr>
              <w:spacing w:after="0"/>
              <w:rPr>
                <w:sz w:val="15"/>
                <w:szCs w:val="15"/>
                <w:color w:val="auto"/>
              </w:rPr>
            </w:pPr>
          </w:p>
        </w:tc>
      </w:tr>
      <w:tr>
        <w:trPr>
          <w:trHeight w:val="188"/>
        </w:trPr>
        <w:tc>
          <w:tcPr>
            <w:tcW w:w="6000" w:type="dxa"/>
            <w:vAlign w:val="bottom"/>
          </w:tcPr>
          <w:p>
            <w:pPr>
              <w:jc w:val="right"/>
              <w:ind w:right="5773"/>
              <w:spacing w:after="0"/>
              <w:rPr>
                <w:sz w:val="20"/>
                <w:szCs w:val="20"/>
                <w:color w:val="auto"/>
              </w:rPr>
            </w:pPr>
            <w:r>
              <w:rPr>
                <w:rFonts w:ascii="Arial" w:cs="Arial" w:eastAsia="Arial" w:hAnsi="Arial"/>
                <w:sz w:val="12"/>
                <w:szCs w:val="12"/>
                <w:b w:val="1"/>
                <w:bCs w:val="1"/>
                <w:color w:val="auto"/>
              </w:rPr>
              <w:t>58</w:t>
            </w:r>
          </w:p>
        </w:tc>
        <w:tc>
          <w:tcPr>
            <w:tcW w:w="5440" w:type="dxa"/>
            <w:vAlign w:val="bottom"/>
          </w:tcPr>
          <w:p>
            <w:pPr>
              <w:spacing w:after="0"/>
              <w:rPr>
                <w:sz w:val="16"/>
                <w:szCs w:val="16"/>
                <w:color w:val="auto"/>
              </w:rPr>
            </w:pPr>
          </w:p>
        </w:tc>
      </w:tr>
      <w:tr>
        <w:trPr>
          <w:trHeight w:val="205"/>
        </w:trPr>
        <w:tc>
          <w:tcPr>
            <w:tcW w:w="6000" w:type="dxa"/>
            <w:vAlign w:val="bottom"/>
            <w:tcBorders>
              <w:bottom w:val="single" w:sz="8" w:color="808080"/>
            </w:tcBorders>
          </w:tcPr>
          <w:p>
            <w:pPr>
              <w:spacing w:after="0"/>
              <w:rPr>
                <w:sz w:val="17"/>
                <w:szCs w:val="17"/>
                <w:color w:val="auto"/>
              </w:rPr>
            </w:pPr>
          </w:p>
        </w:tc>
        <w:tc>
          <w:tcPr>
            <w:tcW w:w="54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of common stock based on the number of shares outstanding as of , 2016. This includes the shares that we are selling in this offering, which may be resold in the public market immediately without restriction, unless purchased by our affiliates or existing stockholders. The remaining sh ares are currently restricted as a result of</w:t>
      </w:r>
    </w:p>
    <w:p>
      <w:pPr>
        <w:ind w:left="7" w:right="100"/>
        <w:spacing w:after="0" w:line="297" w:lineRule="auto"/>
        <w:rPr>
          <w:sz w:val="20"/>
          <w:szCs w:val="20"/>
          <w:color w:val="auto"/>
        </w:rPr>
      </w:pPr>
      <w:r>
        <w:rPr>
          <w:rFonts w:ascii="Arial" w:cs="Arial" w:eastAsia="Arial" w:hAnsi="Arial"/>
          <w:sz w:val="13"/>
          <w:szCs w:val="13"/>
          <w:color w:val="auto"/>
        </w:rPr>
        <w:t>securities laws or lock-up agreements but will become eligible to be sold at various times beginning 180 days after this offering, unless held by one of our affiliates, in which case the resale of those securities will be subject to volume limitations under Rule 144 of the Securities Act of 1933, as amended, or Rule 144. Moreover, after this offering, holders of an aggregate</w:t>
      </w:r>
    </w:p>
    <w:p>
      <w:pPr>
        <w:spacing w:after="0" w:line="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of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57" w:lineRule="exact"/>
        <w:rPr>
          <w:sz w:val="20"/>
          <w:szCs w:val="20"/>
          <w:color w:val="auto"/>
        </w:rPr>
      </w:pPr>
    </w:p>
    <w:p>
      <w:pPr>
        <w:ind w:left="7" w:right="60"/>
        <w:spacing w:after="0" w:line="277"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3"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467" w:right="68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09" w:lineRule="exact"/>
        <w:rPr>
          <w:rFonts w:ascii="Arial" w:cs="Arial" w:eastAsia="Arial" w:hAnsi="Arial"/>
          <w:sz w:val="15"/>
          <w:szCs w:val="15"/>
          <w:color w:val="auto"/>
        </w:rPr>
      </w:pPr>
    </w:p>
    <w:p>
      <w:pPr>
        <w:ind w:left="467" w:right="7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1"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ind w:left="7" w:right="340"/>
        <w:spacing w:after="0" w:line="297"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5"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2663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3"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59"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7" w:right="140"/>
        <w:spacing w:after="0" w:line="262"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9" w:lineRule="exact"/>
        <w:rPr>
          <w:sz w:val="20"/>
          <w:szCs w:val="20"/>
          <w:color w:val="auto"/>
        </w:rPr>
      </w:pPr>
    </w:p>
    <w:p>
      <w:pPr>
        <w:ind w:left="467" w:hanging="467"/>
        <w:spacing w:after="0"/>
        <w:tabs>
          <w:tab w:leader="none" w:pos="467"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09" w:lineRule="exact"/>
        <w:rPr>
          <w:rFonts w:ascii="Arial" w:cs="Arial" w:eastAsia="Arial" w:hAnsi="Arial"/>
          <w:sz w:val="15"/>
          <w:szCs w:val="15"/>
          <w:color w:val="auto"/>
        </w:rPr>
      </w:pPr>
    </w:p>
    <w:p>
      <w:pPr>
        <w:ind w:left="467" w:right="26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2"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09"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5" w:name="page66"/>
    <w:bookmarkEnd w:id="6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3" w:lineRule="exact"/>
        <w:rPr>
          <w:rFonts w:ascii="Arial" w:cs="Arial" w:eastAsia="Arial" w:hAnsi="Arial"/>
          <w:sz w:val="15"/>
          <w:szCs w:val="15"/>
          <w:color w:val="auto"/>
        </w:rPr>
      </w:pPr>
    </w:p>
    <w:p>
      <w:pPr>
        <w:ind w:left="467" w:right="160" w:hanging="467"/>
        <w:spacing w:after="0" w:line="270"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9" w:lineRule="exact"/>
        <w:rPr>
          <w:sz w:val="20"/>
          <w:szCs w:val="20"/>
          <w:color w:val="auto"/>
        </w:rPr>
      </w:pPr>
    </w:p>
    <w:p>
      <w:pPr>
        <w:jc w:val="both"/>
        <w:ind w:left="7" w:right="20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jc w:val="both"/>
        <w:ind w:left="7" w:right="60"/>
        <w:spacing w:after="0" w:line="259"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6"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2"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95"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dividends. As a result, capital appreciation, if any, of our common stock will be your sole source of gain for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1"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9" w:name="page70"/>
    <w:bookmarkEnd w:id="69"/>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3" w:lineRule="exact"/>
        <w:rPr>
          <w:sz w:val="20"/>
          <w:szCs w:val="20"/>
          <w:color w:val="auto"/>
        </w:rPr>
      </w:pPr>
    </w:p>
    <w:p>
      <w:pPr>
        <w:ind w:left="7"/>
        <w:spacing w:after="0"/>
        <w:tabs>
          <w:tab w:leader="none" w:pos="3487" w:val="left"/>
          <w:tab w:leader="none" w:pos="8107" w:val="left"/>
        </w:tabs>
        <w:rPr>
          <w:sz w:val="20"/>
          <w:szCs w:val="20"/>
          <w:color w:val="auto"/>
        </w:rPr>
      </w:pPr>
      <w:r>
        <w:rPr>
          <w:rFonts w:ascii="Arial" w:cs="Arial" w:eastAsia="Arial" w:hAnsi="Arial"/>
          <w:sz w:val="15"/>
          <w:szCs w:val="15"/>
          <w:color w:val="auto"/>
        </w:rPr>
        <w:t>We estimate that the net proceeds from our sale of</w:t>
      </w:r>
      <w:r>
        <w:rPr>
          <w:sz w:val="20"/>
          <w:szCs w:val="20"/>
          <w:color w:val="auto"/>
        </w:rPr>
        <w:tab/>
      </w:r>
      <w:r>
        <w:rPr>
          <w:rFonts w:ascii="Arial" w:cs="Arial" w:eastAsia="Arial" w:hAnsi="Arial"/>
          <w:sz w:val="15"/>
          <w:szCs w:val="15"/>
          <w:color w:val="auto"/>
        </w:rPr>
        <w:t>shares of our common stock in this offering will be approximately $</w:t>
      </w:r>
      <w:r>
        <w:rPr>
          <w:sz w:val="20"/>
          <w:szCs w:val="20"/>
          <w:color w:val="auto"/>
        </w:rPr>
        <w:tab/>
      </w:r>
      <w:r>
        <w:rPr>
          <w:rFonts w:ascii="Arial" w:cs="Arial" w:eastAsia="Arial" w:hAnsi="Arial"/>
          <w:sz w:val="14"/>
          <w:szCs w:val="14"/>
          <w:color w:val="auto"/>
        </w:rPr>
        <w:t>million, assuming an initial public offering price of</w:t>
      </w:r>
    </w:p>
    <w:p>
      <w:pPr>
        <w:spacing w:after="0" w:line="2" w:lineRule="exact"/>
        <w:rPr>
          <w:sz w:val="20"/>
          <w:szCs w:val="20"/>
          <w:color w:val="auto"/>
        </w:rPr>
      </w:pPr>
    </w:p>
    <w:p>
      <w:pPr>
        <w:ind w:left="567" w:hanging="567"/>
        <w:spacing w:after="0"/>
        <w:tabs>
          <w:tab w:leader="none" w:pos="567" w:val="left"/>
        </w:tabs>
        <w:numPr>
          <w:ilvl w:val="0"/>
          <w:numId w:val="49"/>
        </w:numPr>
        <w:rPr>
          <w:rFonts w:ascii="Arial" w:cs="Arial" w:eastAsia="Arial" w:hAnsi="Arial"/>
          <w:sz w:val="2"/>
          <w:szCs w:val="2"/>
          <w:color w:val="auto"/>
        </w:rPr>
      </w:pPr>
      <w:r>
        <w:rPr>
          <w:rFonts w:ascii="Arial" w:cs="Arial" w:eastAsia="Arial" w:hAnsi="Arial"/>
          <w:sz w:val="2"/>
          <w:szCs w:val="2"/>
          <w:color w:val="auto"/>
        </w:rPr>
        <w:t>per share, which is the midpoint of the price range set forth on the cover page of this prospectus, and after deducting the estimated underwriting discounts and commissions and</w:t>
      </w:r>
    </w:p>
    <w:p>
      <w:pPr>
        <w:spacing w:after="0" w:line="173" w:lineRule="exact"/>
        <w:rPr>
          <w:sz w:val="20"/>
          <w:szCs w:val="20"/>
          <w:color w:val="auto"/>
        </w:rPr>
      </w:pPr>
    </w:p>
    <w:p>
      <w:pPr>
        <w:ind w:left="7" w:right="160"/>
        <w:spacing w:after="0" w:line="279" w:lineRule="auto"/>
        <w:rPr>
          <w:sz w:val="20"/>
          <w:szCs w:val="20"/>
          <w:color w:val="auto"/>
        </w:rPr>
      </w:pPr>
      <w:r>
        <w:rPr>
          <w:rFonts w:ascii="Arial" w:cs="Arial" w:eastAsia="Arial" w:hAnsi="Arial"/>
          <w:sz w:val="14"/>
          <w:szCs w:val="14"/>
          <w:color w:val="auto"/>
        </w:rPr>
        <w:t>estimated offering expenses payable by us. If the underwriters' option to purchase additional shares from us is exercised in full, we estimate that our net proceeds will be $ million. Each $1.00 increase (decrease) in the assumed initial public offering price of $ per share would increase (decrease) the net proceeds to us from this offering by approximately</w:t>
      </w:r>
    </w:p>
    <w:p>
      <w:pPr>
        <w:spacing w:after="0" w:line="1" w:lineRule="exact"/>
        <w:rPr>
          <w:sz w:val="20"/>
          <w:szCs w:val="20"/>
          <w:color w:val="auto"/>
        </w:rPr>
      </w:pPr>
    </w:p>
    <w:p>
      <w:pPr>
        <w:ind w:left="607" w:hanging="607"/>
        <w:spacing w:after="0"/>
        <w:tabs>
          <w:tab w:leader="none" w:pos="607" w:val="left"/>
        </w:tabs>
        <w:numPr>
          <w:ilvl w:val="0"/>
          <w:numId w:val="50"/>
        </w:numPr>
        <w:rPr>
          <w:rFonts w:ascii="Arial" w:cs="Arial" w:eastAsia="Arial" w:hAnsi="Arial"/>
          <w:sz w:val="13"/>
          <w:szCs w:val="13"/>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estimated underwriting discounts</w:t>
      </w:r>
    </w:p>
    <w:p>
      <w:pPr>
        <w:spacing w:after="0" w:line="35"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3"/>
          <w:szCs w:val="13"/>
          <w:color w:val="auto"/>
        </w:rPr>
        <w:t>and commissions and estimated offering expenses payable by us. Each increase (decrease) of 1.0 million in the number of shares we are offering would increase (decrease) the net proceeds</w:t>
      </w:r>
    </w:p>
    <w:p>
      <w:pPr>
        <w:spacing w:after="0" w:line="216"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to us from this offering, after deducting the estimated underwriting discounts and commissions and estimated offering expenses payable by us, by $ million, assuming the assumed initial public offering price stays the same.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ectPr>
          <w:pgSz w:w="11900" w:h="16838" w:orient="portrait"/>
          <w:cols w:equalWidth="0" w:num="1">
            <w:col w:w="11427"/>
          </w:cols>
          <w:pgMar w:left="233" w:top="333" w:right="239" w:bottom="1440" w:gutter="0" w:footer="0" w:header="0"/>
        </w:sectPr>
      </w:pPr>
    </w:p>
    <w:p>
      <w:pPr>
        <w:spacing w:after="0" w:line="198"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million to support the clinical development of SEL-212, including SEL-212's Phase 2 clinical trial;</w:t>
      </w:r>
    </w:p>
    <w:p>
      <w:pPr>
        <w:spacing w:after="0" w:line="200" w:lineRule="exact"/>
        <w:rPr>
          <w:sz w:val="20"/>
          <w:szCs w:val="20"/>
          <w:color w:val="auto"/>
        </w:rPr>
      </w:pPr>
    </w:p>
    <w:p>
      <w:pPr>
        <w:sectPr>
          <w:pgSz w:w="11900" w:h="16838" w:orient="portrait"/>
          <w:cols w:equalWidth="0" w:num="3">
            <w:col w:w="47" w:space="420"/>
            <w:col w:w="980" w:space="520"/>
            <w:col w:w="9460"/>
          </w:cols>
          <w:pgMar w:left="233" w:top="333" w:right="239" w:bottom="1440" w:gutter="0" w:footer="0" w:header="0"/>
          <w:type w:val="continuous"/>
        </w:sectPr>
      </w:pPr>
    </w:p>
    <w:p>
      <w:pPr>
        <w:spacing w:after="0" w:line="10"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approximately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million to fund preclinical studies for our gene therapy program; and</w:t>
      </w:r>
    </w:p>
    <w:p>
      <w:pPr>
        <w:spacing w:after="0" w:line="200" w:lineRule="exact"/>
        <w:rPr>
          <w:sz w:val="20"/>
          <w:szCs w:val="20"/>
          <w:color w:val="auto"/>
        </w:rPr>
      </w:pPr>
    </w:p>
    <w:p>
      <w:pPr>
        <w:sectPr>
          <w:pgSz w:w="11900" w:h="16838" w:orient="portrait"/>
          <w:cols w:equalWidth="0" w:num="3">
            <w:col w:w="47" w:space="420"/>
            <w:col w:w="980" w:space="520"/>
            <w:col w:w="9460"/>
          </w:cols>
          <w:pgMar w:left="233" w:top="333" w:right="239" w:bottom="1440" w:gutter="0" w:footer="0" w:header="0"/>
          <w:type w:val="continuous"/>
        </w:sectPr>
      </w:pPr>
    </w:p>
    <w:p>
      <w:pPr>
        <w:spacing w:after="0" w:line="33" w:lineRule="exact"/>
        <w:rPr>
          <w:sz w:val="20"/>
          <w:szCs w:val="20"/>
          <w:color w:val="auto"/>
        </w:rPr>
      </w:pPr>
    </w:p>
    <w:p>
      <w:pPr>
        <w:ind w:left="467"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remainder, if any, to fund the further advancement of our gene therapy program as well as other potential future development programs, early-stage research and development and continued development of our SVP technologies, and for working capital and general corporate purposes.</w:t>
      </w:r>
    </w:p>
    <w:p>
      <w:pPr>
        <w:spacing w:after="0" w:line="151"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4"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333"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1" w:name="page72"/>
    <w:bookmarkEnd w:id="7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December 31, 2015, as follows:</w:t>
      </w:r>
    </w:p>
    <w:p>
      <w:pPr>
        <w:spacing w:after="0" w:line="210" w:lineRule="exact"/>
        <w:rPr>
          <w:sz w:val="20"/>
          <w:szCs w:val="20"/>
          <w:color w:val="auto"/>
        </w:rPr>
      </w:pPr>
    </w:p>
    <w:p>
      <w:pPr>
        <w:ind w:left="467" w:hanging="467"/>
        <w:spacing w:after="0"/>
        <w:tabs>
          <w:tab w:leader="none" w:pos="467" w:val="left"/>
        </w:tabs>
        <w:numPr>
          <w:ilvl w:val="0"/>
          <w:numId w:val="52"/>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 a pro forma basis to reflect the (i) the automatic conversion of all shares of our preferred stock into common stock upon closing of this offering, which, based on an assumed</w:t>
      </w:r>
    </w:p>
    <w:p>
      <w:pPr>
        <w:sectPr>
          <w:pgSz w:w="11900" w:h="16838" w:orient="portrait"/>
          <w:cols w:equalWidth="0" w:num="1">
            <w:col w:w="11427"/>
          </w:cols>
          <w:pgMar w:left="233" w:top="132" w:right="239" w:bottom="1440" w:gutter="0" w:footer="0" w:header="0"/>
        </w:sectPr>
      </w:pPr>
    </w:p>
    <w:p>
      <w:pPr>
        <w:spacing w:after="0" w:line="41" w:lineRule="exact"/>
        <w:rPr>
          <w:sz w:val="20"/>
          <w:szCs w:val="20"/>
          <w:color w:val="auto"/>
        </w:rPr>
      </w:pPr>
    </w:p>
    <w:p>
      <w:pPr>
        <w:ind w:left="467"/>
        <w:spacing w:after="0"/>
        <w:tabs>
          <w:tab w:leader="none" w:pos="2827" w:val="left"/>
          <w:tab w:leader="none" w:pos="10127" w:val="left"/>
        </w:tabs>
        <w:rPr>
          <w:sz w:val="20"/>
          <w:szCs w:val="20"/>
          <w:color w:val="auto"/>
        </w:rPr>
      </w:pPr>
      <w:r>
        <w:rPr>
          <w:rFonts w:ascii="Arial" w:cs="Arial" w:eastAsia="Arial" w:hAnsi="Arial"/>
          <w:sz w:val="15"/>
          <w:szCs w:val="15"/>
          <w:color w:val="auto"/>
        </w:rPr>
        <w:t>initial public offering price of $</w:t>
      </w:r>
      <w:r>
        <w:rPr>
          <w:sz w:val="20"/>
          <w:szCs w:val="20"/>
          <w:color w:val="auto"/>
        </w:rPr>
        <w:tab/>
      </w:r>
      <w:r>
        <w:rPr>
          <w:rFonts w:ascii="Arial" w:cs="Arial" w:eastAsia="Arial" w:hAnsi="Arial"/>
          <w:sz w:val="15"/>
          <w:szCs w:val="15"/>
          <w:color w:val="auto"/>
        </w:rPr>
        <w:t>per share, the midpoint of the price range set forth on the cover of this prospectus, would result in the issuance of</w:t>
      </w:r>
      <w:r>
        <w:rPr>
          <w:sz w:val="20"/>
          <w:szCs w:val="20"/>
          <w:color w:val="auto"/>
        </w:rPr>
        <w:tab/>
      </w:r>
      <w:r>
        <w:rPr>
          <w:rFonts w:ascii="Arial" w:cs="Arial" w:eastAsia="Arial" w:hAnsi="Arial"/>
          <w:sz w:val="13"/>
          <w:szCs w:val="13"/>
          <w:color w:val="auto"/>
        </w:rPr>
        <w:t>shares of our</w:t>
      </w:r>
    </w:p>
    <w:p>
      <w:pPr>
        <w:spacing w:after="0" w:line="13" w:lineRule="exact"/>
        <w:rPr>
          <w:sz w:val="20"/>
          <w:szCs w:val="20"/>
          <w:color w:val="auto"/>
        </w:rPr>
      </w:pPr>
    </w:p>
    <w:p>
      <w:pPr>
        <w:ind w:left="467"/>
        <w:spacing w:after="0"/>
        <w:rPr>
          <w:sz w:val="20"/>
          <w:szCs w:val="20"/>
          <w:color w:val="auto"/>
        </w:rPr>
      </w:pPr>
      <w:r>
        <w:rPr>
          <w:rFonts w:ascii="Arial" w:cs="Arial" w:eastAsia="Arial" w:hAnsi="Arial"/>
          <w:sz w:val="13"/>
          <w:szCs w:val="13"/>
          <w:color w:val="auto"/>
        </w:rPr>
        <w:t>common stock, (ii) outstanding warrants to purchase Series D Preferred Stock becoming warrants to purchase 69,768 shares of our common stock, at a weighted average exercise</w:t>
      </w:r>
    </w:p>
    <w:p>
      <w:pPr>
        <w:spacing w:after="0" w:line="36" w:lineRule="exact"/>
        <w:rPr>
          <w:sz w:val="20"/>
          <w:szCs w:val="20"/>
          <w:color w:val="auto"/>
        </w:rPr>
      </w:pPr>
    </w:p>
    <w:p>
      <w:pPr>
        <w:ind w:left="467"/>
        <w:spacing w:after="0"/>
        <w:rPr>
          <w:sz w:val="20"/>
          <w:szCs w:val="20"/>
          <w:color w:val="auto"/>
        </w:rPr>
      </w:pPr>
      <w:r>
        <w:rPr>
          <w:rFonts w:ascii="Arial" w:cs="Arial" w:eastAsia="Arial" w:hAnsi="Arial"/>
          <w:sz w:val="15"/>
          <w:szCs w:val="15"/>
          <w:color w:val="auto"/>
        </w:rPr>
        <w:t>price of $4.30 per share of common stock, upon the closing of this offering, (iii) outstanding warrants to purchase Series E Preferred Stock becoming warrants to</w:t>
      </w:r>
    </w:p>
    <w:p>
      <w:pPr>
        <w:spacing w:after="0" w:line="13" w:lineRule="exact"/>
        <w:rPr>
          <w:sz w:val="20"/>
          <w:szCs w:val="20"/>
          <w:color w:val="auto"/>
        </w:rPr>
      </w:pPr>
    </w:p>
    <w:p>
      <w:pPr>
        <w:ind w:left="467"/>
        <w:spacing w:after="0"/>
        <w:tabs>
          <w:tab w:leader="none" w:pos="1467" w:val="left"/>
          <w:tab w:leader="none" w:pos="6027" w:val="left"/>
        </w:tabs>
        <w:rPr>
          <w:sz w:val="20"/>
          <w:szCs w:val="20"/>
          <w:color w:val="auto"/>
        </w:rPr>
      </w:pPr>
      <w:r>
        <w:rPr>
          <w:rFonts w:ascii="Arial" w:cs="Arial" w:eastAsia="Arial" w:hAnsi="Arial"/>
          <w:sz w:val="15"/>
          <w:szCs w:val="15"/>
          <w:color w:val="auto"/>
        </w:rPr>
        <w:t>purchase</w:t>
      </w:r>
      <w:r>
        <w:rPr>
          <w:sz w:val="20"/>
          <w:szCs w:val="20"/>
          <w:color w:val="auto"/>
        </w:rPr>
        <w:tab/>
      </w:r>
      <w:r>
        <w:rPr>
          <w:rFonts w:ascii="Arial" w:cs="Arial" w:eastAsia="Arial" w:hAnsi="Arial"/>
          <w:sz w:val="15"/>
          <w:szCs w:val="15"/>
          <w:color w:val="auto"/>
        </w:rPr>
        <w:t>shares of our common stock, at a weighted average exercise price of $</w:t>
      </w:r>
      <w:r>
        <w:rPr>
          <w:sz w:val="20"/>
          <w:szCs w:val="20"/>
          <w:color w:val="auto"/>
        </w:rPr>
        <w:tab/>
      </w:r>
      <w:r>
        <w:rPr>
          <w:rFonts w:ascii="Arial" w:cs="Arial" w:eastAsia="Arial" w:hAnsi="Arial"/>
          <w:sz w:val="13"/>
          <w:szCs w:val="13"/>
          <w:color w:val="auto"/>
        </w:rPr>
        <w:t>per share of common stock, upon the closing of this offering, (iv) the automatic cashless</w:t>
      </w:r>
    </w:p>
    <w:p>
      <w:pPr>
        <w:spacing w:after="0" w:line="13" w:lineRule="exact"/>
        <w:rPr>
          <w:sz w:val="20"/>
          <w:szCs w:val="20"/>
          <w:color w:val="auto"/>
        </w:rPr>
      </w:pPr>
    </w:p>
    <w:p>
      <w:pPr>
        <w:ind w:left="467"/>
        <w:spacing w:after="0"/>
        <w:tabs>
          <w:tab w:leader="none" w:pos="3727" w:val="left"/>
        </w:tabs>
        <w:rPr>
          <w:sz w:val="20"/>
          <w:szCs w:val="20"/>
          <w:color w:val="auto"/>
        </w:rPr>
      </w:pPr>
      <w:r>
        <w:rPr>
          <w:rFonts w:ascii="Arial" w:cs="Arial" w:eastAsia="Arial" w:hAnsi="Arial"/>
          <w:sz w:val="15"/>
          <w:szCs w:val="15"/>
          <w:color w:val="auto"/>
        </w:rPr>
        <w:t>exercise of the Series E Common Warrants for</w:t>
      </w:r>
      <w:r>
        <w:rPr>
          <w:sz w:val="20"/>
          <w:szCs w:val="20"/>
          <w:color w:val="auto"/>
        </w:rPr>
        <w:tab/>
      </w:r>
      <w:r>
        <w:rPr>
          <w:rFonts w:ascii="Arial" w:cs="Arial" w:eastAsia="Arial" w:hAnsi="Arial"/>
          <w:sz w:val="13"/>
          <w:szCs w:val="13"/>
          <w:color w:val="auto"/>
        </w:rPr>
        <w:t>shares of our common stock and (v) the filing of our restated certificate of incorporation; and</w:t>
      </w:r>
    </w:p>
    <w:p>
      <w:pPr>
        <w:sectPr>
          <w:pgSz w:w="11900" w:h="16838" w:orient="portrait"/>
          <w:cols w:equalWidth="0" w:num="1">
            <w:col w:w="11427"/>
          </w:cols>
          <w:pgMar w:left="233" w:top="132" w:right="239" w:bottom="1440" w:gutter="0" w:footer="0" w:header="0"/>
          <w:type w:val="continuous"/>
        </w:sectPr>
      </w:pPr>
    </w:p>
    <w:p>
      <w:pPr>
        <w:spacing w:after="0" w:line="193"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tabs>
          <w:tab w:leader="none" w:pos="5300" w:val="left"/>
        </w:tabs>
        <w:rPr>
          <w:sz w:val="20"/>
          <w:szCs w:val="20"/>
          <w:color w:val="auto"/>
        </w:rPr>
      </w:pPr>
      <w:r>
        <w:rPr>
          <w:rFonts w:ascii="Arial" w:cs="Arial" w:eastAsia="Arial" w:hAnsi="Arial"/>
          <w:sz w:val="15"/>
          <w:szCs w:val="15"/>
          <w:color w:val="auto"/>
        </w:rPr>
        <w:t>on a pro forma as adjusted basis to give further effect to our issuance and sale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18" w:lineRule="exact"/>
        <w:rPr>
          <w:sz w:val="20"/>
          <w:szCs w:val="20"/>
          <w:color w:val="auto"/>
        </w:rPr>
      </w:pPr>
    </w:p>
    <w:p>
      <w:pPr>
        <w:sectPr>
          <w:pgSz w:w="11900" w:h="16838" w:orient="portrait"/>
          <w:cols w:equalWidth="0" w:num="2">
            <w:col w:w="47" w:space="420"/>
            <w:col w:w="10960"/>
          </w:cols>
          <w:pgMar w:left="233" w:top="132" w:right="239" w:bottom="1440" w:gutter="0" w:footer="0" w:header="0"/>
          <w:type w:val="continuous"/>
        </w:sectPr>
      </w:pPr>
    </w:p>
    <w:p>
      <w:pPr>
        <w:ind w:left="467" w:right="60" w:hanging="4"/>
        <w:spacing w:after="0" w:line="275" w:lineRule="auto"/>
        <w:tabs>
          <w:tab w:leader="none" w:pos="1032" w:val="left"/>
        </w:tabs>
        <w:numPr>
          <w:ilvl w:val="0"/>
          <w:numId w:val="53"/>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91"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260"/>
              <w:spacing w:after="0"/>
              <w:rPr>
                <w:sz w:val="20"/>
                <w:szCs w:val="20"/>
                <w:color w:val="auto"/>
              </w:rPr>
            </w:pPr>
            <w:r>
              <w:rPr>
                <w:rFonts w:ascii="Arial" w:cs="Arial" w:eastAsia="Arial" w:hAnsi="Arial"/>
                <w:sz w:val="12"/>
                <w:szCs w:val="12"/>
                <w:b w:val="1"/>
                <w:bCs w:val="1"/>
                <w:color w:val="auto"/>
              </w:rPr>
              <w:t>As of December 31, 2015</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4"/>
                <w:szCs w:val="14"/>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4"/>
        </w:trPr>
        <w:tc>
          <w:tcPr>
            <w:tcW w:w="9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40"/>
              <w:spacing w:after="0" w:line="114" w:lineRule="exact"/>
              <w:rPr>
                <w:sz w:val="20"/>
                <w:szCs w:val="20"/>
                <w:color w:val="auto"/>
              </w:rPr>
            </w:pPr>
            <w:r>
              <w:rPr>
                <w:rFonts w:ascii="Arial" w:cs="Arial" w:eastAsia="Arial" w:hAnsi="Arial"/>
                <w:sz w:val="12"/>
                <w:szCs w:val="12"/>
                <w:b w:val="1"/>
                <w:bCs w:val="1"/>
                <w:color w:val="auto"/>
              </w:rPr>
              <w:t>(unaudited)</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280"/>
              <w:spacing w:after="0"/>
              <w:rPr>
                <w:sz w:val="20"/>
                <w:szCs w:val="20"/>
                <w:color w:val="auto"/>
              </w:rPr>
            </w:pPr>
            <w:r>
              <w:rPr>
                <w:rFonts w:ascii="Arial" w:cs="Arial" w:eastAsia="Arial" w:hAnsi="Arial"/>
                <w:sz w:val="12"/>
                <w:szCs w:val="12"/>
                <w:b w:val="1"/>
                <w:bCs w:val="1"/>
                <w:color w:val="auto"/>
              </w:rPr>
              <w:t>(in thousands, except for share data)</w:t>
            </w:r>
          </w:p>
        </w:tc>
        <w:tc>
          <w:tcPr>
            <w:tcW w:w="0" w:type="dxa"/>
            <w:vAlign w:val="bottom"/>
          </w:tcPr>
          <w:p>
            <w:pPr>
              <w:spacing w:after="0"/>
              <w:rPr>
                <w:sz w:val="1"/>
                <w:szCs w:val="1"/>
                <w:color w:val="auto"/>
              </w:rPr>
            </w:pPr>
          </w:p>
        </w:tc>
      </w:tr>
      <w:tr>
        <w:trPr>
          <w:trHeight w:val="185"/>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Cash and cash equivalents</w:t>
            </w:r>
          </w:p>
        </w:tc>
        <w:tc>
          <w:tcPr>
            <w:tcW w:w="86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5"/>
                <w:szCs w:val="15"/>
                <w:color w:val="auto"/>
              </w:rPr>
              <w:t>Preferred stock warrant liability</w:t>
            </w: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0" w:type="dxa"/>
            <w:vAlign w:val="bottom"/>
            <w:gridSpan w:val="3"/>
            <w:vMerge w:val="continue"/>
          </w:tcPr>
          <w:p>
            <w:pPr>
              <w:spacing w:after="0"/>
              <w:rPr>
                <w:sz w:val="13"/>
                <w:szCs w:val="13"/>
                <w:color w:val="auto"/>
              </w:rPr>
            </w:pP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60" w:lineRule="exact"/>
              <w:rPr>
                <w:sz w:val="20"/>
                <w:szCs w:val="20"/>
                <w:color w:val="auto"/>
              </w:rPr>
            </w:pPr>
            <w:r>
              <w:rPr>
                <w:rFonts w:ascii="Arial" w:cs="Arial" w:eastAsia="Arial" w:hAnsi="Arial"/>
                <w:sz w:val="15"/>
                <w:szCs w:val="15"/>
                <w:color w:val="auto"/>
              </w:rPr>
              <w:t>290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26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Long-term debt, net of current portion</w:t>
            </w:r>
          </w:p>
        </w:tc>
        <w:tc>
          <w:tcPr>
            <w:tcW w:w="28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580" w:type="dxa"/>
            <w:vAlign w:val="bottom"/>
            <w:gridSpan w:val="6"/>
          </w:tcPr>
          <w:p>
            <w:pPr>
              <w:spacing w:after="0"/>
              <w:rPr>
                <w:sz w:val="20"/>
                <w:szCs w:val="20"/>
                <w:color w:val="auto"/>
              </w:rPr>
            </w:pPr>
            <w:r>
              <w:rPr>
                <w:rFonts w:ascii="Arial" w:cs="Arial" w:eastAsia="Arial" w:hAnsi="Arial"/>
                <w:sz w:val="15"/>
                <w:szCs w:val="15"/>
                <w:color w:val="auto"/>
                <w:w w:val="96"/>
              </w:rPr>
              <w:t>Redeemable convertible preferred stock (Series A, B, C, D, E and SRN), par value $0.0001 per share;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80" w:type="dxa"/>
            <w:vAlign w:val="bottom"/>
            <w:gridSpan w:val="6"/>
          </w:tcPr>
          <w:p>
            <w:pPr>
              <w:ind w:left="140"/>
              <w:spacing w:after="0"/>
              <w:rPr>
                <w:sz w:val="20"/>
                <w:szCs w:val="20"/>
                <w:color w:val="auto"/>
              </w:rPr>
            </w:pPr>
            <w:r>
              <w:rPr>
                <w:rFonts w:ascii="Arial" w:cs="Arial" w:eastAsia="Arial" w:hAnsi="Arial"/>
                <w:sz w:val="15"/>
                <w:szCs w:val="15"/>
                <w:color w:val="auto"/>
                <w:w w:val="92"/>
              </w:rPr>
              <w:t>37,835,623 shares authorized, 34,127,186 shares issued and outstanding, actual; no shares authorized,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60" w:type="dxa"/>
            <w:vAlign w:val="bottom"/>
            <w:gridSpan w:val="4"/>
          </w:tcPr>
          <w:p>
            <w:pPr>
              <w:ind w:left="140"/>
              <w:spacing w:after="0"/>
              <w:rPr>
                <w:sz w:val="20"/>
                <w:szCs w:val="20"/>
                <w:color w:val="auto"/>
              </w:rPr>
            </w:pPr>
            <w:r>
              <w:rPr>
                <w:rFonts w:ascii="Arial" w:cs="Arial" w:eastAsia="Arial" w:hAnsi="Arial"/>
                <w:sz w:val="15"/>
                <w:szCs w:val="15"/>
                <w:color w:val="auto"/>
              </w:rPr>
              <w:t>issued or outstanding, pro forma and pro forma as adjusted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137,482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5460" w:type="dxa"/>
            <w:vAlign w:val="bottom"/>
            <w:gridSpan w:val="4"/>
            <w:shd w:val="clear" w:color="auto" w:fill="CCEEFF"/>
          </w:tcPr>
          <w:p>
            <w:pPr>
              <w:spacing w:after="0"/>
              <w:rPr>
                <w:sz w:val="20"/>
                <w:szCs w:val="20"/>
                <w:color w:val="auto"/>
              </w:rPr>
            </w:pPr>
            <w:r>
              <w:rPr>
                <w:rFonts w:ascii="Arial" w:cs="Arial" w:eastAsia="Arial" w:hAnsi="Arial"/>
                <w:sz w:val="15"/>
                <w:szCs w:val="15"/>
                <w:color w:val="auto"/>
                <w:w w:val="93"/>
              </w:rPr>
              <w:t>Preferred stock, $0.0001 par value; no shares authorized, issued or outstanding, actual;</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shares</w:t>
            </w: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6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3"/>
              </w:rPr>
              <w:t>authorized and no shares issued or outstanding, pro forma and pro forma as adjusted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80" w:type="dxa"/>
            <w:vAlign w:val="bottom"/>
            <w:gridSpan w:val="6"/>
          </w:tcPr>
          <w:p>
            <w:pPr>
              <w:spacing w:after="0"/>
              <w:rPr>
                <w:sz w:val="20"/>
                <w:szCs w:val="20"/>
                <w:color w:val="auto"/>
              </w:rPr>
            </w:pPr>
            <w:r>
              <w:rPr>
                <w:rFonts w:ascii="Arial" w:cs="Arial" w:eastAsia="Arial" w:hAnsi="Arial"/>
                <w:sz w:val="15"/>
                <w:szCs w:val="15"/>
                <w:color w:val="auto"/>
                <w:w w:val="93"/>
              </w:rPr>
              <w:t>Common stock, par value $0.0001 per share; 62,164,377 shares authorized, 8,505,810 shares issued and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40" w:type="dxa"/>
            <w:vAlign w:val="bottom"/>
            <w:gridSpan w:val="2"/>
          </w:tcPr>
          <w:p>
            <w:pPr>
              <w:ind w:left="140"/>
              <w:spacing w:after="0" w:line="220" w:lineRule="exact"/>
              <w:rPr>
                <w:sz w:val="20"/>
                <w:szCs w:val="20"/>
                <w:color w:val="auto"/>
              </w:rPr>
            </w:pPr>
            <w:r>
              <w:rPr>
                <w:rFonts w:ascii="Arial" w:cs="Arial" w:eastAsia="Arial" w:hAnsi="Arial"/>
                <w:sz w:val="15"/>
                <w:szCs w:val="15"/>
                <w:color w:val="auto"/>
              </w:rPr>
              <w:t>outstanding, actual</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w:t>
            </w:r>
          </w:p>
        </w:tc>
        <w:tc>
          <w:tcPr>
            <w:tcW w:w="3720" w:type="dxa"/>
            <w:vAlign w:val="bottom"/>
            <w:gridSpan w:val="2"/>
          </w:tcPr>
          <w:p>
            <w:pPr>
              <w:ind w:left="160"/>
              <w:spacing w:after="0"/>
              <w:rPr>
                <w:sz w:val="20"/>
                <w:szCs w:val="20"/>
                <w:color w:val="auto"/>
              </w:rPr>
            </w:pPr>
            <w:r>
              <w:rPr>
                <w:rFonts w:ascii="Arial" w:cs="Arial" w:eastAsia="Arial" w:hAnsi="Arial"/>
                <w:sz w:val="15"/>
                <w:szCs w:val="15"/>
                <w:color w:val="auto"/>
                <w:w w:val="94"/>
              </w:rPr>
              <w:t>shares authorized, pro forma and pro forma as adjusted;</w:t>
            </w:r>
          </w:p>
        </w:tc>
        <w:tc>
          <w:tcPr>
            <w:tcW w:w="1120" w:type="dxa"/>
            <w:vAlign w:val="bottom"/>
            <w:gridSpan w:val="2"/>
          </w:tcPr>
          <w:p>
            <w:pPr>
              <w:jc w:val="right"/>
              <w:ind w:right="520"/>
              <w:spacing w:after="0"/>
              <w:rPr>
                <w:sz w:val="20"/>
                <w:szCs w:val="20"/>
                <w:color w:val="auto"/>
              </w:rPr>
            </w:pPr>
            <w:r>
              <w:rPr>
                <w:rFonts w:ascii="Arial" w:cs="Arial" w:eastAsia="Arial" w:hAnsi="Arial"/>
                <w:sz w:val="15"/>
                <w:szCs w:val="15"/>
                <w:color w:val="auto"/>
              </w:rPr>
              <w:t>shares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00" w:type="dxa"/>
            <w:vAlign w:val="bottom"/>
            <w:gridSpan w:val="3"/>
          </w:tcPr>
          <w:p>
            <w:pPr>
              <w:ind w:left="140"/>
              <w:spacing w:after="0" w:line="226" w:lineRule="exact"/>
              <w:rPr>
                <w:sz w:val="20"/>
                <w:szCs w:val="20"/>
                <w:color w:val="auto"/>
              </w:rPr>
            </w:pPr>
            <w:r>
              <w:rPr>
                <w:rFonts w:ascii="Arial" w:cs="Arial" w:eastAsia="Arial" w:hAnsi="Arial"/>
                <w:sz w:val="15"/>
                <w:szCs w:val="15"/>
                <w:color w:val="auto"/>
                <w:w w:val="95"/>
              </w:rPr>
              <w:t>issued and outstanding, pro forma</w:t>
            </w:r>
            <w:r>
              <w:rPr>
                <w:rFonts w:ascii="Arial" w:cs="Arial" w:eastAsia="Arial" w:hAnsi="Arial"/>
                <w:sz w:val="25"/>
                <w:szCs w:val="25"/>
                <w:color w:val="auto"/>
                <w:w w:val="95"/>
                <w:vertAlign w:val="superscript"/>
              </w:rPr>
              <w:t>(1)</w:t>
            </w:r>
            <w:r>
              <w:rPr>
                <w:rFonts w:ascii="Arial" w:cs="Arial" w:eastAsia="Arial" w:hAnsi="Arial"/>
                <w:sz w:val="15"/>
                <w:szCs w:val="15"/>
                <w:color w:val="auto"/>
                <w:w w:val="95"/>
              </w:rPr>
              <w:t xml:space="preserve"> ;</w:t>
            </w:r>
          </w:p>
        </w:tc>
        <w:tc>
          <w:tcPr>
            <w:tcW w:w="3980" w:type="dxa"/>
            <w:vAlign w:val="bottom"/>
            <w:gridSpan w:val="3"/>
          </w:tcPr>
          <w:p>
            <w:pPr>
              <w:jc w:val="right"/>
              <w:ind w:right="460"/>
              <w:spacing w:after="0" w:line="226" w:lineRule="exact"/>
              <w:rPr>
                <w:sz w:val="20"/>
                <w:szCs w:val="20"/>
                <w:color w:val="auto"/>
              </w:rPr>
            </w:pPr>
            <w:r>
              <w:rPr>
                <w:rFonts w:ascii="Arial" w:cs="Arial" w:eastAsia="Arial" w:hAnsi="Arial"/>
                <w:sz w:val="15"/>
                <w:szCs w:val="15"/>
                <w:color w:val="auto"/>
                <w:w w:val="92"/>
              </w:rPr>
              <w:t>shares issued and outstanding, pro forma as adjusted</w:t>
            </w:r>
            <w:r>
              <w:rPr>
                <w:rFonts w:ascii="Arial" w:cs="Arial" w:eastAsia="Arial" w:hAnsi="Arial"/>
                <w:sz w:val="25"/>
                <w:szCs w:val="25"/>
                <w:color w:val="auto"/>
                <w:w w:val="92"/>
                <w:vertAlign w:val="superscript"/>
              </w:rPr>
              <w:t>(1)</w:t>
            </w:r>
          </w:p>
        </w:tc>
        <w:tc>
          <w:tcPr>
            <w:tcW w:w="6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86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40" w:type="dxa"/>
            <w:vAlign w:val="bottom"/>
            <w:gridSpan w:val="2"/>
          </w:tcPr>
          <w:p>
            <w:pPr>
              <w:spacing w:after="0"/>
              <w:rPr>
                <w:sz w:val="20"/>
                <w:szCs w:val="20"/>
                <w:color w:val="auto"/>
              </w:rPr>
            </w:pPr>
            <w:r>
              <w:rPr>
                <w:rFonts w:ascii="Arial" w:cs="Arial" w:eastAsia="Arial" w:hAnsi="Arial"/>
                <w:sz w:val="15"/>
                <w:szCs w:val="15"/>
                <w:color w:val="auto"/>
              </w:rPr>
              <w:t>Accumulated deficit</w:t>
            </w:r>
          </w:p>
        </w:tc>
        <w:tc>
          <w:tcPr>
            <w:tcW w:w="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(111,508)</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8"/>
              </w:rPr>
              <w:t>Accumulated other comprehensive loss</w:t>
            </w:r>
          </w:p>
        </w:tc>
        <w:tc>
          <w:tcPr>
            <w:tcW w:w="28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(4,986)</w:t>
            </w: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0" w:type="dxa"/>
            <w:vAlign w:val="bottom"/>
            <w:gridSpan w:val="3"/>
          </w:tcPr>
          <w:p>
            <w:pPr>
              <w:ind w:left="140"/>
              <w:spacing w:after="0"/>
              <w:rPr>
                <w:sz w:val="20"/>
                <w:szCs w:val="20"/>
                <w:color w:val="auto"/>
              </w:rPr>
            </w:pPr>
            <w:r>
              <w:rPr>
                <w:rFonts w:ascii="Arial" w:cs="Arial" w:eastAsia="Arial" w:hAnsi="Arial"/>
                <w:sz w:val="15"/>
                <w:szCs w:val="15"/>
                <w:color w:val="auto"/>
              </w:rPr>
              <w:t>Total stockholders' equity (deficit)</w:t>
            </w:r>
          </w:p>
        </w:tc>
        <w:tc>
          <w:tcPr>
            <w:tcW w:w="2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0"/>
              </w:rPr>
              <w:t>(116,493)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4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Total capitalization</w:t>
            </w:r>
          </w:p>
        </w:tc>
        <w:tc>
          <w:tcPr>
            <w:tcW w:w="86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20,989</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7" w:hanging="463"/>
        <w:spacing w:after="0"/>
        <w:tabs>
          <w:tab w:leader="none" w:pos="1607" w:val="left"/>
        </w:tabs>
        <w:numPr>
          <w:ilvl w:val="0"/>
          <w:numId w:val="54"/>
        </w:numPr>
        <w:rPr>
          <w:rFonts w:ascii="Arial" w:cs="Arial" w:eastAsia="Arial" w:hAnsi="Arial"/>
          <w:sz w:val="12"/>
          <w:szCs w:val="12"/>
          <w:color w:val="auto"/>
        </w:rPr>
      </w:pPr>
      <w:r>
        <w:rPr>
          <w:rFonts w:ascii="Arial" w:cs="Arial" w:eastAsia="Arial" w:hAnsi="Arial"/>
          <w:sz w:val="12"/>
          <w:szCs w:val="12"/>
          <w:color w:val="auto"/>
        </w:rPr>
        <w:t>Shares issued and outstanding include 29,540 shares of unvested restricted common stock subject to repurchase by us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type w:val="continuous"/>
        </w:sectPr>
      </w:pPr>
    </w:p>
    <w:bookmarkStart w:id="72" w:name="page73"/>
    <w:bookmarkEnd w:id="7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5"/>
        </w:numPr>
        <w:rPr>
          <w:rFonts w:ascii="Arial" w:cs="Arial" w:eastAsia="Arial" w:hAnsi="Arial"/>
          <w:sz w:val="14"/>
          <w:szCs w:val="14"/>
          <w:color w:val="auto"/>
        </w:rPr>
      </w:pPr>
      <w:r>
        <w:rPr>
          <w:rFonts w:ascii="Arial" w:cs="Arial" w:eastAsia="Arial" w:hAnsi="Arial"/>
          <w:sz w:val="14"/>
          <w:szCs w:val="14"/>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5"/>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 and</w:t>
      </w:r>
    </w:p>
    <w:p>
      <w:pPr>
        <w:spacing w:after="0" w:line="209" w:lineRule="exact"/>
        <w:rPr>
          <w:rFonts w:ascii="Arial" w:cs="Arial" w:eastAsia="Arial" w:hAnsi="Arial"/>
          <w:sz w:val="15"/>
          <w:szCs w:val="15"/>
          <w:color w:val="auto"/>
        </w:rPr>
      </w:pPr>
    </w:p>
    <w:p>
      <w:pPr>
        <w:ind w:left="887" w:hanging="887"/>
        <w:spacing w:after="0"/>
        <w:tabs>
          <w:tab w:leader="none" w:pos="887"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2016 Incentive Award Plan, which will become effective upon the closing of this offering as well</w:t>
      </w:r>
    </w:p>
    <w:p>
      <w:pPr>
        <w:spacing w:after="0" w:line="29" w:lineRule="exact"/>
        <w:rPr>
          <w:sz w:val="20"/>
          <w:szCs w:val="20"/>
          <w:color w:val="auto"/>
        </w:rPr>
      </w:pPr>
    </w:p>
    <w:p>
      <w:pPr>
        <w:ind w:left="467" w:right="360"/>
        <w:spacing w:after="0" w:line="275" w:lineRule="auto"/>
        <w:rPr>
          <w:sz w:val="20"/>
          <w:szCs w:val="20"/>
          <w:color w:val="auto"/>
        </w:rPr>
      </w:pPr>
      <w:r>
        <w:rPr>
          <w:rFonts w:ascii="Arial" w:cs="Arial" w:eastAsia="Arial" w:hAnsi="Arial"/>
          <w:sz w:val="15"/>
          <w:szCs w:val="15"/>
          <w:color w:val="auto"/>
        </w:rPr>
        <w:t>as shares of our common stock that become available pursuant to provisions in our 2016 Incentive Award Plan on January 1 of each subsequent calendar year as described in "Executive and director compensation—Long-term incentive plans—2016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26630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1"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As of December 31, 2015, we had a historical net tangible book value of $21.0 million, or $2.47 per share of common stock. Our historical net tangible book value per share represents total tangible assets less total liabilities, divided by the number of shares of our common stock outstanding as of December 31, 2015.</w:t>
      </w:r>
    </w:p>
    <w:p>
      <w:pPr>
        <w:spacing w:after="0" w:line="151"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auto"/>
        </w:rPr>
        <w:t>Our pro forma net tangible book value as of December 31, 2015 was $ million, or $ per share. Pro forma net tangible book value represents the amount of our total tangible assets less total liabilities, after giving effect to the (i) the automatic conversion of all shares of our preferred stock into common stock upon closing of this offering, which, based on an</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4"/>
          <w:szCs w:val="14"/>
          <w:color w:val="auto"/>
        </w:rPr>
        <w:t>assumed initial public offering price of $ per share, the midpoint of the price range set forth on the cover of this prospectus, would result in the issuance of shares of our common stock, (ii) outstanding warrants to purchase Series D Preferred Stock becoming warrants to purchase 69,768 shares of our common stock, at a weighted average exercise price of</w:t>
      </w:r>
    </w:p>
    <w:p>
      <w:pPr>
        <w:ind w:right="180"/>
        <w:spacing w:after="0" w:line="276" w:lineRule="auto"/>
        <w:rPr>
          <w:sz w:val="20"/>
          <w:szCs w:val="20"/>
          <w:color w:val="auto"/>
        </w:rPr>
      </w:pPr>
      <w:r>
        <w:rPr>
          <w:rFonts w:ascii="Arial" w:cs="Arial" w:eastAsia="Arial" w:hAnsi="Arial"/>
          <w:sz w:val="14"/>
          <w:szCs w:val="14"/>
          <w:color w:val="auto"/>
        </w:rPr>
        <w:t>$4.30 per share of common stock, upon the closing of this offering, (iii) outstanding warrants to purchase Series E Preferred Stock becoming warrants to purchase shares of our common stock, at a weighted average exercise price of $ per share of common stock, upon the closing of this offering, (iv) the automatic cashless exercise of the Series E Common Warrants for shares of our common stock and (v) the filing of our restated certificate of incorporation; and the pro forma net tangible book value per share represents our pro forma</w:t>
      </w:r>
    </w:p>
    <w:p>
      <w:pPr>
        <w:ind w:right="140"/>
        <w:spacing w:after="0" w:line="275" w:lineRule="auto"/>
        <w:rPr>
          <w:sz w:val="20"/>
          <w:szCs w:val="20"/>
          <w:color w:val="auto"/>
        </w:rPr>
      </w:pPr>
      <w:r>
        <w:rPr>
          <w:rFonts w:ascii="Arial" w:cs="Arial" w:eastAsia="Arial" w:hAnsi="Arial"/>
          <w:sz w:val="15"/>
          <w:szCs w:val="15"/>
          <w:color w:val="auto"/>
        </w:rPr>
        <w:t>net tangible book value divided by the total number of shares outstanding as of December 31, 2015, after giving effect to the pro forma adjustments described above as if they had occurred on such date.</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After giving further effect to the sale of shares of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as adjusted net tangible book value as of December 31, 2015 would have been approximately $ million, or approximately $ per share. This amount represents an immediate increase in pro forma net tangible book value of $ per share to our existing stockholders and an immediate dilution of approximately $ per share to new investors participating</w:t>
      </w:r>
    </w:p>
    <w:p>
      <w:pPr>
        <w:ind w:right="260"/>
        <w:spacing w:after="0" w:line="275" w:lineRule="auto"/>
        <w:rPr>
          <w:sz w:val="20"/>
          <w:szCs w:val="20"/>
          <w:color w:val="auto"/>
        </w:rPr>
      </w:pPr>
      <w:r>
        <w:rPr>
          <w:rFonts w:ascii="Arial" w:cs="Arial" w:eastAsia="Arial" w:hAnsi="Arial"/>
          <w:sz w:val="15"/>
          <w:szCs w:val="15"/>
          <w:color w:val="auto"/>
        </w:rPr>
        <w:t>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tcPr>
          <w:p>
            <w:pPr>
              <w:ind w:left="160"/>
              <w:spacing w:after="0"/>
              <w:rPr>
                <w:sz w:val="20"/>
                <w:szCs w:val="20"/>
                <w:color w:val="auto"/>
              </w:rPr>
            </w:pPr>
            <w:r>
              <w:rPr>
                <w:rFonts w:ascii="Arial" w:cs="Arial" w:eastAsia="Arial" w:hAnsi="Arial"/>
                <w:sz w:val="15"/>
                <w:szCs w:val="15"/>
                <w:color w:val="auto"/>
              </w:rPr>
              <w:t>Historical net tangible book value per share as of December 31, 2015</w:t>
            </w: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2.47</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(decrease) per share attributable to the conversion of our preferred stock and cashless exercise of our Series E</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75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Common Warrants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tcPr>
          <w:p>
            <w:pPr>
              <w:ind w:left="160"/>
              <w:spacing w:after="0"/>
              <w:rPr>
                <w:sz w:val="20"/>
                <w:szCs w:val="20"/>
                <w:color w:val="auto"/>
              </w:rPr>
            </w:pPr>
            <w:r>
              <w:rPr>
                <w:rFonts w:ascii="Arial" w:cs="Arial" w:eastAsia="Arial" w:hAnsi="Arial"/>
                <w:sz w:val="15"/>
                <w:szCs w:val="15"/>
                <w:color w:val="auto"/>
              </w:rPr>
              <w:t>Pro forma net tangible book value per share as of December 31, 2015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3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720" w:type="dxa"/>
            <w:vAlign w:val="bottom"/>
            <w:gridSpan w:val="2"/>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tcBorders>
              <w:bottom w:val="single" w:sz="8" w:color="auto"/>
            </w:tcBorders>
          </w:tcPr>
          <w:p>
            <w:pPr>
              <w:spacing w:after="0"/>
              <w:rPr>
                <w:sz w:val="13"/>
                <w:szCs w:val="13"/>
                <w:color w:val="auto"/>
              </w:rPr>
            </w:pPr>
          </w:p>
        </w:tc>
        <w:tc>
          <w:tcPr>
            <w:tcW w:w="7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jc w:val="right"/>
              <w:ind w:right="913"/>
              <w:spacing w:after="0"/>
              <w:rPr>
                <w:sz w:val="20"/>
                <w:szCs w:val="20"/>
                <w:color w:val="auto"/>
              </w:rPr>
            </w:pPr>
            <w:r>
              <w:rPr>
                <w:rFonts w:ascii="Arial" w:cs="Arial" w:eastAsia="Arial" w:hAnsi="Arial"/>
                <w:sz w:val="12"/>
                <w:szCs w:val="12"/>
                <w:b w:val="1"/>
                <w:bCs w:val="1"/>
                <w:color w:val="auto"/>
              </w:rPr>
              <w:t>70</w:t>
            </w:r>
          </w:p>
        </w:tc>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40" w:type="dxa"/>
            <w:vAlign w:val="bottom"/>
            <w:tcBorders>
              <w:bottom w:val="single" w:sz="8" w:color="808080"/>
            </w:tcBorders>
          </w:tcPr>
          <w:p>
            <w:pPr>
              <w:spacing w:after="0"/>
              <w:rPr>
                <w:sz w:val="17"/>
                <w:szCs w:val="17"/>
                <w:color w:val="auto"/>
              </w:rPr>
            </w:pPr>
          </w:p>
        </w:tc>
        <w:tc>
          <w:tcPr>
            <w:tcW w:w="7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4" w:name="page75"/>
    <w:bookmarkEnd w:id="7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the pro forma as adjusted net tangible book value per share after this offering by $ million, and increase (decrease) dilution in pro forma net tangible book value per share to new investors by $ , assuming that the number of shares offered by us, as set forth on the cover page of this prospectus, remains the same and after deducting estimated</w:t>
      </w:r>
    </w:p>
    <w:p>
      <w:pPr>
        <w:spacing w:after="0" w:line="1" w:lineRule="exact"/>
        <w:rPr>
          <w:sz w:val="20"/>
          <w:szCs w:val="20"/>
          <w:color w:val="auto"/>
        </w:rPr>
      </w:pPr>
    </w:p>
    <w:p>
      <w:pPr>
        <w:ind w:left="7"/>
        <w:spacing w:after="0"/>
        <w:rPr>
          <w:sz w:val="20"/>
          <w:szCs w:val="20"/>
          <w:color w:val="auto"/>
        </w:rPr>
      </w:pPr>
      <w:r>
        <w:rPr>
          <w:rFonts w:ascii="Arial" w:cs="Arial" w:eastAsia="Arial" w:hAnsi="Arial"/>
          <w:sz w:val="13"/>
          <w:szCs w:val="13"/>
          <w:color w:val="auto"/>
        </w:rPr>
        <w:t>underwriting discounts and commissions and estimated offering expenses payable by us. Each increase (decrease) of 1.0 million shares in the number of shares offered by us would increase</w:t>
      </w:r>
    </w:p>
    <w:p>
      <w:pPr>
        <w:spacing w:after="0" w:line="330"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(decrease) our pro forma as adjusted net tangible book value per share after this offering by $ per share and decrease (increase) the dilution to new investors by $ per share, assuming that the assumed initial public offering price remains the same, and after deducting the estimated underwriting discounts and commissions and the estimated offering expenses payable by us.</w:t>
      </w:r>
    </w:p>
    <w:p>
      <w:pPr>
        <w:spacing w:after="0" w:line="15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 per share, the increase in pro forma net tangible book value per share would be $ and the dilution per share to new investors would be $ per share, in each case assuming an initial public offering price of $ per share, which is the midpoint of the price range set forth on the cover page of this prospectus.</w:t>
      </w:r>
    </w:p>
    <w:p>
      <w:pPr>
        <w:spacing w:after="0" w:line="159" w:lineRule="exact"/>
        <w:rPr>
          <w:sz w:val="20"/>
          <w:szCs w:val="20"/>
          <w:color w:val="auto"/>
        </w:rPr>
      </w:pPr>
    </w:p>
    <w:p>
      <w:pPr>
        <w:ind w:left="7" w:right="140"/>
        <w:spacing w:after="0" w:line="301" w:lineRule="auto"/>
        <w:rPr>
          <w:sz w:val="20"/>
          <w:szCs w:val="20"/>
          <w:color w:val="auto"/>
        </w:rPr>
      </w:pPr>
      <w:r>
        <w:rPr>
          <w:rFonts w:ascii="Arial" w:cs="Arial" w:eastAsia="Arial" w:hAnsi="Arial"/>
          <w:sz w:val="13"/>
          <w:szCs w:val="13"/>
          <w:color w:val="auto"/>
        </w:rPr>
        <w:t>The following table summarizes on the pro forma as adjusted basis described above, as of December 31, 2015, the differences between the number of shares purchased from us, the total consideration paid to us in cash and the average price per share that existing stockholders and new investors paid. The calculation below is based on an assumed initial public offering price</w:t>
      </w:r>
    </w:p>
    <w:p>
      <w:pPr>
        <w:ind w:left="7" w:right="260"/>
        <w:spacing w:after="0" w:line="275" w:lineRule="auto"/>
        <w:rPr>
          <w:sz w:val="20"/>
          <w:szCs w:val="20"/>
          <w:color w:val="auto"/>
        </w:rPr>
      </w:pPr>
      <w:r>
        <w:rPr>
          <w:rFonts w:ascii="Arial" w:cs="Arial" w:eastAsia="Arial" w:hAnsi="Arial"/>
          <w:sz w:val="15"/>
          <w:szCs w:val="15"/>
          <w:color w:val="auto"/>
        </w:rPr>
        <w:t>of $ per share, which is the midpoint of the price range set forth on the cover page of this prospectus, before deducting the estimated underwriting discounts and commissions and estimated offering expenses payable by us.</w:t>
      </w:r>
    </w:p>
    <w:p>
      <w:pPr>
        <w:spacing w:after="0" w:line="36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7"/>
              </w:rPr>
              <w:t>Total</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40" w:type="dxa"/>
            <w:vAlign w:val="bottom"/>
            <w:tcBorders>
              <w:bottom w:val="single" w:sz="8" w:color="auto"/>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rPr>
              <w:t>consideration</w:t>
            </w:r>
          </w:p>
        </w:tc>
        <w:tc>
          <w:tcPr>
            <w:tcW w:w="20" w:type="dxa"/>
            <w:vAlign w:val="bottom"/>
            <w:tcBorders>
              <w:bottom w:val="single" w:sz="8" w:color="auto"/>
            </w:tcBorders>
          </w:tcPr>
          <w:p>
            <w:pPr>
              <w:spacing w:after="0"/>
              <w:rPr>
                <w:sz w:val="12"/>
                <w:szCs w:val="12"/>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900" w:type="dxa"/>
            <w:vAlign w:val="bottom"/>
            <w:gridSpan w:val="6"/>
          </w:tcPr>
          <w:p>
            <w:pPr>
              <w:ind w:left="40"/>
              <w:spacing w:after="0"/>
              <w:rPr>
                <w:sz w:val="20"/>
                <w:szCs w:val="20"/>
                <w:color w:val="auto"/>
              </w:rPr>
            </w:pPr>
            <w:r>
              <w:rPr>
                <w:rFonts w:ascii="Arial" w:cs="Arial" w:eastAsia="Arial" w:hAnsi="Arial"/>
                <w:sz w:val="12"/>
                <w:szCs w:val="12"/>
                <w:b w:val="1"/>
                <w:bCs w:val="1"/>
                <w:color w:val="auto"/>
              </w:rPr>
              <w:t>Percent    Amount    Percent</w:t>
            </w:r>
          </w:p>
        </w:tc>
        <w:tc>
          <w:tcPr>
            <w:tcW w:w="20" w:type="dxa"/>
            <w:vAlign w:val="bottom"/>
          </w:tcPr>
          <w:p>
            <w:pPr>
              <w:spacing w:after="0"/>
              <w:rPr>
                <w:sz w:val="12"/>
                <w:szCs w:val="12"/>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per share</w:t>
            </w:r>
          </w:p>
        </w:tc>
      </w:tr>
      <w:tr>
        <w:trPr>
          <w:trHeight w:val="177"/>
        </w:trPr>
        <w:tc>
          <w:tcPr>
            <w:tcW w:w="20" w:type="dxa"/>
            <w:vAlign w:val="bottom"/>
          </w:tcPr>
          <w:p>
            <w:pPr>
              <w:spacing w:after="0"/>
              <w:rPr>
                <w:sz w:val="15"/>
                <w:szCs w:val="15"/>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96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ind w:right="73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5"/>
                <w:szCs w:val="15"/>
                <w:color w:val="auto"/>
              </w:rPr>
              <w:t>New investors</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c>
          <w:tcPr>
            <w:tcW w:w="2120" w:type="dxa"/>
            <w:vAlign w:val="bottom"/>
            <w:gridSpan w:val="5"/>
            <w:shd w:val="clear" w:color="auto" w:fill="CCEEFF"/>
          </w:tcPr>
          <w:p>
            <w:pPr>
              <w:jc w:val="right"/>
              <w:ind w:right="838"/>
              <w:spacing w:after="0"/>
              <w:rPr>
                <w:sz w:val="20"/>
                <w:szCs w:val="20"/>
                <w:color w:val="auto"/>
              </w:rPr>
            </w:pPr>
            <w:r>
              <w:rPr>
                <w:rFonts w:ascii="Arial" w:cs="Arial" w:eastAsia="Arial" w:hAnsi="Arial"/>
                <w:sz w:val="15"/>
                <w:szCs w:val="15"/>
                <w:color w:val="auto"/>
              </w:rPr>
              <w:t>100%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foregoing tables and calculations are based on 8,505,810 shares of our common stock outstanding as of December 31, 2015, which included 29,540 shares of unvested restricted stock,</w:t>
      </w:r>
    </w:p>
    <w:p>
      <w:pPr>
        <w:spacing w:after="0" w:line="41"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reflect the issuance of shares of common stock issued in connection with the automatic cashless exercise of the Series E Common Warrants on , 2016, and give effect to the conversion of our outstanding preferred stock into shares of common stock, based on an assumed initial public offering price of $ per share, the midpoint of the price range set forth on the cover of this prospectus, upon the closing of this offering, and exclude:</w:t>
      </w:r>
    </w:p>
    <w:p>
      <w:pPr>
        <w:spacing w:after="0" w:line="174"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6,120,579 shares of common stock issuable upon exercise of stock options outstanding as of December 31, 2015, at a weighted average exercise price of $1.18 per share;</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315,198 shares of common stock issuable upon the exercise of warrants outstanding as of December 31, 2015, at a weighted average exercise price of $4.50;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5" w:name="page76"/>
    <w:bookmarkEnd w:id="7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390,136 shares of our common stock reserved for future issuance under our 2008 Equity Incentive Plan; and</w:t>
      </w:r>
    </w:p>
    <w:p>
      <w:pPr>
        <w:spacing w:after="0" w:line="221" w:lineRule="exact"/>
        <w:rPr>
          <w:rFonts w:ascii="Arial" w:cs="Arial" w:eastAsia="Arial" w:hAnsi="Arial"/>
          <w:sz w:val="15"/>
          <w:szCs w:val="15"/>
          <w:color w:val="auto"/>
        </w:rPr>
      </w:pPr>
    </w:p>
    <w:p>
      <w:pPr>
        <w:ind w:left="947" w:hanging="947"/>
        <w:spacing w:after="0"/>
        <w:tabs>
          <w:tab w:leader="none" w:pos="9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2016 Incentive Award Plan, which will become effective upon the closing of this offering as well</w:t>
      </w:r>
    </w:p>
    <w:p>
      <w:pPr>
        <w:spacing w:after="0" w:line="29" w:lineRule="exact"/>
        <w:rPr>
          <w:sz w:val="20"/>
          <w:szCs w:val="20"/>
          <w:color w:val="auto"/>
        </w:rPr>
      </w:pPr>
    </w:p>
    <w:p>
      <w:pPr>
        <w:ind w:left="467" w:right="100"/>
        <w:spacing w:after="0" w:line="275" w:lineRule="auto"/>
        <w:rPr>
          <w:sz w:val="20"/>
          <w:szCs w:val="20"/>
          <w:color w:val="auto"/>
        </w:rPr>
      </w:pPr>
      <w:r>
        <w:rPr>
          <w:rFonts w:ascii="Arial" w:cs="Arial" w:eastAsia="Arial" w:hAnsi="Arial"/>
          <w:sz w:val="15"/>
          <w:szCs w:val="15"/>
          <w:color w:val="auto"/>
        </w:rPr>
        <w:t>as shares of our common stock that become available pursuant to provisions in our 2016 Incentive Award Plan on January 1 of each subsequent calendar year as described in "Executive and director compensation—Long-term incentive plans—2016 Incentive Award Plan."</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3"/>
          <w:szCs w:val="13"/>
          <w:color w:val="auto"/>
        </w:rPr>
        <w:t>To the extent any of these outstanding options or warrants is exercised, there will be further dilution to new investors. If all of such outstanding options and warrants had been exercised as of</w:t>
      </w:r>
    </w:p>
    <w:p>
      <w:pPr>
        <w:spacing w:after="0" w:line="41" w:lineRule="exact"/>
        <w:rPr>
          <w:sz w:val="20"/>
          <w:szCs w:val="20"/>
          <w:color w:val="auto"/>
        </w:rPr>
      </w:pPr>
    </w:p>
    <w:p>
      <w:pPr>
        <w:ind w:left="7"/>
        <w:spacing w:after="0"/>
        <w:tabs>
          <w:tab w:leader="none" w:pos="7067" w:val="left"/>
          <w:tab w:leader="none" w:pos="10987" w:val="left"/>
        </w:tabs>
        <w:rPr>
          <w:sz w:val="20"/>
          <w:szCs w:val="20"/>
          <w:color w:val="auto"/>
        </w:rPr>
      </w:pPr>
      <w:r>
        <w:rPr>
          <w:rFonts w:ascii="Arial" w:cs="Arial" w:eastAsia="Arial" w:hAnsi="Arial"/>
          <w:sz w:val="15"/>
          <w:szCs w:val="15"/>
          <w:color w:val="auto"/>
        </w:rPr>
        <w:t>December 31, 2015, the pro forma as adjusted net tangible book value per share after this offering would be $</w:t>
      </w:r>
      <w:r>
        <w:rPr>
          <w:sz w:val="20"/>
          <w:szCs w:val="20"/>
          <w:color w:val="auto"/>
        </w:rPr>
        <w:tab/>
      </w:r>
      <w:r>
        <w:rPr>
          <w:rFonts w:ascii="Arial" w:cs="Arial" w:eastAsia="Arial" w:hAnsi="Arial"/>
          <w:sz w:val="15"/>
          <w:szCs w:val="15"/>
          <w:color w:val="auto"/>
        </w:rPr>
        <w:t>, and total dilution per share to new investors would be $</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198" w:lineRule="exact"/>
        <w:rPr>
          <w:sz w:val="20"/>
          <w:szCs w:val="20"/>
          <w:color w:val="auto"/>
        </w:rPr>
      </w:pPr>
    </w:p>
    <w:tbl>
      <w:tblPr>
        <w:tblLayout w:type="fixed"/>
        <w:tblInd w:w="7" w:type="dxa"/>
        <w:tblCellMar>
          <w:top w:w="0" w:type="dxa"/>
          <w:left w:w="0" w:type="dxa"/>
          <w:bottom w:w="0" w:type="dxa"/>
          <w:right w:w="0" w:type="dxa"/>
        </w:tblCellMar>
      </w:tblPr>
      <w:tr>
        <w:trPr>
          <w:trHeight w:val="197"/>
        </w:trPr>
        <w:tc>
          <w:tcPr>
            <w:tcW w:w="300" w:type="dxa"/>
            <w:vAlign w:val="bottom"/>
          </w:tcPr>
          <w:p>
            <w:pPr>
              <w:spacing w:after="0"/>
              <w:rPr>
                <w:sz w:val="20"/>
                <w:szCs w:val="20"/>
                <w:color w:val="auto"/>
              </w:rPr>
            </w:pPr>
            <w:r>
              <w:rPr>
                <w:rFonts w:ascii="Arial" w:cs="Arial" w:eastAsia="Arial" w:hAnsi="Arial"/>
                <w:sz w:val="15"/>
                <w:szCs w:val="15"/>
                <w:color w:val="auto"/>
              </w:rPr>
              <w:t>•</w:t>
            </w:r>
          </w:p>
        </w:tc>
        <w:tc>
          <w:tcPr>
            <w:tcW w:w="6540" w:type="dxa"/>
            <w:vAlign w:val="bottom"/>
            <w:gridSpan w:val="3"/>
          </w:tcPr>
          <w:p>
            <w:pPr>
              <w:ind w:left="160"/>
              <w:spacing w:after="0"/>
              <w:rPr>
                <w:sz w:val="20"/>
                <w:szCs w:val="20"/>
                <w:color w:val="auto"/>
              </w:rPr>
            </w:pPr>
            <w:r>
              <w:rPr>
                <w:rFonts w:ascii="Arial" w:cs="Arial" w:eastAsia="Arial" w:hAnsi="Arial"/>
                <w:sz w:val="15"/>
                <w:szCs w:val="15"/>
                <w:color w:val="auto"/>
                <w:w w:val="92"/>
              </w:rPr>
              <w:t>the percentage of shares of common stock held by existing stockholders will decrease to approximately</w:t>
            </w:r>
          </w:p>
        </w:tc>
        <w:tc>
          <w:tcPr>
            <w:tcW w:w="4600" w:type="dxa"/>
            <w:vAlign w:val="bottom"/>
          </w:tcPr>
          <w:p>
            <w:pPr>
              <w:ind w:left="180"/>
              <w:spacing w:after="0"/>
              <w:rPr>
                <w:sz w:val="20"/>
                <w:szCs w:val="20"/>
                <w:color w:val="auto"/>
              </w:rPr>
            </w:pPr>
            <w:r>
              <w:rPr>
                <w:rFonts w:ascii="Arial" w:cs="Arial" w:eastAsia="Arial" w:hAnsi="Arial"/>
                <w:sz w:val="15"/>
                <w:szCs w:val="15"/>
                <w:color w:val="auto"/>
                <w:w w:val="94"/>
              </w:rPr>
              <w:t>% of the total number of shares of our common stock outstanding after</w:t>
            </w:r>
          </w:p>
        </w:tc>
      </w:tr>
      <w:tr>
        <w:trPr>
          <w:trHeight w:val="190"/>
        </w:trPr>
        <w:tc>
          <w:tcPr>
            <w:tcW w:w="300" w:type="dxa"/>
            <w:vAlign w:val="bottom"/>
          </w:tcPr>
          <w:p>
            <w:pPr>
              <w:spacing w:after="0"/>
              <w:rPr>
                <w:sz w:val="16"/>
                <w:szCs w:val="16"/>
                <w:color w:val="auto"/>
              </w:rPr>
            </w:pPr>
          </w:p>
        </w:tc>
        <w:tc>
          <w:tcPr>
            <w:tcW w:w="3980" w:type="dxa"/>
            <w:vAlign w:val="bottom"/>
          </w:tcPr>
          <w:p>
            <w:pPr>
              <w:ind w:left="160"/>
              <w:spacing w:after="0"/>
              <w:rPr>
                <w:sz w:val="20"/>
                <w:szCs w:val="20"/>
                <w:color w:val="auto"/>
              </w:rPr>
            </w:pPr>
            <w:r>
              <w:rPr>
                <w:rFonts w:ascii="Arial" w:cs="Arial" w:eastAsia="Arial" w:hAnsi="Arial"/>
                <w:sz w:val="15"/>
                <w:szCs w:val="15"/>
                <w:color w:val="auto"/>
              </w:rPr>
              <w:t>this offering; and</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382"/>
        </w:trPr>
        <w:tc>
          <w:tcPr>
            <w:tcW w:w="300" w:type="dxa"/>
            <w:vAlign w:val="bottom"/>
          </w:tcPr>
          <w:p>
            <w:pPr>
              <w:spacing w:after="0"/>
              <w:rPr>
                <w:sz w:val="20"/>
                <w:szCs w:val="20"/>
                <w:color w:val="auto"/>
              </w:rPr>
            </w:pPr>
            <w:r>
              <w:rPr>
                <w:rFonts w:ascii="Arial" w:cs="Arial" w:eastAsia="Arial" w:hAnsi="Arial"/>
                <w:sz w:val="15"/>
                <w:szCs w:val="15"/>
                <w:color w:val="auto"/>
              </w:rPr>
              <w:t>•</w:t>
            </w:r>
          </w:p>
        </w:tc>
        <w:tc>
          <w:tcPr>
            <w:tcW w:w="3980" w:type="dxa"/>
            <w:vAlign w:val="bottom"/>
          </w:tcPr>
          <w:p>
            <w:pPr>
              <w:ind w:left="160"/>
              <w:spacing w:after="0"/>
              <w:rPr>
                <w:sz w:val="20"/>
                <w:szCs w:val="20"/>
                <w:color w:val="auto"/>
              </w:rPr>
            </w:pPr>
            <w:r>
              <w:rPr>
                <w:rFonts w:ascii="Arial" w:cs="Arial" w:eastAsia="Arial" w:hAnsi="Arial"/>
                <w:sz w:val="15"/>
                <w:szCs w:val="15"/>
                <w:color w:val="auto"/>
                <w:w w:val="96"/>
              </w:rPr>
              <w:t>the number of shares held by new investors will increase to</w:t>
            </w:r>
          </w:p>
        </w:tc>
        <w:tc>
          <w:tcPr>
            <w:tcW w:w="1520" w:type="dxa"/>
            <w:vAlign w:val="bottom"/>
          </w:tcPr>
          <w:p>
            <w:pPr>
              <w:ind w:left="240"/>
              <w:spacing w:after="0"/>
              <w:rPr>
                <w:sz w:val="20"/>
                <w:szCs w:val="20"/>
                <w:color w:val="auto"/>
              </w:rPr>
            </w:pPr>
            <w:r>
              <w:rPr>
                <w:rFonts w:ascii="Arial" w:cs="Arial" w:eastAsia="Arial" w:hAnsi="Arial"/>
                <w:sz w:val="15"/>
                <w:szCs w:val="15"/>
                <w:color w:val="auto"/>
              </w:rPr>
              <w:t>, or approximately</w:t>
            </w:r>
          </w:p>
        </w:tc>
        <w:tc>
          <w:tcPr>
            <w:tcW w:w="5640" w:type="dxa"/>
            <w:vAlign w:val="bottom"/>
            <w:gridSpan w:val="2"/>
          </w:tcPr>
          <w:p>
            <w:pPr>
              <w:ind w:left="160"/>
              <w:spacing w:after="0"/>
              <w:rPr>
                <w:sz w:val="20"/>
                <w:szCs w:val="20"/>
                <w:color w:val="auto"/>
              </w:rPr>
            </w:pPr>
            <w:r>
              <w:rPr>
                <w:rFonts w:ascii="Arial" w:cs="Arial" w:eastAsia="Arial" w:hAnsi="Arial"/>
                <w:sz w:val="15"/>
                <w:szCs w:val="15"/>
                <w:color w:val="auto"/>
                <w:w w:val="98"/>
              </w:rPr>
              <w:t>% of the total number of shares of our common stock outstanding after this offering.</w:t>
            </w:r>
          </w:p>
        </w:tc>
      </w:tr>
      <w:tr>
        <w:trPr>
          <w:trHeight w:val="188"/>
        </w:trPr>
        <w:tc>
          <w:tcPr>
            <w:tcW w:w="3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r>
      <w:tr>
        <w:trPr>
          <w:trHeight w:val="199"/>
        </w:trPr>
        <w:tc>
          <w:tcPr>
            <w:tcW w:w="300" w:type="dxa"/>
            <w:vAlign w:val="bottom"/>
          </w:tcPr>
          <w:p>
            <w:pPr>
              <w:jc w:val="right"/>
              <w:ind w:right="71"/>
              <w:spacing w:after="0"/>
              <w:rPr>
                <w:sz w:val="20"/>
                <w:szCs w:val="20"/>
                <w:color w:val="auto"/>
              </w:rPr>
            </w:pPr>
            <w:r>
              <w:rPr>
                <w:rFonts w:ascii="Arial" w:cs="Arial" w:eastAsia="Arial" w:hAnsi="Arial"/>
                <w:sz w:val="12"/>
                <w:szCs w:val="12"/>
                <w:b w:val="1"/>
                <w:bCs w:val="1"/>
                <w:color w:val="auto"/>
              </w:rPr>
              <w:t>72</w:t>
            </w:r>
          </w:p>
        </w:tc>
        <w:tc>
          <w:tcPr>
            <w:tcW w:w="3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3"/>
        </w:trPr>
        <w:tc>
          <w:tcPr>
            <w:tcW w:w="300" w:type="dxa"/>
            <w:vAlign w:val="bottom"/>
            <w:tcBorders>
              <w:bottom w:val="single" w:sz="8" w:color="808080"/>
            </w:tcBorders>
          </w:tcPr>
          <w:p>
            <w:pPr>
              <w:spacing w:after="0"/>
              <w:rPr>
                <w:sz w:val="16"/>
                <w:szCs w:val="16"/>
                <w:color w:val="auto"/>
              </w:rPr>
            </w:pPr>
          </w:p>
        </w:tc>
        <w:tc>
          <w:tcPr>
            <w:tcW w:w="39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4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-13335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6" w:name="page77"/>
    <w:bookmarkEnd w:id="7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3"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and the consolidated balance sheet data for the years ended and as of December 31, 2014 and 2015 from our audited consolidated financial statements appearing elsewhere in this prospectus. Our historical results are not necessarily indicative of the results that should be expected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rPr>
              <w:t>Years ended December 31,</w:t>
            </w:r>
          </w:p>
        </w:tc>
      </w:tr>
      <w:tr>
        <w:trPr>
          <w:trHeight w:val="154"/>
        </w:trPr>
        <w:tc>
          <w:tcPr>
            <w:tcW w:w="94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94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gridSpan w:val="6"/>
          </w:tcPr>
          <w:p>
            <w:pPr>
              <w:jc w:val="center"/>
              <w:spacing w:after="0" w:line="121" w:lineRule="exact"/>
              <w:rPr>
                <w:sz w:val="20"/>
                <w:szCs w:val="20"/>
                <w:color w:val="auto"/>
              </w:rPr>
            </w:pPr>
            <w:r>
              <w:rPr>
                <w:rFonts w:ascii="Arial" w:cs="Arial" w:eastAsia="Arial" w:hAnsi="Arial"/>
                <w:sz w:val="12"/>
                <w:szCs w:val="12"/>
                <w:b w:val="1"/>
                <w:bCs w:val="1"/>
                <w:color w:val="auto"/>
              </w:rPr>
              <w:t>(in thousands, except share and</w:t>
            </w:r>
          </w:p>
        </w:tc>
        <w:tc>
          <w:tcPr>
            <w:tcW w:w="140" w:type="dxa"/>
            <w:vAlign w:val="bottom"/>
          </w:tcPr>
          <w:p>
            <w:pPr>
              <w:spacing w:after="0"/>
              <w:rPr>
                <w:sz w:val="10"/>
                <w:szCs w:val="10"/>
                <w:color w:val="auto"/>
              </w:rPr>
            </w:pPr>
          </w:p>
        </w:tc>
      </w:tr>
      <w:tr>
        <w:trPr>
          <w:trHeight w:val="149"/>
        </w:trPr>
        <w:tc>
          <w:tcPr>
            <w:tcW w:w="9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rPr>
              <w:t>per share data)</w:t>
            </w:r>
          </w:p>
        </w:tc>
      </w:tr>
      <w:tr>
        <w:trPr>
          <w:trHeight w:val="185"/>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General and administrative</w:t>
            </w: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32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Total operating expenses</w:t>
            </w:r>
          </w:p>
        </w:tc>
        <w:tc>
          <w:tcPr>
            <w:tcW w:w="7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32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177"/>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Investment income</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6"/>
                <w:szCs w:val="16"/>
                <w:color w:val="auto"/>
              </w:rPr>
            </w:pP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Foreign currency gain</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shd w:val="clear" w:color="auto" w:fill="CCEEFF"/>
          </w:tcPr>
          <w:p>
            <w:pPr>
              <w:spacing w:after="0"/>
              <w:rPr>
                <w:sz w:val="16"/>
                <w:szCs w:val="16"/>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Interest expense</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3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Other expense</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w:t>
            </w:r>
          </w:p>
        </w:tc>
      </w:tr>
      <w:tr>
        <w:trPr>
          <w:trHeight w:val="177"/>
        </w:trPr>
        <w:tc>
          <w:tcPr>
            <w:tcW w:w="6320" w:type="dxa"/>
            <w:vAlign w:val="bottom"/>
            <w:gridSpan w:val="2"/>
          </w:tcPr>
          <w:p>
            <w:pPr>
              <w:ind w:left="460"/>
              <w:spacing w:after="0"/>
              <w:rPr>
                <w:sz w:val="20"/>
                <w:szCs w:val="20"/>
                <w:color w:val="auto"/>
              </w:rPr>
            </w:pPr>
            <w:r>
              <w:rPr>
                <w:rFonts w:ascii="Arial" w:cs="Arial" w:eastAsia="Arial" w:hAnsi="Arial"/>
                <w:sz w:val="15"/>
                <w:szCs w:val="15"/>
                <w:color w:val="auto"/>
              </w:rPr>
              <w:t>Total other income, net</w:t>
            </w:r>
          </w:p>
        </w:tc>
        <w:tc>
          <w:tcPr>
            <w:tcW w:w="7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40" w:type="dxa"/>
            <w:vAlign w:val="bottom"/>
          </w:tcPr>
          <w:p>
            <w:pPr>
              <w:spacing w:after="0"/>
              <w:rPr>
                <w:sz w:val="15"/>
                <w:szCs w:val="15"/>
                <w:color w:val="auto"/>
              </w:rPr>
            </w:pPr>
          </w:p>
        </w:tc>
      </w:tr>
      <w:tr>
        <w:trPr>
          <w:trHeight w:val="177"/>
        </w:trPr>
        <w:tc>
          <w:tcPr>
            <w:tcW w:w="6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85"/>
        </w:trPr>
        <w:tc>
          <w:tcPr>
            <w:tcW w:w="6320" w:type="dxa"/>
            <w:vAlign w:val="bottom"/>
            <w:gridSpan w:val="2"/>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3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32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7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24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(unaudited)(1)(2)</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3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Pro forma weighted average common shares of common stock outstanding (unaudited)(1)(2)</w:t>
            </w: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3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5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40" w:hanging="463"/>
        <w:spacing w:after="0" w:line="238" w:lineRule="auto"/>
        <w:tabs>
          <w:tab w:leader="none" w:pos="16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hanging="463"/>
        <w:spacing w:after="0"/>
        <w:tabs>
          <w:tab w:leader="none" w:pos="1600" w:val="left"/>
        </w:tabs>
        <w:numPr>
          <w:ilvl w:val="0"/>
          <w:numId w:val="59"/>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w:t>
      </w:r>
    </w:p>
    <w:p>
      <w:pPr>
        <w:spacing w:after="0" w:line="22"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closing of this offering, which, based on an assumed initial public offering price of $</w:t>
      </w:r>
      <w:r>
        <w:rPr>
          <w:rFonts w:ascii="Arial" w:cs="Arial" w:eastAsia="Arial" w:hAnsi="Arial"/>
          <w:sz w:val="10"/>
          <w:szCs w:val="10"/>
          <w:color w:val="auto"/>
        </w:rPr>
        <w:t>per share, the midpoint of the price range set forth on the cover of this prospectus, would result in the issuance</w:t>
      </w:r>
    </w:p>
    <w:tbl>
      <w:tblPr>
        <w:tblLayout w:type="fixed"/>
        <w:tblInd w:w="0" w:type="dxa"/>
        <w:tblCellMar>
          <w:top w:w="0" w:type="dxa"/>
          <w:left w:w="0" w:type="dxa"/>
          <w:bottom w:w="0" w:type="dxa"/>
          <w:right w:w="0" w:type="dxa"/>
        </w:tblCellMar>
      </w:tblPr>
      <w:tr>
        <w:trPr>
          <w:trHeight w:val="118"/>
        </w:trPr>
        <w:tc>
          <w:tcPr>
            <w:tcW w:w="1140" w:type="dxa"/>
            <w:vAlign w:val="bottom"/>
          </w:tcPr>
          <w:p>
            <w:pPr>
              <w:spacing w:after="0"/>
              <w:rPr>
                <w:sz w:val="10"/>
                <w:szCs w:val="10"/>
                <w:color w:val="auto"/>
              </w:rPr>
            </w:pPr>
          </w:p>
        </w:tc>
        <w:tc>
          <w:tcPr>
            <w:tcW w:w="840" w:type="dxa"/>
            <w:vAlign w:val="bottom"/>
          </w:tcPr>
          <w:p>
            <w:pPr>
              <w:ind w:left="460"/>
              <w:spacing w:after="0" w:line="118" w:lineRule="exact"/>
              <w:rPr>
                <w:sz w:val="20"/>
                <w:szCs w:val="20"/>
                <w:color w:val="auto"/>
              </w:rPr>
            </w:pPr>
            <w:r>
              <w:rPr>
                <w:rFonts w:ascii="Arial" w:cs="Arial" w:eastAsia="Arial" w:hAnsi="Arial"/>
                <w:sz w:val="12"/>
                <w:szCs w:val="12"/>
                <w:color w:val="auto"/>
              </w:rPr>
              <w:t>of</w:t>
            </w:r>
          </w:p>
        </w:tc>
        <w:tc>
          <w:tcPr>
            <w:tcW w:w="9420" w:type="dxa"/>
            <w:vAlign w:val="bottom"/>
            <w:gridSpan w:val="8"/>
          </w:tcPr>
          <w:p>
            <w:pPr>
              <w:ind w:left="100"/>
              <w:spacing w:after="0" w:line="118" w:lineRule="exact"/>
              <w:rPr>
                <w:sz w:val="20"/>
                <w:szCs w:val="20"/>
                <w:color w:val="auto"/>
              </w:rPr>
            </w:pPr>
            <w:r>
              <w:rPr>
                <w:rFonts w:ascii="Arial" w:cs="Arial" w:eastAsia="Arial" w:hAnsi="Arial"/>
                <w:sz w:val="12"/>
                <w:szCs w:val="12"/>
                <w:color w:val="auto"/>
                <w:w w:val="87"/>
              </w:rPr>
              <w:t>shares of our common stock, (ii) outstanding warrants to purchase Series D Preferred Stock becoming warrants to purchase 69,768 shares of our common stock, at a weighted average exercise price of</w:t>
            </w:r>
          </w:p>
        </w:tc>
      </w:tr>
      <w:tr>
        <w:trPr>
          <w:trHeight w:val="127"/>
        </w:trPr>
        <w:tc>
          <w:tcPr>
            <w:tcW w:w="1140" w:type="dxa"/>
            <w:vAlign w:val="bottom"/>
          </w:tcPr>
          <w:p>
            <w:pPr>
              <w:spacing w:after="0"/>
              <w:rPr>
                <w:sz w:val="11"/>
                <w:szCs w:val="11"/>
                <w:color w:val="auto"/>
              </w:rPr>
            </w:pPr>
          </w:p>
        </w:tc>
        <w:tc>
          <w:tcPr>
            <w:tcW w:w="8180" w:type="dxa"/>
            <w:vAlign w:val="bottom"/>
            <w:gridSpan w:val="5"/>
          </w:tcPr>
          <w:p>
            <w:pPr>
              <w:ind w:left="460"/>
              <w:spacing w:after="0" w:line="128" w:lineRule="exact"/>
              <w:rPr>
                <w:sz w:val="20"/>
                <w:szCs w:val="20"/>
                <w:color w:val="auto"/>
              </w:rPr>
            </w:pPr>
            <w:r>
              <w:rPr>
                <w:rFonts w:ascii="Arial" w:cs="Arial" w:eastAsia="Arial" w:hAnsi="Arial"/>
                <w:sz w:val="12"/>
                <w:szCs w:val="12"/>
                <w:color w:val="auto"/>
                <w:w w:val="89"/>
              </w:rPr>
              <w:t>$4.30 per share of common stock, upon the closing of this offering, (iii) outstanding warrants to purchase Series E Preferred Stock becoming warrants to purchase</w:t>
            </w:r>
          </w:p>
        </w:tc>
        <w:tc>
          <w:tcPr>
            <w:tcW w:w="140" w:type="dxa"/>
            <w:vAlign w:val="bottom"/>
          </w:tcPr>
          <w:p>
            <w:pPr>
              <w:spacing w:after="0"/>
              <w:rPr>
                <w:sz w:val="11"/>
                <w:szCs w:val="11"/>
                <w:color w:val="auto"/>
              </w:rPr>
            </w:pPr>
          </w:p>
        </w:tc>
        <w:tc>
          <w:tcPr>
            <w:tcW w:w="1940" w:type="dxa"/>
            <w:vAlign w:val="bottom"/>
            <w:gridSpan w:val="3"/>
          </w:tcPr>
          <w:p>
            <w:pPr>
              <w:ind w:left="40"/>
              <w:spacing w:after="0" w:line="128" w:lineRule="exact"/>
              <w:rPr>
                <w:sz w:val="20"/>
                <w:szCs w:val="20"/>
                <w:color w:val="auto"/>
              </w:rPr>
            </w:pPr>
            <w:r>
              <w:rPr>
                <w:rFonts w:ascii="Arial" w:cs="Arial" w:eastAsia="Arial" w:hAnsi="Arial"/>
                <w:sz w:val="12"/>
                <w:szCs w:val="12"/>
                <w:color w:val="auto"/>
              </w:rPr>
              <w:t>shares of our common stock, at a</w:t>
            </w:r>
          </w:p>
        </w:tc>
      </w:tr>
      <w:tr>
        <w:trPr>
          <w:trHeight w:val="127"/>
        </w:trPr>
        <w:tc>
          <w:tcPr>
            <w:tcW w:w="1140" w:type="dxa"/>
            <w:vAlign w:val="bottom"/>
          </w:tcPr>
          <w:p>
            <w:pPr>
              <w:spacing w:after="0"/>
              <w:rPr>
                <w:sz w:val="11"/>
                <w:szCs w:val="11"/>
                <w:color w:val="auto"/>
              </w:rPr>
            </w:pPr>
          </w:p>
        </w:tc>
        <w:tc>
          <w:tcPr>
            <w:tcW w:w="2400" w:type="dxa"/>
            <w:vAlign w:val="bottom"/>
            <w:gridSpan w:val="2"/>
          </w:tcPr>
          <w:p>
            <w:pPr>
              <w:ind w:left="460"/>
              <w:spacing w:after="0" w:line="128" w:lineRule="exact"/>
              <w:rPr>
                <w:sz w:val="20"/>
                <w:szCs w:val="20"/>
                <w:color w:val="auto"/>
              </w:rPr>
            </w:pPr>
            <w:r>
              <w:rPr>
                <w:rFonts w:ascii="Arial" w:cs="Arial" w:eastAsia="Arial" w:hAnsi="Arial"/>
                <w:sz w:val="12"/>
                <w:szCs w:val="12"/>
                <w:color w:val="auto"/>
                <w:w w:val="98"/>
              </w:rPr>
              <w:t>weighted average exercise price of $</w:t>
            </w:r>
          </w:p>
        </w:tc>
        <w:tc>
          <w:tcPr>
            <w:tcW w:w="6740" w:type="dxa"/>
            <w:vAlign w:val="bottom"/>
            <w:gridSpan w:val="6"/>
          </w:tcPr>
          <w:p>
            <w:pPr>
              <w:jc w:val="right"/>
              <w:ind w:right="280"/>
              <w:spacing w:after="0" w:line="128" w:lineRule="exact"/>
              <w:rPr>
                <w:sz w:val="20"/>
                <w:szCs w:val="20"/>
                <w:color w:val="auto"/>
              </w:rPr>
            </w:pPr>
            <w:r>
              <w:rPr>
                <w:rFonts w:ascii="Arial" w:cs="Arial" w:eastAsia="Arial" w:hAnsi="Arial"/>
                <w:sz w:val="12"/>
                <w:szCs w:val="12"/>
                <w:color w:val="auto"/>
                <w:w w:val="87"/>
              </w:rPr>
              <w:t>per share of common stock, upon the closing of this offering and (iv) the automatic cashless exercise of the Series E Common Warrants for</w:t>
            </w:r>
          </w:p>
        </w:tc>
        <w:tc>
          <w:tcPr>
            <w:tcW w:w="1120" w:type="dxa"/>
            <w:vAlign w:val="bottom"/>
          </w:tcPr>
          <w:p>
            <w:pPr>
              <w:ind w:left="100"/>
              <w:spacing w:after="0" w:line="128" w:lineRule="exact"/>
              <w:rPr>
                <w:sz w:val="20"/>
                <w:szCs w:val="20"/>
                <w:color w:val="auto"/>
              </w:rPr>
            </w:pPr>
            <w:r>
              <w:rPr>
                <w:rFonts w:ascii="Arial" w:cs="Arial" w:eastAsia="Arial" w:hAnsi="Arial"/>
                <w:sz w:val="12"/>
                <w:szCs w:val="12"/>
                <w:color w:val="auto"/>
                <w:w w:val="83"/>
              </w:rPr>
              <w:t>shares of our common</w:t>
            </w:r>
          </w:p>
        </w:tc>
      </w:tr>
      <w:tr>
        <w:trPr>
          <w:trHeight w:val="147"/>
        </w:trPr>
        <w:tc>
          <w:tcPr>
            <w:tcW w:w="1140" w:type="dxa"/>
            <w:vAlign w:val="bottom"/>
          </w:tcPr>
          <w:p>
            <w:pPr>
              <w:spacing w:after="0"/>
              <w:rPr>
                <w:sz w:val="12"/>
                <w:szCs w:val="12"/>
                <w:color w:val="auto"/>
              </w:rPr>
            </w:pPr>
          </w:p>
        </w:tc>
        <w:tc>
          <w:tcPr>
            <w:tcW w:w="840" w:type="dxa"/>
            <w:vAlign w:val="bottom"/>
          </w:tcPr>
          <w:p>
            <w:pPr>
              <w:ind w:left="460"/>
              <w:spacing w:after="0"/>
              <w:rPr>
                <w:sz w:val="20"/>
                <w:szCs w:val="20"/>
                <w:color w:val="auto"/>
              </w:rPr>
            </w:pPr>
            <w:r>
              <w:rPr>
                <w:rFonts w:ascii="Arial" w:cs="Arial" w:eastAsia="Arial" w:hAnsi="Arial"/>
                <w:sz w:val="12"/>
                <w:szCs w:val="12"/>
                <w:color w:val="auto"/>
              </w:rPr>
              <w:t>stock.</w:t>
            </w:r>
          </w:p>
        </w:tc>
        <w:tc>
          <w:tcPr>
            <w:tcW w:w="15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57"/>
        </w:trPr>
        <w:tc>
          <w:tcPr>
            <w:tcW w:w="3540" w:type="dxa"/>
            <w:vAlign w:val="bottom"/>
            <w:gridSpan w:val="3"/>
          </w:tcPr>
          <w:p>
            <w:pPr>
              <w:spacing w:after="0"/>
              <w:rPr>
                <w:sz w:val="20"/>
                <w:szCs w:val="20"/>
                <w:color w:val="auto"/>
              </w:rPr>
            </w:pPr>
            <w:r>
              <w:rPr>
                <w:rFonts w:ascii="Arial" w:cs="Arial" w:eastAsia="Arial" w:hAnsi="Arial"/>
                <w:sz w:val="15"/>
                <w:szCs w:val="15"/>
                <w:b w:val="1"/>
                <w:bCs w:val="1"/>
                <w:color w:val="auto"/>
              </w:rPr>
              <w:t>Consolidated balance sheet data:</w:t>
            </w: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0"/>
        </w:trPr>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2"/>
                <w:szCs w:val="12"/>
                <w:b w:val="1"/>
                <w:bCs w:val="1"/>
                <w:color w:val="auto"/>
              </w:rPr>
              <w:t>As of December 31,</w:t>
            </w:r>
          </w:p>
        </w:tc>
        <w:tc>
          <w:tcPr>
            <w:tcW w:w="1120" w:type="dxa"/>
            <w:vAlign w:val="bottom"/>
          </w:tcPr>
          <w:p>
            <w:pPr>
              <w:spacing w:after="0"/>
              <w:rPr>
                <w:sz w:val="24"/>
                <w:szCs w:val="24"/>
                <w:color w:val="auto"/>
              </w:rPr>
            </w:pPr>
          </w:p>
        </w:tc>
      </w:tr>
      <w:tr>
        <w:trPr>
          <w:trHeight w:val="154"/>
        </w:trPr>
        <w:tc>
          <w:tcPr>
            <w:tcW w:w="1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1"/>
        </w:trPr>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right"/>
              <w:ind w:right="328"/>
              <w:spacing w:after="0" w:line="13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Total assets</w:t>
            </w:r>
          </w:p>
        </w:tc>
        <w:tc>
          <w:tcPr>
            <w:tcW w:w="1560" w:type="dxa"/>
            <w:vAlign w:val="bottom"/>
          </w:tcPr>
          <w:p>
            <w:pPr>
              <w:spacing w:after="0"/>
              <w:rPr>
                <w:sz w:val="16"/>
                <w:szCs w:val="16"/>
                <w:color w:val="auto"/>
              </w:rPr>
            </w:pPr>
          </w:p>
        </w:tc>
        <w:tc>
          <w:tcPr>
            <w:tcW w:w="51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9"/>
              <w:spacing w:after="0"/>
              <w:rPr>
                <w:sz w:val="20"/>
                <w:szCs w:val="20"/>
                <w:color w:val="auto"/>
              </w:rPr>
            </w:pPr>
            <w:r>
              <w:rPr>
                <w:rFonts w:ascii="Arial" w:cs="Arial" w:eastAsia="Arial" w:hAnsi="Arial"/>
                <w:sz w:val="15"/>
                <w:szCs w:val="15"/>
                <w:color w:val="auto"/>
              </w:rPr>
              <w:t>22,228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42,824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Long-term debt, net of current portion</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4,824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w w:val="89"/>
              </w:rPr>
              <w:t>Redeemable convertible preferred stock</w:t>
            </w:r>
          </w:p>
        </w:tc>
        <w:tc>
          <w:tcPr>
            <w:tcW w:w="51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9"/>
              <w:spacing w:after="0"/>
              <w:rPr>
                <w:sz w:val="20"/>
                <w:szCs w:val="20"/>
                <w:color w:val="auto"/>
              </w:rPr>
            </w:pPr>
            <w:r>
              <w:rPr>
                <w:rFonts w:ascii="Arial" w:cs="Arial" w:eastAsia="Arial" w:hAnsi="Arial"/>
                <w:sz w:val="15"/>
                <w:szCs w:val="15"/>
                <w:color w:val="auto"/>
              </w:rPr>
              <w:t>94,033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137,482</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(111,508)</w:t>
            </w: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5"/>
                <w:szCs w:val="15"/>
                <w:color w:val="auto"/>
                <w:w w:val="90"/>
              </w:rPr>
              <w:t>Accumulated other comprehensive loss</w:t>
            </w:r>
          </w:p>
        </w:tc>
        <w:tc>
          <w:tcPr>
            <w:tcW w:w="51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(3,876)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(4,986)</w:t>
            </w:r>
          </w:p>
        </w:tc>
        <w:tc>
          <w:tcPr>
            <w:tcW w:w="112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5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(116,493)</w:t>
            </w: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harmful deposits of uric acid crystals in chronic tophaceous gout, each a painful and debilitating disease with ummet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the second half of 2016.</w:t>
      </w:r>
    </w:p>
    <w:p>
      <w:pPr>
        <w:spacing w:after="0" w:line="157"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49" w:lineRule="exact"/>
        <w:rPr>
          <w:sz w:val="20"/>
          <w:szCs w:val="20"/>
          <w:color w:val="auto"/>
        </w:rPr>
      </w:pPr>
    </w:p>
    <w:p>
      <w:pPr>
        <w:jc w:val="both"/>
        <w:ind w:right="300"/>
        <w:spacing w:after="0" w:line="330" w:lineRule="auto"/>
        <w:rPr>
          <w:sz w:val="20"/>
          <w:szCs w:val="20"/>
          <w:color w:val="auto"/>
        </w:rPr>
      </w:pPr>
      <w:r>
        <w:rPr>
          <w:rFonts w:ascii="Arial" w:cs="Arial" w:eastAsia="Arial" w:hAnsi="Arial"/>
          <w:sz w:val="13"/>
          <w:szCs w:val="13"/>
          <w:color w:val="auto"/>
        </w:rPr>
        <w:t>Since our inception and through December 31, 2015, we have raised an aggregate of $149.8 million to fund our operations, of which $118.5 million was from the sale of preferred stock, $6.0 million was from government grants, $14.3 million was from the issuance of debt securities and $11.0 million was from grants and collaboration arrangements. As of December 31, 2015, we had cash and cash equivalents totaling $32.3 million, of which $3.8 million was held by our wholly owned Russian subsidiary and designated solely for use in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9" w:name="page80"/>
    <w:bookmarkEnd w:id="7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 issued as a result of the conversion of convertible notes. As part of the Series E Preferred Stock issuance, we also issued 2,222,213 common stock warrants to the stockholders who participated in that round of financing.</w:t>
      </w:r>
    </w:p>
    <w:p>
      <w:pPr>
        <w:spacing w:after="0" w:line="15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1" w:lineRule="exact"/>
        <w:rPr>
          <w:sz w:val="20"/>
          <w:szCs w:val="20"/>
          <w:color w:val="auto"/>
        </w:rPr>
      </w:pPr>
    </w:p>
    <w:p>
      <w:pPr>
        <w:jc w:val="both"/>
        <w:ind w:left="7" w:right="120"/>
        <w:spacing w:after="0" w:line="362" w:lineRule="auto"/>
        <w:rPr>
          <w:sz w:val="20"/>
          <w:szCs w:val="20"/>
          <w:color w:val="auto"/>
        </w:rPr>
      </w:pPr>
      <w:r>
        <w:rPr>
          <w:rFonts w:ascii="Arial" w:cs="Arial" w:eastAsia="Arial" w:hAnsi="Arial"/>
          <w:sz w:val="13"/>
          <w:szCs w:val="13"/>
          <w:color w:val="auto"/>
        </w:rPr>
        <w:t>Since inception, we have incurred significant operating losses. We incurred net losses of $12.9 million and $25.2 million for the years ended December 31, 2014 and 2015, respectively. As of December 31, 2015, we had an accumulated deficit of $116.5 million. We expect to continue incurring significant expenses and operating losses for at least the next several years as we:</w:t>
      </w:r>
    </w:p>
    <w:p>
      <w:pPr>
        <w:spacing w:after="0" w:line="117" w:lineRule="exact"/>
        <w:rPr>
          <w:sz w:val="20"/>
          <w:szCs w:val="20"/>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7" w:right="120"/>
        <w:spacing w:after="0" w:line="297"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4" w:lineRule="exact"/>
        <w:rPr>
          <w:sz w:val="20"/>
          <w:szCs w:val="20"/>
          <w:color w:val="auto"/>
        </w:rPr>
      </w:pPr>
    </w:p>
    <w:p>
      <w:pPr>
        <w:ind w:left="7" w:right="480"/>
        <w:spacing w:after="0" w:line="319" w:lineRule="auto"/>
        <w:rPr>
          <w:sz w:val="20"/>
          <w:szCs w:val="20"/>
          <w:color w:val="auto"/>
        </w:rPr>
      </w:pPr>
      <w:r>
        <w:rPr>
          <w:rFonts w:ascii="Arial" w:cs="Arial" w:eastAsia="Arial" w:hAnsi="Arial"/>
          <w:sz w:val="14"/>
          <w:szCs w:val="14"/>
          <w:color w:val="auto"/>
        </w:rPr>
        <w:t>The consolidated financial information presented below includes the accounts of Selecta Biosciences Inc. and our wholly owned subsidiaries, Selecta RUS, a Russian limited liability company, and Selecta Biosciences Security Corporation, a Massachusetts securities corporation. All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prospectus.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62"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$75.5 million in research and development expenses from inception through December 31, 2015,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307"/>
              <w:spacing w:after="0"/>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9"/>
              <w:spacing w:after="0"/>
              <w:rPr>
                <w:sz w:val="20"/>
                <w:szCs w:val="20"/>
                <w:color w:val="auto"/>
              </w:rPr>
            </w:pPr>
            <w:r>
              <w:rPr>
                <w:rFonts w:ascii="Arial" w:cs="Arial" w:eastAsia="Arial" w:hAnsi="Arial"/>
                <w:sz w:val="12"/>
                <w:szCs w:val="12"/>
                <w:b w:val="1"/>
                <w:bCs w:val="1"/>
                <w:color w:val="auto"/>
              </w:rPr>
              <w:t>Dollar</w:t>
            </w:r>
          </w:p>
        </w:tc>
        <w:tc>
          <w:tcPr>
            <w:tcW w:w="78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5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7"/>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9"/>
              <w:spacing w:after="0" w:line="131" w:lineRule="exact"/>
              <w:rPr>
                <w:sz w:val="20"/>
                <w:szCs w:val="20"/>
                <w:color w:val="auto"/>
              </w:rPr>
            </w:pPr>
            <w:r>
              <w:rPr>
                <w:rFonts w:ascii="Arial" w:cs="Arial" w:eastAsia="Arial" w:hAnsi="Arial"/>
                <w:sz w:val="12"/>
                <w:szCs w:val="12"/>
                <w:b w:val="1"/>
                <w:bCs w:val="1"/>
                <w:color w:val="auto"/>
                <w:w w:val="99"/>
              </w:rPr>
              <w:t>change</w:t>
            </w:r>
          </w:p>
        </w:tc>
        <w:tc>
          <w:tcPr>
            <w:tcW w:w="120" w:type="dxa"/>
            <w:vAlign w:val="bottom"/>
          </w:tcPr>
          <w:p>
            <w:pPr>
              <w:spacing w:after="0"/>
              <w:rPr>
                <w:sz w:val="11"/>
                <w:szCs w:val="11"/>
                <w:color w:val="auto"/>
              </w:rPr>
            </w:pPr>
          </w:p>
        </w:tc>
        <w:tc>
          <w:tcPr>
            <w:tcW w:w="800" w:type="dxa"/>
            <w:vAlign w:val="bottom"/>
            <w:gridSpan w:val="2"/>
          </w:tcPr>
          <w:p>
            <w:pPr>
              <w:jc w:val="right"/>
              <w:ind w:right="260"/>
              <w:spacing w:after="0" w:line="131" w:lineRule="exact"/>
              <w:rPr>
                <w:sz w:val="20"/>
                <w:szCs w:val="20"/>
                <w:color w:val="auto"/>
              </w:rPr>
            </w:pPr>
            <w:r>
              <w:rPr>
                <w:rFonts w:ascii="Arial" w:cs="Arial" w:eastAsia="Arial" w:hAnsi="Arial"/>
                <w:sz w:val="12"/>
                <w:szCs w:val="12"/>
                <w:b w:val="1"/>
                <w:bCs w:val="1"/>
                <w:color w:val="auto"/>
              </w:rPr>
              <w:t>change</w:t>
            </w:r>
          </w:p>
        </w:tc>
      </w:tr>
      <w:tr>
        <w:trPr>
          <w:trHeight w:val="177"/>
        </w:trPr>
        <w:tc>
          <w:tcPr>
            <w:tcW w:w="20" w:type="dxa"/>
            <w:vAlign w:val="bottom"/>
          </w:tcPr>
          <w:p>
            <w:pPr>
              <w:spacing w:after="0"/>
              <w:rPr>
                <w:sz w:val="15"/>
                <w:szCs w:val="15"/>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920" w:type="dxa"/>
            <w:vAlign w:val="bottom"/>
          </w:tcPr>
          <w:p>
            <w:pPr>
              <w:ind w:left="140"/>
              <w:spacing w:after="0"/>
              <w:rPr>
                <w:sz w:val="20"/>
                <w:szCs w:val="20"/>
                <w:color w:val="auto"/>
              </w:rPr>
            </w:pPr>
            <w:r>
              <w:rPr>
                <w:rFonts w:ascii="Arial" w:cs="Arial" w:eastAsia="Arial" w:hAnsi="Arial"/>
                <w:sz w:val="15"/>
                <w:szCs w:val="15"/>
                <w:color w:val="auto"/>
              </w:rPr>
              <w:t>SEL-212</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9,335</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8,861</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NM</w:t>
            </w:r>
          </w:p>
        </w:tc>
      </w:tr>
      <w:tr>
        <w:trPr>
          <w:trHeight w:val="185"/>
        </w:trPr>
        <w:tc>
          <w:tcPr>
            <w:tcW w:w="20" w:type="dxa"/>
            <w:vAlign w:val="bottom"/>
          </w:tcPr>
          <w:p>
            <w:pPr>
              <w:spacing w:after="0"/>
              <w:rPr>
                <w:sz w:val="16"/>
                <w:szCs w:val="16"/>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Discovery and preclinical stage product programs, collectively</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2,153</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9,974</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2,815</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primarily of interest income earned on our cash and cash equivalents and short term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functional currency of our Russian subsidiary is the ruble. In addition to holding cash denominated in rubles, our Russian bank accounts also hold cash balances denominated in U.S. dollars to facilitate payments to be settled in U.S. dollars or other currencies. At December 31, 2014 and 2015, we maintained cash of $7.3 million and $3.8 million respectively, in Russian banks, of which $3.0 million was denominated in U.S. dollars for the period ended December 31, 2015. The amounts denominated in U.S. dollars and used in transacting the day to day operations are subject to transaction gains and losses, which are reported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2809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comparison of revenue for the years ended December 31, 2014 and 2015 (in thousands, except percentages):</w:t>
      </w:r>
    </w:p>
    <w:p>
      <w:pPr>
        <w:spacing w:after="0" w:line="288" w:lineRule="exact"/>
        <w:rPr>
          <w:sz w:val="20"/>
          <w:szCs w:val="20"/>
          <w:color w:val="auto"/>
        </w:rPr>
      </w:pPr>
    </w:p>
    <w:p>
      <w:pPr>
        <w:ind w:left="756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-1270</wp:posOffset>
            </wp:positionV>
            <wp:extent cx="80899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jc w:val="both"/>
        <w:ind w:left="7400"/>
        <w:spacing w:after="0"/>
        <w:tabs>
          <w:tab w:leader="none" w:pos="810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0</wp:posOffset>
            </wp:positionV>
            <wp:extent cx="5810250" cy="1250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1025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2"/>
          <w:szCs w:val="12"/>
          <w:b w:val="1"/>
          <w:bCs w:val="1"/>
          <w:color w:val="auto"/>
        </w:rPr>
        <w:t>Dollar</w:t>
      </w:r>
      <w:r>
        <w:rPr>
          <w:sz w:val="20"/>
          <w:szCs w:val="20"/>
          <w:color w:val="auto"/>
        </w:rPr>
        <w:tab/>
      </w:r>
      <w:r>
        <w:rPr>
          <w:rFonts w:ascii="Arial" w:cs="Arial" w:eastAsia="Arial" w:hAnsi="Arial"/>
          <w:sz w:val="12"/>
          <w:szCs w:val="12"/>
          <w:b w:val="1"/>
          <w:bCs w:val="1"/>
          <w:color w:val="auto"/>
        </w:rPr>
        <w:t>%</w:t>
      </w:r>
    </w:p>
    <w:p>
      <w:pPr>
        <w:spacing w:after="0" w:line="15"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0" w:lineRule="exact"/>
        <w:rPr>
          <w:sz w:val="20"/>
          <w:szCs w:val="20"/>
          <w:color w:val="auto"/>
        </w:rPr>
      </w:pPr>
    </w:p>
    <w:p>
      <w:pPr>
        <w:sectPr>
          <w:pgSz w:w="11900" w:h="16838" w:orient="portrait"/>
          <w:cols w:equalWidth="0" w:num="2">
            <w:col w:w="8380" w:space="400"/>
            <w:col w:w="2660"/>
          </w:cols>
          <w:pgMar w:left="240" w:top="132" w:right="219" w:bottom="1440" w:gutter="0" w:footer="0" w:header="0"/>
          <w:type w:val="continuous"/>
        </w:sectPr>
      </w:pPr>
    </w:p>
    <w:p>
      <w:pPr>
        <w:ind w:left="1140"/>
        <w:spacing w:after="0"/>
        <w:tabs>
          <w:tab w:leader="none" w:pos="7260" w:val="left"/>
          <w:tab w:leader="none" w:pos="7480" w:val="left"/>
          <w:tab w:leader="none" w:pos="7960" w:val="left"/>
          <w:tab w:leader="none" w:pos="8200" w:val="left"/>
          <w:tab w:leader="none" w:pos="8680" w:val="left"/>
          <w:tab w:leader="none" w:pos="9000" w:val="left"/>
          <w:tab w:leader="none" w:pos="9980" w:val="left"/>
        </w:tabs>
        <w:rPr>
          <w:sz w:val="20"/>
          <w:szCs w:val="20"/>
          <w:color w:val="auto"/>
        </w:rPr>
      </w:pPr>
      <w:r>
        <w:rPr>
          <w:rFonts w:ascii="Arial" w:cs="Arial" w:eastAsia="Arial" w:hAnsi="Arial"/>
          <w:sz w:val="15"/>
          <w:szCs w:val="15"/>
          <w:color w:val="auto"/>
        </w:rPr>
        <w:t>Grant and collaboration revenue</w:t>
      </w:r>
      <w:r>
        <w:rPr>
          <w:sz w:val="20"/>
          <w:szCs w:val="20"/>
          <w:color w:val="auto"/>
        </w:rPr>
        <w:tab/>
      </w:r>
      <w:r>
        <w:rPr>
          <w:rFonts w:ascii="Arial" w:cs="Arial" w:eastAsia="Arial" w:hAnsi="Arial"/>
          <w:sz w:val="15"/>
          <w:szCs w:val="15"/>
          <w:color w:val="auto"/>
        </w:rPr>
        <w:t>$</w:t>
        <w:tab/>
        <w:t>3,040</w:t>
        <w:tab/>
        <w:t>$</w:t>
        <w:tab/>
        <w:t>6,011</w:t>
        <w:tab/>
        <w:t>$</w:t>
      </w:r>
      <w:r>
        <w:rPr>
          <w:sz w:val="20"/>
          <w:szCs w:val="20"/>
          <w:color w:val="auto"/>
        </w:rPr>
        <w:tab/>
      </w:r>
      <w:r>
        <w:rPr>
          <w:rFonts w:ascii="Arial" w:cs="Arial" w:eastAsia="Arial" w:hAnsi="Arial"/>
          <w:sz w:val="15"/>
          <w:szCs w:val="15"/>
          <w:color w:val="auto"/>
        </w:rPr>
        <w:t>2,971</w:t>
      </w:r>
      <w:r>
        <w:rPr>
          <w:sz w:val="20"/>
          <w:szCs w:val="20"/>
          <w:color w:val="auto"/>
        </w:rPr>
        <w:tab/>
      </w:r>
      <w:r>
        <w:rPr>
          <w:rFonts w:ascii="Arial" w:cs="Arial" w:eastAsia="Arial" w:hAnsi="Arial"/>
          <w:sz w:val="13"/>
          <w:szCs w:val="13"/>
          <w:color w:val="auto"/>
        </w:rPr>
        <w:t>98%</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During the year ended December 31, 2015, total revenue increased by $3.0 million, or 98%, as compared to the prior year, primarily due to revenue from our grants and collaborations associated with increased research and development activities, including an increase of $1.9 million of revenue recognized during the year from the NIDA (NIH)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2014 and 2015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gridSpan w:val="3"/>
          </w:tcPr>
          <w:p>
            <w:pPr>
              <w:jc w:val="center"/>
              <w:spacing w:after="0"/>
              <w:rPr>
                <w:sz w:val="20"/>
                <w:szCs w:val="20"/>
                <w:color w:val="auto"/>
              </w:rPr>
            </w:pPr>
            <w:r>
              <w:rPr>
                <w:rFonts w:ascii="Arial" w:cs="Arial" w:eastAsia="Arial" w:hAnsi="Arial"/>
                <w:sz w:val="12"/>
                <w:szCs w:val="12"/>
                <w:b w:val="1"/>
                <w:bCs w:val="1"/>
                <w:color w:val="auto"/>
              </w:rPr>
              <w:t>Years ended</w:t>
            </w: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Dollar</w:t>
            </w:r>
          </w:p>
        </w:tc>
        <w:tc>
          <w:tcPr>
            <w:tcW w:w="680" w:type="dxa"/>
            <w:vAlign w:val="bottom"/>
          </w:tcPr>
          <w:p>
            <w:pPr>
              <w:jc w:val="right"/>
              <w:ind w:right="19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8"/>
              <w:spacing w:after="0" w:line="131" w:lineRule="exact"/>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1"/>
              <w:spacing w:after="0" w:line="131" w:lineRule="exact"/>
              <w:rPr>
                <w:sz w:val="20"/>
                <w:szCs w:val="20"/>
                <w:color w:val="auto"/>
              </w:rPr>
            </w:pPr>
            <w:r>
              <w:rPr>
                <w:rFonts w:ascii="Arial" w:cs="Arial" w:eastAsia="Arial" w:hAnsi="Arial"/>
                <w:sz w:val="12"/>
                <w:szCs w:val="12"/>
                <w:b w:val="1"/>
                <w:bCs w:val="1"/>
                <w:color w:val="auto"/>
              </w:rPr>
              <w:t>2015</w:t>
            </w:r>
          </w:p>
        </w:tc>
        <w:tc>
          <w:tcPr>
            <w:tcW w:w="90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10,486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12,494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r>
    </w:tbl>
    <w:p>
      <w:pPr>
        <w:spacing w:after="0" w:line="17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During the year ended December 31, 2015, our total research and development expenses increased by $12.5 million from the prior year,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2014 and 2015 (in thousands, except percentages):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gridSpan w:val="3"/>
          </w:tcPr>
          <w:p>
            <w:pPr>
              <w:jc w:val="center"/>
              <w:spacing w:after="0"/>
              <w:rPr>
                <w:sz w:val="20"/>
                <w:szCs w:val="20"/>
                <w:color w:val="auto"/>
              </w:rPr>
            </w:pPr>
            <w:r>
              <w:rPr>
                <w:rFonts w:ascii="Arial" w:cs="Arial" w:eastAsia="Arial" w:hAnsi="Arial"/>
                <w:sz w:val="12"/>
                <w:szCs w:val="12"/>
                <w:b w:val="1"/>
                <w:bCs w:val="1"/>
                <w:color w:val="auto"/>
              </w:rPr>
              <w:t>Years ended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680" w:type="dxa"/>
            <w:vAlign w:val="bottom"/>
          </w:tcPr>
          <w:p>
            <w:pPr>
              <w:jc w:val="center"/>
              <w:ind w:right="134"/>
              <w:spacing w:after="0"/>
              <w:rPr>
                <w:sz w:val="20"/>
                <w:szCs w:val="20"/>
                <w:color w:val="auto"/>
              </w:rPr>
            </w:pPr>
            <w:r>
              <w:rPr>
                <w:rFonts w:ascii="Arial" w:cs="Arial" w:eastAsia="Arial" w:hAnsi="Arial"/>
                <w:sz w:val="12"/>
                <w:szCs w:val="12"/>
                <w:b w:val="1"/>
                <w:bCs w:val="1"/>
                <w:color w:val="auto"/>
              </w:rPr>
              <w:t>Dollar</w:t>
            </w:r>
          </w:p>
        </w:tc>
        <w:tc>
          <w:tcPr>
            <w:tcW w:w="680" w:type="dxa"/>
            <w:vAlign w:val="bottom"/>
          </w:tcPr>
          <w:p>
            <w:pPr>
              <w:jc w:val="right"/>
              <w:ind w:right="194"/>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8"/>
              <w:spacing w:after="0" w:line="131" w:lineRule="exact"/>
              <w:rPr>
                <w:sz w:val="20"/>
                <w:szCs w:val="20"/>
                <w:color w:val="auto"/>
              </w:rPr>
            </w:pPr>
            <w:r>
              <w:rPr>
                <w:rFonts w:ascii="Arial" w:cs="Arial" w:eastAsia="Arial" w:hAnsi="Arial"/>
                <w:sz w:val="12"/>
                <w:szCs w:val="12"/>
                <w:b w:val="1"/>
                <w:bCs w:val="1"/>
                <w:color w:val="auto"/>
              </w:rPr>
              <w:t>2014</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1"/>
              <w:spacing w:after="0" w:line="131"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74"/>
              <w:spacing w:after="0" w:line="131" w:lineRule="exact"/>
              <w:rPr>
                <w:sz w:val="20"/>
                <w:szCs w:val="20"/>
                <w:color w:val="auto"/>
              </w:rPr>
            </w:pPr>
            <w:r>
              <w:rPr>
                <w:rFonts w:ascii="Arial" w:cs="Arial" w:eastAsia="Arial" w:hAnsi="Arial"/>
                <w:sz w:val="12"/>
                <w:szCs w:val="12"/>
                <w:b w:val="1"/>
                <w:bCs w:val="1"/>
                <w:color w:val="auto"/>
              </w:rPr>
              <w:t>change</w:t>
            </w:r>
          </w:p>
        </w:tc>
        <w:tc>
          <w:tcPr>
            <w:tcW w:w="680" w:type="dxa"/>
            <w:vAlign w:val="bottom"/>
            <w:tcBorders>
              <w:bottom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change</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900" w:type="dxa"/>
            <w:vAlign w:val="bottom"/>
            <w:gridSpan w:val="2"/>
            <w:shd w:val="clear" w:color="auto" w:fill="CCEEFF"/>
          </w:tcPr>
          <w:p>
            <w:pPr>
              <w:jc w:val="right"/>
              <w:ind w:right="18"/>
              <w:spacing w:after="0"/>
              <w:rPr>
                <w:sz w:val="20"/>
                <w:szCs w:val="20"/>
                <w:color w:val="auto"/>
              </w:rPr>
            </w:pPr>
            <w:r>
              <w:rPr>
                <w:rFonts w:ascii="Arial" w:cs="Arial" w:eastAsia="Arial" w:hAnsi="Arial"/>
                <w:sz w:val="15"/>
                <w:szCs w:val="15"/>
                <w:color w:val="auto"/>
              </w:rPr>
              <w:t>$  7,953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5"/>
                <w:szCs w:val="15"/>
                <w:color w:val="auto"/>
              </w:rPr>
              <w:t>382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r>
    </w:tbl>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During the year ended December 31, 2015, our general and administrative expenses increased by $0.4 million, or 5%, as compared to the prior year, primarily due to an increase in legal expense as a result of initiating and reviewing potential collaboration agreements and expanding intellectual property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83" w:name="page84"/>
    <w:bookmarkEnd w:id="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Change in investment income was de minimis during the year ended December 31, 2015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w:t>
      </w:r>
    </w:p>
    <w:p>
      <w:pPr>
        <w:spacing w:after="0" w:line="195"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We recognized a foreign currency gain of $0.9 million during the year ended December 31, 2015 as compared to $3.0 million during the year ended December 31, 2014 reflecting the continued strength of the U.S. dollar to the ruble occurring between December 31, 2014 (beginning of the period) to December 31, 2015 (end of period).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Interest expense was $0.9 million during the year ended December 31, 2015, as compared to $0.6 million in the prior year.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 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Since our inception and through December 31, 2015, we have raised an aggregate of $149.8 million to fund our operations, of which $118.5 million was from the sale of preferred stock, $6.0 million was from government grants and $14.3 million was from borrowings under our credit facility and $11.0 million was through our collaborations and license agreements.</w:t>
      </w:r>
    </w:p>
    <w:p>
      <w:pPr>
        <w:spacing w:after="0" w:line="105"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As of December 31, 2015, our cash and cash equivalents were $32.3 million, of which $3.8 million was held by our Russian subsidiary designated solely for use in its operations and is consolidated for financial reporting purposes. Additionally, our Russian subsidiary maintained $0.7 million in short term investments and $0.1 million in restricted cash.</w:t>
      </w:r>
    </w:p>
    <w:p>
      <w:pPr>
        <w:spacing w:after="0" w:line="128"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August 2013, we entered into a credit facility with Oxford Finance, LLC, or Oxford, and Pacific Western Bank, as successor in interest to Square 1 Bank, as co-lenders.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148"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The credit facility is secured by substantially all of our personal property other than our intellectual property. The term loan under the credit facility bears interest at an annual rate equal to the greater of (i) 8.0% and (ii) the sum of (a) the 30-day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3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were also required to issue the lenders warrants for the purchase of preferred stock equal to 4.0% of the term loan A and term loan B at each closing, and 2.5% for the additional borrowing on December 31, 2015. In connection with the term loan security and loan agreement, in August 2013, we issued a fully vested warrant to purchase 26,668 shares of our Series D Preferred Stock, in July 2014, we issued an additional fully vested warrant to purchase 40,000 shares of our Series D Preferred Stock, and in December 31, 2015, we issued an additional fully vested warrant to purchase 37,978 shares of our Series E Preferred Stock. The exercise price for all warrants is $4.50 per share, and they have a ten year life from date of issuance. These are recorded at the fair market value and expensed through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 As of December 31, 2015, we were in compliance with the covenants under our credit facility.</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 As of December 31, 2015, there had been no such events of default and the lenders had not exercised their rights with respect to an event of default under the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 In their report on our consolidated financial statements for the years ended December 31, 2014 and 2015, our independent registered public accounting firm included an explanatory paragraph stating that we have recurring losses from operations since inception and negative cash flows from operating activities and will require additional capital to fund planned operations. These conditions raise substantial doubt about our ability to continue as a going concern.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We expect that the net proceeds from this offering, together with our cash and cash equivalents as of December 31, 2015, and research and development funding that we expect to receive</w:t>
      </w:r>
    </w:p>
    <w:p>
      <w:pPr>
        <w:spacing w:after="0" w:line="41" w:lineRule="exact"/>
        <w:rPr>
          <w:sz w:val="20"/>
          <w:szCs w:val="20"/>
          <w:color w:val="auto"/>
        </w:rPr>
      </w:pPr>
    </w:p>
    <w:p>
      <w:pPr>
        <w:ind w:right="180"/>
        <w:spacing w:after="0" w:line="275" w:lineRule="auto"/>
        <w:rPr>
          <w:sz w:val="20"/>
          <w:szCs w:val="20"/>
          <w:color w:val="auto"/>
        </w:rPr>
      </w:pPr>
      <w:r>
        <w:rPr>
          <w:rFonts w:ascii="Arial" w:cs="Arial" w:eastAsia="Arial" w:hAnsi="Arial"/>
          <w:sz w:val="15"/>
          <w:szCs w:val="15"/>
          <w:color w:val="auto"/>
        </w:rPr>
        <w:t>under our existing collaborations, excluding any potential milestone payments, will fund our operating expenses and capital expenditure requirements through . We have based these estimates 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3" w:lineRule="exact"/>
        <w:rPr>
          <w:sz w:val="20"/>
          <w:szCs w:val="20"/>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9"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cash flows for the years ended December 31, 2014 and 2015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Years ended</w:t>
            </w: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440" w:type="dxa"/>
            <w:vAlign w:val="bottom"/>
          </w:tcPr>
          <w:p>
            <w:pPr>
              <w:ind w:left="14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(22,463)</w:t>
            </w:r>
          </w:p>
        </w:tc>
      </w:tr>
      <w:tr>
        <w:trPr>
          <w:trHeight w:val="185"/>
        </w:trPr>
        <w:tc>
          <w:tcPr>
            <w:tcW w:w="20" w:type="dxa"/>
            <w:vAlign w:val="bottom"/>
          </w:tcPr>
          <w:p>
            <w:pPr>
              <w:spacing w:after="0"/>
              <w:rPr>
                <w:sz w:val="16"/>
                <w:szCs w:val="16"/>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cash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(4,679)</w:t>
            </w:r>
          </w:p>
        </w:tc>
      </w:tr>
      <w:tr>
        <w:trPr>
          <w:trHeight w:val="185"/>
        </w:trPr>
        <w:tc>
          <w:tcPr>
            <w:tcW w:w="20" w:type="dxa"/>
            <w:vAlign w:val="bottom"/>
          </w:tcPr>
          <w:p>
            <w:pPr>
              <w:spacing w:after="0"/>
              <w:rPr>
                <w:sz w:val="16"/>
                <w:szCs w:val="16"/>
                <w:color w:val="auto"/>
              </w:rPr>
            </w:pPr>
          </w:p>
        </w:tc>
        <w:tc>
          <w:tcPr>
            <w:tcW w:w="7440" w:type="dxa"/>
            <w:vAlign w:val="bottom"/>
          </w:tcPr>
          <w:p>
            <w:pPr>
              <w:ind w:left="140"/>
              <w:spacing w:after="0"/>
              <w:rPr>
                <w:sz w:val="20"/>
                <w:szCs w:val="20"/>
                <w:color w:val="auto"/>
              </w:rPr>
            </w:pPr>
            <w:r>
              <w:rPr>
                <w:rFonts w:ascii="Arial" w:cs="Arial" w:eastAsia="Arial" w:hAnsi="Arial"/>
                <w:sz w:val="15"/>
                <w:szCs w:val="15"/>
                <w:color w:val="auto"/>
              </w:rPr>
              <w:t>Net cash provided by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43,906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(1,019)</w:t>
            </w:r>
          </w:p>
        </w:tc>
      </w:tr>
      <w:tr>
        <w:trPr>
          <w:trHeight w:val="177"/>
        </w:trPr>
        <w:tc>
          <w:tcPr>
            <w:tcW w:w="7460" w:type="dxa"/>
            <w:vAlign w:val="bottom"/>
            <w:gridSpan w:val="2"/>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ind w:right="380"/>
        <w:spacing w:after="0" w:line="270" w:lineRule="auto"/>
        <w:rPr>
          <w:sz w:val="20"/>
          <w:szCs w:val="20"/>
          <w:color w:val="auto"/>
        </w:rPr>
      </w:pPr>
      <w:r>
        <w:rPr>
          <w:rFonts w:ascii="Arial" w:cs="Arial" w:eastAsia="Arial" w:hAnsi="Arial"/>
          <w:sz w:val="15"/>
          <w:szCs w:val="15"/>
          <w:color w:val="auto"/>
        </w:rPr>
        <w:t>Net cash used in operating activities was $12.7 million for the year ended December 31, 2014, as compared to $22.5 million for the year ended December 31, 2015. The increase of $10.0 million in cash used in operating activities during the year ended December 31, 2015, was primarily related to the increased net loss position as a result of the incremental costs associated with the clinical trial.</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Net cash used in investing activities was $0.2 million for the year ended December 31, 2014, as compared to net cash used in investing activities of $4.7 million for the year ended December 31, 2015. The increase in cash used for investing activities was caused by the purchase of $3.5 million of short-term investments and an additional $1.2 million of purchased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Net cash provided by financing activities was $24.8 million for the year ended December 31, 2014, as compared to net cash provided by financing activities of $43.9 million for the year ended December 31, 2015.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redeemable convertible preferred stock, or Series SRN Preferred Stock, issued in 2014.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140"/>
        <w:spacing w:after="0" w:line="297"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December 31, 2015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Research and development contract obligations(2)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term debt(3)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90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16,701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2,208</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11,054</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3,439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right="680" w:hanging="463"/>
        <w:spacing w:after="0" w:line="333" w:lineRule="auto"/>
        <w:tabs>
          <w:tab w:leader="none" w:pos="1600" w:val="left"/>
        </w:tabs>
        <w:numPr>
          <w:ilvl w:val="0"/>
          <w:numId w:val="62"/>
        </w:numPr>
        <w:rPr>
          <w:rFonts w:ascii="Arial" w:cs="Arial" w:eastAsia="Arial" w:hAnsi="Arial"/>
          <w:sz w:val="10"/>
          <w:szCs w:val="10"/>
          <w:color w:val="auto"/>
        </w:rPr>
      </w:pPr>
      <w:r>
        <w:rPr>
          <w:rFonts w:ascii="Arial" w:cs="Arial" w:eastAsia="Arial" w:hAnsi="Arial"/>
          <w:sz w:val="10"/>
          <w:szCs w:val="10"/>
          <w:color w:val="auto"/>
        </w:rPr>
        <w:t>Represents future minimum lease payments under non-cancellable operating leases in effect as of December 31, 2015, including the remaining lease payments for our current facilities in Watertown, Massachusetts. The minimum lease payments above do not include common area maintenance charges, real estate taxes or any sublease payments we receive.</w:t>
      </w:r>
    </w:p>
    <w:p>
      <w:pPr>
        <w:spacing w:after="0" w:line="51" w:lineRule="exact"/>
        <w:rPr>
          <w:rFonts w:ascii="Arial" w:cs="Arial" w:eastAsia="Arial" w:hAnsi="Arial"/>
          <w:sz w:val="10"/>
          <w:szCs w:val="10"/>
          <w:color w:val="auto"/>
        </w:rPr>
      </w:pPr>
    </w:p>
    <w:p>
      <w:pPr>
        <w:ind w:left="1600" w:right="80" w:hanging="463"/>
        <w:spacing w:after="0" w:line="233" w:lineRule="auto"/>
        <w:tabs>
          <w:tab w:leader="none" w:pos="16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and royalty payments commence upon our commercialization of a product. For the purposes of presenting our contractual obligations under the MIT agreement, we have assumed license payments are fully offset by milestone and royalty payments in 2020.</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$12.0 million of borrowings, net of principle paydown, and no prepayments.</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7"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enter into agreements in the normal course of business with manufacturers and CROs for clinical trials, preclinical research studies and testing, manufacturing and other services and products for operating purposes. As of December 31, 2015, we had approximately $9.2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460"/>
        <w:spacing w:after="0" w:line="270" w:lineRule="auto"/>
        <w:rPr>
          <w:sz w:val="20"/>
          <w:szCs w:val="20"/>
          <w:color w:val="auto"/>
        </w:rPr>
      </w:pPr>
      <w:r>
        <w:rPr>
          <w:rFonts w:ascii="Arial" w:cs="Arial" w:eastAsia="Arial" w:hAnsi="Arial"/>
          <w:sz w:val="15"/>
          <w:szCs w:val="15"/>
          <w:color w:val="auto"/>
        </w:rPr>
        <w:t>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 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7"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9"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0" w:name="page91"/>
    <w:bookmarkEnd w:id="9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340"/>
        <w:spacing w:after="0" w:line="282" w:lineRule="auto"/>
        <w:rPr>
          <w:sz w:val="20"/>
          <w:szCs w:val="20"/>
          <w:color w:val="auto"/>
        </w:rPr>
      </w:pPr>
      <w:r>
        <w:rPr>
          <w:rFonts w:ascii="Arial" w:cs="Arial" w:eastAsia="Arial" w:hAnsi="Arial"/>
          <w:sz w:val="15"/>
          <w:szCs w:val="15"/>
          <w:color w:val="auto"/>
        </w:rPr>
        <w:t>of the research and development agreement. Such a change could have a material impact on the amount of revenue we record in future periods. We have not experienced any significant adjustments to our estimates to date.</w:t>
      </w:r>
    </w:p>
    <w:p>
      <w:pPr>
        <w:spacing w:after="0" w:line="151" w:lineRule="exact"/>
        <w:rPr>
          <w:sz w:val="20"/>
          <w:szCs w:val="20"/>
          <w:color w:val="auto"/>
        </w:rPr>
      </w:pPr>
    </w:p>
    <w:p>
      <w:pPr>
        <w:jc w:val="both"/>
        <w:ind w:left="7" w:right="20"/>
        <w:spacing w:after="0" w:line="297" w:lineRule="auto"/>
        <w:rPr>
          <w:sz w:val="20"/>
          <w:szCs w:val="20"/>
          <w:color w:val="auto"/>
        </w:rPr>
      </w:pPr>
      <w:r>
        <w:rPr>
          <w:rFonts w:ascii="Arial" w:cs="Arial" w:eastAsia="Arial" w:hAnsi="Arial"/>
          <w:sz w:val="14"/>
          <w:szCs w:val="14"/>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44" w:lineRule="exact"/>
        <w:rPr>
          <w:sz w:val="20"/>
          <w:szCs w:val="20"/>
          <w:color w:val="auto"/>
        </w:rPr>
      </w:pPr>
    </w:p>
    <w:p>
      <w:pPr>
        <w:ind w:left="7" w:right="180"/>
        <w:spacing w:after="0" w:line="266"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1" w:lineRule="exact"/>
        <w:rPr>
          <w:sz w:val="20"/>
          <w:szCs w:val="20"/>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8"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services performed may vary and may result in our reporting changes in estimates in any particular period. We have not experienced any significant adjustments to our estimates to date.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80"/>
              <w:spacing w:after="0"/>
              <w:rPr>
                <w:sz w:val="20"/>
                <w:szCs w:val="20"/>
                <w:color w:val="auto"/>
              </w:rPr>
            </w:pPr>
            <w:r>
              <w:rPr>
                <w:rFonts w:ascii="Arial" w:cs="Arial" w:eastAsia="Arial" w:hAnsi="Arial"/>
                <w:sz w:val="12"/>
                <w:szCs w:val="12"/>
                <w:b w:val="1"/>
                <w:bCs w:val="1"/>
                <w:color w:val="auto"/>
              </w:rPr>
              <w:t>Year ended</w:t>
            </w: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December 31,</w:t>
            </w:r>
          </w:p>
        </w:tc>
      </w:tr>
      <w:tr>
        <w:trPr>
          <w:trHeight w:val="131"/>
        </w:trPr>
        <w:tc>
          <w:tcPr>
            <w:tcW w:w="20" w:type="dxa"/>
            <w:vAlign w:val="bottom"/>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91"/>
              <w:spacing w:after="0" w:line="131" w:lineRule="exact"/>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8"/>
              <w:spacing w:after="0" w:line="131" w:lineRule="exact"/>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1"/>
                <w:szCs w:val="11"/>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As of December 31, 2015, we had $2.3 million of total unrecognized compensation expense, net of related forfeiture estimates, which is expected to be recognized over a weighted average remaining vesting period of approximately 3.1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2" w:name="page93"/>
    <w:bookmarkEnd w:id="9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200" w:hanging="467"/>
        <w:spacing w:after="0" w:line="319" w:lineRule="auto"/>
        <w:tabs>
          <w:tab w:leader="none" w:pos="46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151" w:lineRule="exact"/>
        <w:rPr>
          <w:rFonts w:ascii="Arial" w:cs="Arial" w:eastAsia="Arial" w:hAnsi="Arial"/>
          <w:sz w:val="14"/>
          <w:szCs w:val="14"/>
          <w:color w:val="auto"/>
        </w:rPr>
      </w:pPr>
    </w:p>
    <w:p>
      <w:pPr>
        <w:jc w:val="both"/>
        <w:ind w:left="467" w:right="80" w:hanging="467"/>
        <w:spacing w:after="0" w:line="270"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59"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160"/>
        <w:spacing w:after="0" w:line="263" w:lineRule="auto"/>
        <w:rPr>
          <w:sz w:val="20"/>
          <w:szCs w:val="20"/>
          <w:color w:val="auto"/>
        </w:rPr>
      </w:pPr>
      <w:r>
        <w:rPr>
          <w:rFonts w:ascii="Arial" w:cs="Arial" w:eastAsia="Arial" w:hAnsi="Arial"/>
          <w:sz w:val="15"/>
          <w:szCs w:val="15"/>
          <w:color w:val="auto"/>
        </w:rPr>
        <w:t>We obtained valuations of our common stock on February 28, 2014, November 30, 2014, September 30, 2015, December 31, 2015, January 31, 2016 and March , 2016.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67"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51"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We performed these valuations, with the assistance of a third-party valuation specialist, on February 28, 2014, November 30, 2014, September 30, 2015, December 31, 2015, January 31,</w:t>
      </w:r>
    </w:p>
    <w:p>
      <w:pPr>
        <w:spacing w:after="0" w:line="41"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2016 and March , 2016. The resulting estimated fair value of our common stock as of March , 2016 was $ , January 31, 2016 was $1.80, December 31, 2015 was $1.74, September 30, 2015 was $1.64, November 30, 2014 was $2.40 and February 28, 2014 was $2.30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recent Series E Preferred Stock financing. The valuations performed as of January 31, 2016 and December 31, 2015, as compared to September 30, 2015, reflected only the advancement of time between valuations towards the future stockholder exit or liquidity event scenarios. As there were no new significant clinical data, financial events or other changes in the business during that period, management believes the change in valuation is attributable to time progression. The valuation performed for March , 2016 included consideration for the continued advancement of time towards an IPO in the second quarter of 2016, the apparent stabilization of the capital markets, the initial results of our Phase 1b clinical trial and analysis of the valuations for other biotechnology companies.</w:t>
      </w:r>
    </w:p>
    <w:p>
      <w:pPr>
        <w:spacing w:after="0" w:line="158"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 price</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40" w:type="dxa"/>
            <w:vAlign w:val="bottom"/>
          </w:tcPr>
          <w:p>
            <w:pPr>
              <w:spacing w:after="0"/>
              <w:rPr>
                <w:sz w:val="12"/>
                <w:szCs w:val="12"/>
                <w:color w:val="auto"/>
              </w:rPr>
            </w:pPr>
          </w:p>
        </w:tc>
        <w:tc>
          <w:tcPr>
            <w:tcW w:w="940" w:type="dxa"/>
            <w:vAlign w:val="bottom"/>
          </w:tcPr>
          <w:p>
            <w:pPr>
              <w:jc w:val="center"/>
              <w:ind w:right="48"/>
              <w:spacing w:after="0"/>
              <w:rPr>
                <w:sz w:val="20"/>
                <w:szCs w:val="20"/>
                <w:color w:val="auto"/>
              </w:rPr>
            </w:pPr>
            <w:r>
              <w:rPr>
                <w:rFonts w:ascii="Arial" w:cs="Arial" w:eastAsia="Arial" w:hAnsi="Arial"/>
                <w:sz w:val="12"/>
                <w:szCs w:val="12"/>
                <w:b w:val="1"/>
                <w:bCs w:val="1"/>
                <w:color w:val="auto"/>
              </w:rPr>
              <w:t>per share on</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596,000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80,000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225,000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20,000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Pr>
          <w:p>
            <w:pPr>
              <w:jc w:val="right"/>
              <w:spacing w:after="0"/>
              <w:rPr>
                <w:sz w:val="20"/>
                <w:szCs w:val="20"/>
                <w:color w:val="auto"/>
              </w:rPr>
            </w:pPr>
            <w:r>
              <w:rPr>
                <w:rFonts w:ascii="Arial" w:cs="Arial" w:eastAsia="Arial" w:hAnsi="Arial"/>
                <w:sz w:val="15"/>
                <w:szCs w:val="15"/>
                <w:color w:val="auto"/>
              </w:rPr>
              <w:t>450,000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0.97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4,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929,750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March 9, 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1.80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1.80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1.46</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3,267,750</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60" w:hanging="463"/>
        <w:spacing w:after="0" w:line="238"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November 30, 2014, September 30, 2015, December 31, 2015 or January 31, 2016, as applicable.</w:t>
      </w:r>
    </w:p>
    <w:p>
      <w:pPr>
        <w:spacing w:after="0" w:line="96" w:lineRule="exact"/>
        <w:rPr>
          <w:rFonts w:ascii="Arial" w:cs="Arial" w:eastAsia="Arial" w:hAnsi="Arial"/>
          <w:sz w:val="12"/>
          <w:szCs w:val="12"/>
          <w:color w:val="auto"/>
        </w:rPr>
      </w:pPr>
    </w:p>
    <w:p>
      <w:pPr>
        <w:ind w:left="1600" w:right="20" w:hanging="463"/>
        <w:spacing w:after="0" w:line="230"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As described below, the fair value of common stock at the date of these grants was adjusted to recognize the decline in the per share valuation for the period between the November 30, 2014 and the December 31, 2015 contemporaneous valuations. The adjustments are made based on a reassessment of the events occurring between the two valuations, such as the value paid for the most recent venture funding, and the determination of the time in which the pricing of the funding would be known. The fair value of common stock per share on the March 9, 2016 grant date was based on the valuation performed as of January 31, 2016.</w:t>
      </w:r>
    </w:p>
    <w:p>
      <w:pPr>
        <w:spacing w:after="0" w:line="168"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In the course of preparing for this offering, on January 31, 2016, we performed a fair value assessment and concluded that the fair value of our common stock underlying the stock options we granted between April 8, 2014 and March 9, 2016 was between $1.64 and $2.40 per share for accounting purposes. These reassessed values, which we applied to determine the fair values of the option grants in determining the stock-based compensation expense for accounting purposes, were based in part upon the valuation of our common stock as of January 31, 2016, performed with the assistance of a third-party specialist, taking into account an increased probability of executing a successful IPO during the first half of 2016, the recent IPO valuations for early-stage biotechnology companies and the probability of a successful result in our Phase 1/2 clinical trials of SEL-212. These revised common stock valuations were performed using the PWERM method noted above.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In consultation with the underwriters for this offering, we determined the estimated price range for this offering, as set forth on the cover page of this prospectus. The midpoint of the price</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range is $ per share. In comparison, our estimate of the fair value of our common stock was $ per share as of the valuation. We note that, as is typical with IPOs, the estimated price range for this offering was not derived using a formal determination of fair value, but was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5" w:name="page96"/>
    <w:bookmarkEnd w:id="9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negotiation between us and the underwriters. Among the factors that were considered in setting this range were the following:</w:t>
      </w:r>
    </w:p>
    <w:p>
      <w:pPr>
        <w:spacing w:after="0" w:line="210" w:lineRule="exact"/>
        <w:rPr>
          <w:sz w:val="20"/>
          <w:szCs w:val="20"/>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8" w:lineRule="exact"/>
        <w:rPr>
          <w:sz w:val="20"/>
          <w:szCs w:val="20"/>
          <w:color w:val="auto"/>
        </w:rPr>
      </w:pPr>
    </w:p>
    <w:p>
      <w:pPr>
        <w:ind w:left="7" w:right="120"/>
        <w:spacing w:after="0" w:line="301" w:lineRule="auto"/>
        <w:rPr>
          <w:sz w:val="20"/>
          <w:szCs w:val="20"/>
          <w:color w:val="auto"/>
        </w:rPr>
      </w:pPr>
      <w:r>
        <w:rPr>
          <w:rFonts w:ascii="Arial" w:cs="Arial" w:eastAsia="Arial" w:hAnsi="Arial"/>
          <w:sz w:val="13"/>
          <w:szCs w:val="13"/>
          <w:color w:val="auto"/>
        </w:rPr>
        <w:t>We believe that the difference between the fair value of our common stock as of and the midpoint of the price range for this offering is the result of these factors as well as the fact that the estimated IPO price range necessarily assumes that the IPO has occurred, a public market for our common stock has been created and that our preferred stock converted into</w:t>
      </w:r>
    </w:p>
    <w:p>
      <w:pPr>
        <w:ind w:left="7"/>
        <w:spacing w:after="0"/>
        <w:tabs>
          <w:tab w:leader="none" w:pos="10167" w:val="left"/>
        </w:tabs>
        <w:rPr>
          <w:sz w:val="20"/>
          <w:szCs w:val="20"/>
          <w:color w:val="auto"/>
        </w:rPr>
      </w:pPr>
      <w:r>
        <w:rPr>
          <w:rFonts w:ascii="Arial" w:cs="Arial" w:eastAsia="Arial" w:hAnsi="Arial"/>
          <w:sz w:val="15"/>
          <w:szCs w:val="15"/>
          <w:color w:val="auto"/>
        </w:rPr>
        <w:t>common stock in connection with the IPO, and therefore excludes any discount for lack of marketability of our common stock, which was factored into the</w:t>
      </w:r>
      <w:r>
        <w:rPr>
          <w:sz w:val="20"/>
          <w:szCs w:val="20"/>
          <w:color w:val="auto"/>
        </w:rPr>
        <w:tab/>
      </w:r>
      <w:r>
        <w:rPr>
          <w:rFonts w:ascii="Arial" w:cs="Arial" w:eastAsia="Arial" w:hAnsi="Arial"/>
          <w:sz w:val="13"/>
          <w:szCs w:val="13"/>
          <w:color w:val="auto"/>
        </w:rPr>
        <w:t>valuation.</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We granted warrants to purchase shares of our Series D Preferred Stock and Series E Preferred Stock to the lenders under our loan and security agreement dated August 9, 2013, as amended on May 9, 2014, and as amended and restated on December 31, 2015.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49" w:lineRule="exact"/>
        <w:rPr>
          <w:sz w:val="20"/>
          <w:szCs w:val="20"/>
          <w:color w:val="auto"/>
        </w:rPr>
      </w:pPr>
    </w:p>
    <w:p>
      <w:pPr>
        <w:ind w:left="7" w:right="40"/>
        <w:spacing w:after="0" w:line="281" w:lineRule="auto"/>
        <w:rPr>
          <w:sz w:val="20"/>
          <w:szCs w:val="20"/>
          <w:color w:val="auto"/>
        </w:rPr>
      </w:pPr>
      <w:r>
        <w:rPr>
          <w:rFonts w:ascii="Arial" w:cs="Arial" w:eastAsia="Arial" w:hAnsi="Arial"/>
          <w:sz w:val="14"/>
          <w:szCs w:val="14"/>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57"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stock instead of preferred stock and the fair value of the warrant liability will be reclassified to additional paid-in capital at that time.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149" w:lineRule="exact"/>
        <w:rPr>
          <w:sz w:val="20"/>
          <w:szCs w:val="20"/>
          <w:color w:val="auto"/>
        </w:rPr>
      </w:pPr>
    </w:p>
    <w:p>
      <w:pPr>
        <w:ind w:right="200"/>
        <w:spacing w:after="0" w:line="308"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 xml:space="preserve">In May 2014, FASB issued Accounting Standards Update, or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67"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25"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2016-02.</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The market risk inherent in our financial instruments and in our financial position represents the potential loss arising from adverse changes in interest rates. As of December 31, 2015, we had cash equivalents of $32.3 million,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and 72.89 rubles per U.S. dollar at December 31, 2015. As of December 31, 2015, we held $3.8 million in Russian banks to support our Russian subsidiary, of which $3.0 million was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differentiated therapies that are designed to modulate the immune system to effectively and safely treat rare diseases. Many rare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therapeutic enzyme designed to be the first biologic treatment for gout that durably controls uric acid in refractory gout and dissolves and removes the harmful deposits of uric acid in chronic tophaceous gout, each a painful and debilitating disease with unmet medical need. SEL-212 is currently in a comprehensive Phase 1/2 clinical program. The Phase 1/2 clinical program, comprised of two Phase 1 clinical trials and a Phase 2 clinical trial, is designed to evaluate the ability of SEL-212 to control uric acid levels and mitigate the formation of ADAs. We expect to receive final data from both Phase 1 clinical trials in the first half of 2016 and initiate the Phase 2 clinical trial in the second half of 2016. We have submitted to the FDA two investigational new drug, or IND, applications, both of which are active. Each IND lists us as a named sponsor and is indicated for the treatment of chronic gout in adult patients refractory to conventional therapy.</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Despite rapid advancement in biologic treatment of rare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our SVP technology has the potential to overcome these limitations of biologic treatments.</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antibodies. The package insert information also indicates that during the drug's Phase 3 clinical trials, high anti-Krystexxa antibody levels in patients were associated with a failure to maintain Krystexxa-induced normalization of uric acid levels. Similarly, a 2011 study published in The Journal of the American Medical Association found that 58% of Krystexxa patients were non-responders.</w:t>
      </w:r>
    </w:p>
    <w:p>
      <w:pPr>
        <w:spacing w:after="0" w:line="15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SEL-212 consists of SVP-Rapamycin co-administered with pegsiticase, our proprietary pegylated uricase, for the treatment of refractory and chronic tophaceous gout. SVP-Rapamycin uses our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9" w:name="page100"/>
    <w:bookmarkEnd w:id="9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 Excessive uric acid levels result in harmful deposits of insoluble uric acid crystals in joints and tissues, causing joint damage and painful inflammation. High concentrations of uric acid in the blood also increase the risk for other conditions, including hypertension, diabetes, atherosclerosis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153"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We are also applying our SVP technology to antigen-specific immune tolerance to gene therapy. Gene therapies often use an adeno-associated virus, or AAV, delivery mechanism to insert corrective genetic material into cells to treat genetic diseases. In clinical trials, AAV vectors have been observed to induce undesired immunogenicity, which we believe can limit the durability of the first dose of gene therapy and significantly reduce the efficacy of any subsequent dose of the gene therapy. In our preclinical studies, we have observed that the application of SVP-Rapamycin to an AAV-based gene therapy mitigates the formation of ADAs against AAV vectors. Based on our preclinical data, we believe that SVP-Rapamycin has the potential to enable repeat dosing of AAV-based gene therapies via system-wide, or systemic, routes of administration by eliminating such undesired immunogenicity. We believe that many gene therapy applications may require multiple doses, especially therapies designed to treat non-localized diseases by intravenous administration. Some of these rare genetic deficiencies are best treated when patients are infants or small children, to prevent developmental defects. However, the need for repeat dosing may be greater in pediatric patients due to higher cell turnover as the patient grows. We believe a solution that enables repeat dosing for gene therapies would significantly expand the number of diseases that could be treated by these therapies. In addition, we are currently in discussions with third parties regarding potential development opportunities for gene therapy applications utilizing our SVP technology. We have also initiated preclinical studies to assess whether SVP-Rapamycin enables repeat administration of gene therapy by eliminating such undesired immunogencity for two monogenic diseases.</w:t>
      </w:r>
    </w:p>
    <w:p>
      <w:pPr>
        <w:spacing w:after="0" w:line="14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such as novel antibody-drug conjugates.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life-threatening food allergy, celiac disease and type 1 diabetes. We intend to continue a strategy of out-licensing our SVP technology for antigen-specific immune tolerance for applications that are outside our areas of focus.</w:t>
      </w:r>
    </w:p>
    <w:p>
      <w:pPr>
        <w:spacing w:after="0" w:line="151"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 stimulate the immune system in response to a specific antigen. To date, these programs have been primarily financed through grants.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4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Development status</w:t>
            </w: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307"/>
        </w:trPr>
        <w:tc>
          <w:tcPr>
            <w:tcW w:w="2640" w:type="dxa"/>
            <w:vAlign w:val="bottom"/>
          </w:tcPr>
          <w:p>
            <w:pPr>
              <w:spacing w:after="0"/>
              <w:rPr>
                <w:sz w:val="20"/>
                <w:szCs w:val="20"/>
                <w:color w:val="auto"/>
              </w:rPr>
            </w:pPr>
            <w:r>
              <w:rPr>
                <w:rFonts w:ascii="Arial" w:cs="Arial" w:eastAsia="Arial" w:hAnsi="Arial"/>
                <w:sz w:val="12"/>
                <w:szCs w:val="12"/>
                <w:color w:val="auto"/>
                <w:w w:val="96"/>
              </w:rPr>
              <w:t>Refractory and chronic tophaceous gout (SEL-212)</w:t>
            </w:r>
          </w:p>
        </w:tc>
        <w:tc>
          <w:tcPr>
            <w:tcW w:w="2940" w:type="dxa"/>
            <w:vAlign w:val="bottom"/>
          </w:tcPr>
          <w:p>
            <w:pPr>
              <w:ind w:left="280"/>
              <w:spacing w:after="0"/>
              <w:rPr>
                <w:sz w:val="20"/>
                <w:szCs w:val="20"/>
                <w:color w:val="auto"/>
              </w:rPr>
            </w:pPr>
            <w:r>
              <w:rPr>
                <w:rFonts w:ascii="Arial" w:cs="Arial" w:eastAsia="Arial" w:hAnsi="Arial"/>
                <w:sz w:val="12"/>
                <w:szCs w:val="12"/>
                <w:color w:val="auto"/>
                <w:w w:val="99"/>
              </w:rPr>
              <w:t>SVP-Rapamycin co-administered with pegsiticase</w:t>
            </w:r>
          </w:p>
        </w:tc>
        <w:tc>
          <w:tcPr>
            <w:tcW w:w="3060" w:type="dxa"/>
            <w:vAlign w:val="bottom"/>
          </w:tcPr>
          <w:p>
            <w:pPr>
              <w:ind w:left="280"/>
              <w:spacing w:after="0"/>
              <w:rPr>
                <w:sz w:val="20"/>
                <w:szCs w:val="20"/>
                <w:color w:val="auto"/>
              </w:rPr>
            </w:pPr>
            <w:r>
              <w:rPr>
                <w:rFonts w:ascii="Arial" w:cs="Arial" w:eastAsia="Arial" w:hAnsi="Arial"/>
                <w:sz w:val="12"/>
                <w:szCs w:val="12"/>
                <w:color w:val="auto"/>
                <w:w w:val="90"/>
              </w:rPr>
              <w:t>Final data from Phase 1a and Phase 1b trials expected in</w:t>
            </w:r>
          </w:p>
        </w:tc>
        <w:tc>
          <w:tcPr>
            <w:tcW w:w="2800" w:type="dxa"/>
            <w:vAlign w:val="bottom"/>
          </w:tcPr>
          <w:p>
            <w:pPr>
              <w:ind w:left="160"/>
              <w:spacing w:after="0"/>
              <w:rPr>
                <w:sz w:val="20"/>
                <w:szCs w:val="20"/>
                <w:color w:val="auto"/>
              </w:rPr>
            </w:pPr>
            <w:r>
              <w:rPr>
                <w:rFonts w:ascii="Arial" w:cs="Arial" w:eastAsia="Arial" w:hAnsi="Arial"/>
                <w:sz w:val="12"/>
                <w:szCs w:val="12"/>
                <w:color w:val="auto"/>
              </w:rPr>
              <w:t>Own development</w:t>
            </w:r>
          </w:p>
        </w:tc>
      </w:tr>
      <w:tr>
        <w:trPr>
          <w:trHeight w:val="127"/>
        </w:trPr>
        <w:tc>
          <w:tcPr>
            <w:tcW w:w="26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3060" w:type="dxa"/>
            <w:vAlign w:val="bottom"/>
          </w:tcPr>
          <w:p>
            <w:pPr>
              <w:ind w:left="280"/>
              <w:spacing w:after="0" w:line="128" w:lineRule="exact"/>
              <w:rPr>
                <w:sz w:val="20"/>
                <w:szCs w:val="20"/>
                <w:color w:val="auto"/>
              </w:rPr>
            </w:pPr>
            <w:r>
              <w:rPr>
                <w:rFonts w:ascii="Arial" w:cs="Arial" w:eastAsia="Arial" w:hAnsi="Arial"/>
                <w:sz w:val="12"/>
                <w:szCs w:val="12"/>
                <w:color w:val="auto"/>
                <w:w w:val="94"/>
              </w:rPr>
              <w:t>the first half of 2016. Initiation of Phase 2 trial expected</w:t>
            </w:r>
          </w:p>
        </w:tc>
        <w:tc>
          <w:tcPr>
            <w:tcW w:w="2800" w:type="dxa"/>
            <w:vAlign w:val="bottom"/>
          </w:tcPr>
          <w:p>
            <w:pPr>
              <w:spacing w:after="0"/>
              <w:rPr>
                <w:sz w:val="11"/>
                <w:szCs w:val="11"/>
                <w:color w:val="auto"/>
              </w:rPr>
            </w:pPr>
          </w:p>
        </w:tc>
      </w:tr>
      <w:tr>
        <w:trPr>
          <w:trHeight w:val="147"/>
        </w:trPr>
        <w:tc>
          <w:tcPr>
            <w:tcW w:w="26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in the second half of 2016</w:t>
            </w:r>
          </w:p>
        </w:tc>
        <w:tc>
          <w:tcPr>
            <w:tcW w:w="2800" w:type="dxa"/>
            <w:vAlign w:val="bottom"/>
          </w:tcPr>
          <w:p>
            <w:pPr>
              <w:spacing w:after="0"/>
              <w:rPr>
                <w:sz w:val="12"/>
                <w:szCs w:val="12"/>
                <w:color w:val="auto"/>
              </w:rPr>
            </w:pPr>
          </w:p>
        </w:tc>
      </w:tr>
      <w:tr>
        <w:trPr>
          <w:trHeight w:val="316"/>
        </w:trPr>
        <w:tc>
          <w:tcPr>
            <w:tcW w:w="2640" w:type="dxa"/>
            <w:vAlign w:val="bottom"/>
          </w:tcPr>
          <w:p>
            <w:pPr>
              <w:spacing w:after="0"/>
              <w:rPr>
                <w:sz w:val="20"/>
                <w:szCs w:val="20"/>
                <w:color w:val="auto"/>
              </w:rPr>
            </w:pPr>
            <w:r>
              <w:rPr>
                <w:rFonts w:ascii="Arial" w:cs="Arial" w:eastAsia="Arial" w:hAnsi="Arial"/>
                <w:sz w:val="12"/>
                <w:szCs w:val="12"/>
                <w:color w:val="auto"/>
              </w:rPr>
              <w:t>Gene therapy</w:t>
            </w:r>
          </w:p>
        </w:tc>
        <w:tc>
          <w:tcPr>
            <w:tcW w:w="2940" w:type="dxa"/>
            <w:vAlign w:val="bottom"/>
          </w:tcPr>
          <w:p>
            <w:pPr>
              <w:ind w:left="280"/>
              <w:spacing w:after="0"/>
              <w:rPr>
                <w:sz w:val="20"/>
                <w:szCs w:val="20"/>
                <w:color w:val="auto"/>
              </w:rPr>
            </w:pPr>
            <w:r>
              <w:rPr>
                <w:rFonts w:ascii="Arial" w:cs="Arial" w:eastAsia="Arial" w:hAnsi="Arial"/>
                <w:sz w:val="12"/>
                <w:szCs w:val="12"/>
                <w:color w:val="auto"/>
                <w:w w:val="99"/>
              </w:rPr>
              <w:t>SVP-Rapamycin co-administered with AAV vector</w:t>
            </w:r>
          </w:p>
        </w:tc>
        <w:tc>
          <w:tcPr>
            <w:tcW w:w="3060" w:type="dxa"/>
            <w:vAlign w:val="bottom"/>
          </w:tcPr>
          <w:p>
            <w:pPr>
              <w:ind w:left="280"/>
              <w:spacing w:after="0"/>
              <w:rPr>
                <w:sz w:val="20"/>
                <w:szCs w:val="20"/>
                <w:color w:val="auto"/>
              </w:rPr>
            </w:pPr>
            <w:r>
              <w:rPr>
                <w:rFonts w:ascii="Arial" w:cs="Arial" w:eastAsia="Arial" w:hAnsi="Arial"/>
                <w:sz w:val="12"/>
                <w:szCs w:val="12"/>
                <w:color w:val="auto"/>
              </w:rPr>
              <w:t>Investigational New Drug Application, or IND, filing</w:t>
            </w:r>
          </w:p>
        </w:tc>
        <w:tc>
          <w:tcPr>
            <w:tcW w:w="2800" w:type="dxa"/>
            <w:vAlign w:val="bottom"/>
          </w:tcPr>
          <w:p>
            <w:pPr>
              <w:ind w:left="160"/>
              <w:spacing w:after="0"/>
              <w:rPr>
                <w:sz w:val="20"/>
                <w:szCs w:val="20"/>
                <w:color w:val="auto"/>
              </w:rPr>
            </w:pPr>
            <w:r>
              <w:rPr>
                <w:rFonts w:ascii="Arial" w:cs="Arial" w:eastAsia="Arial" w:hAnsi="Arial"/>
                <w:sz w:val="12"/>
                <w:szCs w:val="12"/>
                <w:color w:val="auto"/>
              </w:rPr>
              <w:t>Own development</w:t>
            </w:r>
          </w:p>
        </w:tc>
      </w:tr>
      <w:tr>
        <w:trPr>
          <w:trHeight w:val="147"/>
        </w:trPr>
        <w:tc>
          <w:tcPr>
            <w:tcW w:w="26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60" w:type="dxa"/>
            <w:vAlign w:val="bottom"/>
          </w:tcPr>
          <w:p>
            <w:pPr>
              <w:ind w:left="280"/>
              <w:spacing w:after="0"/>
              <w:rPr>
                <w:sz w:val="20"/>
                <w:szCs w:val="20"/>
                <w:color w:val="auto"/>
              </w:rPr>
            </w:pPr>
            <w:r>
              <w:rPr>
                <w:rFonts w:ascii="Arial" w:cs="Arial" w:eastAsia="Arial" w:hAnsi="Arial"/>
                <w:sz w:val="12"/>
                <w:szCs w:val="12"/>
                <w:color w:val="auto"/>
              </w:rPr>
              <w:t>for first indication expected by the end of 2017</w:t>
            </w:r>
          </w:p>
        </w:tc>
        <w:tc>
          <w:tcPr>
            <w:tcW w:w="2800" w:type="dxa"/>
            <w:vAlign w:val="bottom"/>
          </w:tcPr>
          <w:p>
            <w:pPr>
              <w:spacing w:after="0"/>
              <w:rPr>
                <w:sz w:val="12"/>
                <w:szCs w:val="12"/>
                <w:color w:val="auto"/>
              </w:rPr>
            </w:pPr>
          </w:p>
        </w:tc>
      </w:tr>
      <w:tr>
        <w:trPr>
          <w:trHeight w:val="336"/>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8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860"/>
        <w:spacing w:after="0"/>
        <w:rPr>
          <w:sz w:val="20"/>
          <w:szCs w:val="20"/>
          <w:color w:val="auto"/>
        </w:rPr>
      </w:pPr>
      <w:r>
        <w:rPr>
          <w:rFonts w:ascii="Arial" w:cs="Arial" w:eastAsia="Arial" w:hAnsi="Arial"/>
          <w:sz w:val="12"/>
          <w:szCs w:val="12"/>
          <w:color w:val="auto"/>
        </w:rPr>
        <w:t>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726630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242570</wp:posOffset>
            </wp:positionV>
            <wp:extent cx="726630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38"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201" w:lineRule="exact"/>
        <w:rPr>
          <w:sz w:val="20"/>
          <w:szCs w:val="20"/>
          <w:color w:val="auto"/>
        </w:rPr>
      </w:pPr>
    </w:p>
    <w:p>
      <w:pPr>
        <w:sectPr>
          <w:pgSz w:w="11900" w:h="16838" w:orient="portrait"/>
          <w:cols w:equalWidth="0" w:num="2">
            <w:col w:w="8320" w:space="480"/>
            <w:col w:w="2640"/>
          </w:cols>
          <w:pgMar w:left="240" w:top="132" w:right="21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01" w:name="page102"/>
    <w:bookmarkEnd w:id="10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7" w:type="dxa"/>
        <w:tblCellMar>
          <w:top w:w="0" w:type="dxa"/>
          <w:left w:w="0" w:type="dxa"/>
          <w:bottom w:w="0" w:type="dxa"/>
          <w:right w:w="0" w:type="dxa"/>
        </w:tblCellMar>
      </w:tblPr>
      <w:tr>
        <w:trPr>
          <w:trHeight w:val="149"/>
        </w:trPr>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60" w:type="dxa"/>
            <w:vAlign w:val="bottom"/>
            <w:tcBorders>
              <w:bottom w:val="single" w:sz="8" w:color="auto"/>
            </w:tcBorders>
          </w:tcPr>
          <w:p>
            <w:pPr>
              <w:ind w:left="162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2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7"/>
        </w:trPr>
        <w:tc>
          <w:tcPr>
            <w:tcW w:w="2260" w:type="dxa"/>
            <w:vAlign w:val="bottom"/>
          </w:tcPr>
          <w:p>
            <w:pPr>
              <w:spacing w:after="0"/>
              <w:rPr>
                <w:sz w:val="20"/>
                <w:szCs w:val="20"/>
                <w:color w:val="auto"/>
              </w:rPr>
            </w:pPr>
            <w:r>
              <w:rPr>
                <w:rFonts w:ascii="Arial" w:cs="Arial" w:eastAsia="Arial" w:hAnsi="Arial"/>
                <w:sz w:val="12"/>
                <w:szCs w:val="12"/>
                <w:color w:val="auto"/>
              </w:rPr>
              <w:t>Food allergy</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260" w:type="dxa"/>
            <w:vAlign w:val="bottom"/>
          </w:tcPr>
          <w:p>
            <w:pPr>
              <w:spacing w:after="0"/>
              <w:rPr>
                <w:sz w:val="20"/>
                <w:szCs w:val="20"/>
                <w:color w:val="auto"/>
              </w:rPr>
            </w:pPr>
            <w:r>
              <w:rPr>
                <w:rFonts w:ascii="Arial" w:cs="Arial" w:eastAsia="Arial" w:hAnsi="Arial"/>
                <w:sz w:val="12"/>
                <w:szCs w:val="12"/>
                <w:color w:val="auto"/>
              </w:rPr>
              <w:t>Celiac disease</w:t>
            </w:r>
          </w:p>
        </w:tc>
        <w:tc>
          <w:tcPr>
            <w:tcW w:w="3060" w:type="dxa"/>
            <w:vAlign w:val="bottom"/>
          </w:tcPr>
          <w:p>
            <w:pPr>
              <w:ind w:left="66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260" w:type="dxa"/>
            <w:vAlign w:val="bottom"/>
          </w:tcPr>
          <w:p>
            <w:pPr>
              <w:spacing w:after="0"/>
              <w:rPr>
                <w:sz w:val="20"/>
                <w:szCs w:val="20"/>
                <w:color w:val="auto"/>
              </w:rPr>
            </w:pPr>
            <w:r>
              <w:rPr>
                <w:rFonts w:ascii="Arial" w:cs="Arial" w:eastAsia="Arial" w:hAnsi="Arial"/>
                <w:sz w:val="12"/>
                <w:szCs w:val="12"/>
                <w:color w:val="auto"/>
              </w:rPr>
              <w:t>Type 1 diabetes</w:t>
            </w:r>
          </w:p>
        </w:tc>
        <w:tc>
          <w:tcPr>
            <w:tcW w:w="3060" w:type="dxa"/>
            <w:vAlign w:val="bottom"/>
          </w:tcPr>
          <w:p>
            <w:pPr>
              <w:ind w:left="66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26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6"/>
        </w:trPr>
        <w:tc>
          <w:tcPr>
            <w:tcW w:w="2260" w:type="dxa"/>
            <w:vAlign w:val="bottom"/>
          </w:tcPr>
          <w:p>
            <w:pPr>
              <w:spacing w:after="0"/>
              <w:rPr>
                <w:sz w:val="20"/>
                <w:szCs w:val="20"/>
                <w:color w:val="auto"/>
              </w:rPr>
            </w:pPr>
            <w:r>
              <w:rPr>
                <w:rFonts w:ascii="Arial" w:cs="Arial" w:eastAsia="Arial" w:hAnsi="Arial"/>
                <w:sz w:val="12"/>
                <w:szCs w:val="12"/>
                <w:color w:val="auto"/>
              </w:rPr>
              <w:t>HPV-associated cancer (SEL-701)</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SVP-HPV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1"/>
              </w:rPr>
              <w:t>Own development, with grant from the Russian-based</w:t>
            </w:r>
          </w:p>
        </w:tc>
      </w:tr>
      <w:tr>
        <w:trPr>
          <w:trHeight w:val="127"/>
        </w:trPr>
        <w:tc>
          <w:tcPr>
            <w:tcW w:w="2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160" w:type="dxa"/>
            <w:vAlign w:val="bottom"/>
          </w:tcPr>
          <w:p>
            <w:pPr>
              <w:ind w:left="520"/>
              <w:spacing w:after="0" w:line="128" w:lineRule="exact"/>
              <w:rPr>
                <w:sz w:val="20"/>
                <w:szCs w:val="20"/>
                <w:color w:val="auto"/>
              </w:rPr>
            </w:pPr>
            <w:r>
              <w:rPr>
                <w:rFonts w:ascii="Arial" w:cs="Arial" w:eastAsia="Arial" w:hAnsi="Arial"/>
                <w:sz w:val="12"/>
                <w:szCs w:val="12"/>
                <w:color w:val="auto"/>
                <w:w w:val="90"/>
              </w:rPr>
              <w:t>Development Fund of New Technologies Development</w:t>
            </w:r>
          </w:p>
        </w:tc>
      </w:tr>
      <w:tr>
        <w:trPr>
          <w:trHeight w:val="127"/>
        </w:trPr>
        <w:tc>
          <w:tcPr>
            <w:tcW w:w="22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160" w:type="dxa"/>
            <w:vAlign w:val="bottom"/>
          </w:tcPr>
          <w:p>
            <w:pPr>
              <w:ind w:left="520"/>
              <w:spacing w:after="0" w:line="128" w:lineRule="exact"/>
              <w:rPr>
                <w:sz w:val="20"/>
                <w:szCs w:val="20"/>
                <w:color w:val="auto"/>
              </w:rPr>
            </w:pPr>
            <w:r>
              <w:rPr>
                <w:rFonts w:ascii="Arial" w:cs="Arial" w:eastAsia="Arial" w:hAnsi="Arial"/>
                <w:sz w:val="12"/>
                <w:szCs w:val="12"/>
                <w:color w:val="auto"/>
              </w:rPr>
              <w:t>and Commercialization Center, or the Skolkovo</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Foundation</w:t>
            </w:r>
          </w:p>
        </w:tc>
      </w:tr>
      <w:tr>
        <w:trPr>
          <w:trHeight w:val="316"/>
        </w:trPr>
        <w:tc>
          <w:tcPr>
            <w:tcW w:w="2260" w:type="dxa"/>
            <w:vAlign w:val="bottom"/>
          </w:tcPr>
          <w:p>
            <w:pPr>
              <w:spacing w:after="0"/>
              <w:rPr>
                <w:sz w:val="20"/>
                <w:szCs w:val="20"/>
                <w:color w:val="auto"/>
              </w:rPr>
            </w:pPr>
            <w:r>
              <w:rPr>
                <w:rFonts w:ascii="Arial" w:cs="Arial" w:eastAsia="Arial" w:hAnsi="Arial"/>
                <w:sz w:val="12"/>
                <w:szCs w:val="12"/>
                <w:color w:val="auto"/>
              </w:rPr>
              <w:t>Malaria</w:t>
            </w:r>
          </w:p>
        </w:tc>
        <w:tc>
          <w:tcPr>
            <w:tcW w:w="3060" w:type="dxa"/>
            <w:vAlign w:val="bottom"/>
          </w:tcPr>
          <w:p>
            <w:pPr>
              <w:ind w:left="66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Currently in 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2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research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26630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differentiated therapies that are designed to modulate the immune system to effectively and safely treat rare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71" w:lineRule="exact"/>
        <w:rPr>
          <w:sz w:val="20"/>
          <w:szCs w:val="20"/>
          <w:color w:val="auto"/>
        </w:rPr>
      </w:pPr>
    </w:p>
    <w:p>
      <w:pPr>
        <w:ind w:left="467" w:right="40" w:hanging="467"/>
        <w:spacing w:after="0" w:line="319" w:lineRule="auto"/>
        <w:tabs>
          <w:tab w:leader="none" w:pos="467"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3"/>
          <w:szCs w:val="13"/>
          <w:color w:val="auto"/>
        </w:rPr>
        <w:t>SEL-212 has the potential to be the first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biologic treatment for gout that durably controls uric acid in refractory gout and dissolves and removes harmful deposits of uric acid crystals in chronic tophaceous gout. We are currently conducting a comprehensive Phase 1/2 clinical program, comprised of two Phase 1 clinical studies, for which we expect to receive final data in the first half of 2016, and a Phase 2 clinical trial, which we expect to initiate in the second half of 2016. We plan to advance this program through regulatory approval and commercialization.</w:t>
      </w:r>
    </w:p>
    <w:p>
      <w:pPr>
        <w:spacing w:after="0" w:line="154" w:lineRule="exact"/>
        <w:rPr>
          <w:rFonts w:ascii="Arial" w:cs="Arial" w:eastAsia="Arial" w:hAnsi="Arial"/>
          <w:sz w:val="13"/>
          <w:szCs w:val="13"/>
          <w:color w:val="auto"/>
        </w:rPr>
      </w:pPr>
    </w:p>
    <w:p>
      <w:pPr>
        <w:ind w:left="467" w:right="120" w:hanging="467"/>
        <w:spacing w:after="0" w:line="263" w:lineRule="auto"/>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2" w:name="page103"/>
    <w:bookmarkEnd w:id="10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right="220" w:hanging="467"/>
        <w:spacing w:after="0" w:line="319" w:lineRule="auto"/>
        <w:tabs>
          <w:tab w:leader="none" w:pos="467"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 infrastructure and capabilities to commercialize our products in rare and orphan diseases. </w:t>
      </w:r>
      <w:r>
        <w:rPr>
          <w:rFonts w:ascii="Arial" w:cs="Arial" w:eastAsia="Arial" w:hAnsi="Arial"/>
          <w:sz w:val="13"/>
          <w:szCs w:val="13"/>
          <w:color w:val="auto"/>
        </w:rPr>
        <w:t>While we believe our SVP technology may be broadly applicable across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disease areas, we intend to focus our proprietary efforts on developing and commercializing proprietary SVP-enabled products for rare diseases where there is high unmet medical need. Therapies for treating rare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4" w:lineRule="exact"/>
        <w:rPr>
          <w:rFonts w:ascii="Arial" w:cs="Arial" w:eastAsia="Arial" w:hAnsi="Arial"/>
          <w:sz w:val="13"/>
          <w:szCs w:val="13"/>
          <w:color w:val="auto"/>
        </w:rPr>
      </w:pPr>
    </w:p>
    <w:p>
      <w:pPr>
        <w:ind w:left="467" w:right="80" w:hanging="467"/>
        <w:spacing w:after="0" w:line="297" w:lineRule="auto"/>
        <w:tabs>
          <w:tab w:leader="none" w:pos="46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Selectively pursue collaborations and maximize the value of our SVP programs for immune tolerance. </w:t>
      </w:r>
      <w:r>
        <w:rPr>
          <w:rFonts w:ascii="Arial" w:cs="Arial" w:eastAsia="Arial" w:hAnsi="Arial"/>
          <w:sz w:val="14"/>
          <w:szCs w:val="14"/>
          <w:color w:val="auto"/>
        </w:rPr>
        <w:t>In addition to our own proprietary product development efforts, we are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discussions with third parties regarding potential collaborations to pursue AAV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55" w:lineRule="exact"/>
        <w:rPr>
          <w:rFonts w:ascii="Arial" w:cs="Arial" w:eastAsia="Arial" w:hAnsi="Arial"/>
          <w:sz w:val="14"/>
          <w:szCs w:val="14"/>
          <w:color w:val="auto"/>
        </w:rPr>
      </w:pPr>
    </w:p>
    <w:p>
      <w:pPr>
        <w:ind w:left="467" w:right="100" w:hanging="467"/>
        <w:spacing w:after="0" w:line="313" w:lineRule="auto"/>
        <w:tabs>
          <w:tab w:leader="none" w:pos="467"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ind w:left="7" w:right="60"/>
        <w:spacing w:after="0" w:line="261"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9"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3" w:name="page104"/>
    <w:bookmarkEnd w:id="10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2066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0910" cy="206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80" w:hanging="467"/>
        <w:spacing w:after="0" w:line="266" w:lineRule="auto"/>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Chronic, systemic suppression of the immune system limits the safety of these therapies due to undesired side effects, including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5" w:lineRule="exact"/>
        <w:rPr>
          <w:rFonts w:ascii="Arial" w:cs="Arial" w:eastAsia="Arial" w:hAnsi="Arial"/>
          <w:sz w:val="15"/>
          <w:szCs w:val="15"/>
          <w:color w:val="auto"/>
        </w:rPr>
      </w:pPr>
    </w:p>
    <w:p>
      <w:pPr>
        <w:ind w:left="467" w:hanging="467"/>
        <w:spacing w:after="0" w:line="290" w:lineRule="auto"/>
        <w:tabs>
          <w:tab w:leader="none" w:pos="467"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Our proprietary SVP technology encapsulates an immunomodulator in biodegradable particles to selectively modulate an immune response in an antigen-specific manner. Our SVP technology is based on the pioneering research performed by our co-founders at Harvard University, Massachusetts Institute of Technology and Brigham and Women's Hospital. We license this technology pursuant to an agreement with MIT, the party that administers licensing arrangements with respect to patents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04" w:name="page105"/>
    <w:bookmarkEnd w:id="10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62"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antigen-specific immune tolerance to gene therapy;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 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173" w:lineRule="exact"/>
        <w:rPr>
          <w:sz w:val="20"/>
          <w:szCs w:val="20"/>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tolerogenic response to a biologic drug to mitigate the formation of ADAs;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Figure 2 below depicts the process by which SVP communicates with the immune system to induce either a tolerogenic or antigen-specific stimulatory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130175</wp:posOffset>
            </wp:positionV>
            <wp:extent cx="4523105" cy="2081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2310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 How SVP Communicate with the Immune System</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105410</wp:posOffset>
            </wp:positionV>
            <wp:extent cx="4331970" cy="14636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3197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Co-Administration of SVP-Rapamycin with a Biologic Drug</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110490</wp:posOffset>
            </wp:positionV>
            <wp:extent cx="4523105" cy="2956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52310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4. SVP-Rapamycin and Antigen/Biologic Drug Presentation and Related Immune Tolerance Induction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diseases have a particularly high rate of immunogenicity because patients are genetically deficient in the target protein and, as a result, the therapeutic protein can be recognized as foreign.</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We believe that immunogenicity is a leading cause of treatment failure for patients and product development failure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7" w:name="page108"/>
    <w:bookmarkEnd w:id="10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120"/>
        <w:spacing w:after="0" w:line="287" w:lineRule="auto"/>
        <w:rPr>
          <w:sz w:val="20"/>
          <w:szCs w:val="20"/>
          <w:color w:val="auto"/>
        </w:rPr>
      </w:pPr>
      <w:r>
        <w:rPr>
          <w:rFonts w:ascii="Arial" w:cs="Arial" w:eastAsia="Arial" w:hAnsi="Arial"/>
          <w:sz w:val="14"/>
          <w:szCs w:val="14"/>
          <w:color w:val="auto"/>
        </w:rPr>
        <w:t>biopharmaceutical companies. Even therapeutics with fully human protein sequences, such as Humira, a human TNF-alpha antibody, can cause an undesired immune response, resulting in the need to switch patients to other therapies. Many other promising biologics, such as recombinant thrombopoeitin and long-acting coagulation Factor VII, were abandoned during clinical development due to immunogenicity issues. Treatment and product development failure resulting from undesired immunogenicity has not gone unnoticed by regulators and industry organizations. Recently, the FDA and the National Organization for Rare Diseases, or NORD, co-sponsored a workshop on undesired immune responses to enzyme replacement therapies and called on the biopharmaceutical industry to take a more proactive approach to addressing immunogenicity to biologics.</w:t>
      </w:r>
    </w:p>
    <w:p>
      <w:pPr>
        <w:spacing w:after="0" w:line="149" w:lineRule="exact"/>
        <w:rPr>
          <w:sz w:val="20"/>
          <w:szCs w:val="20"/>
          <w:color w:val="auto"/>
        </w:rPr>
      </w:pPr>
    </w:p>
    <w:p>
      <w:pPr>
        <w:ind w:left="7" w:right="40"/>
        <w:spacing w:after="0" w:line="262"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 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4 below, we injected donor mice with two injections of either:</w:t>
      </w:r>
    </w:p>
    <w:p>
      <w:pPr>
        <w:spacing w:after="0" w:line="171" w:lineRule="exact"/>
        <w:rPr>
          <w:sz w:val="20"/>
          <w:szCs w:val="20"/>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3"/>
          <w:szCs w:val="13"/>
          <w:color w:val="auto"/>
        </w:rPr>
      </w:pPr>
      <w:r>
        <w:rPr>
          <w:rFonts w:ascii="Arial" w:cs="Arial" w:eastAsia="Arial" w:hAnsi="Arial"/>
          <w:sz w:val="13"/>
          <w:szCs w:val="13"/>
          <w:color w:val="auto"/>
        </w:rPr>
        <w:t>SVP-Rapamycin encapsulating a peptide sequence from proteolipoprotein, or PLP, a myelin antigen associated with multiple sclerosis, or SVP-Rapamycin.PLP, as indicated in green.</w:t>
      </w:r>
    </w:p>
    <w:p>
      <w:pPr>
        <w:spacing w:after="0" w:line="221" w:lineRule="exact"/>
        <w:rPr>
          <w:sz w:val="20"/>
          <w:szCs w:val="20"/>
          <w:color w:val="auto"/>
        </w:rPr>
      </w:pPr>
    </w:p>
    <w:p>
      <w:pPr>
        <w:ind w:left="7" w:right="100"/>
        <w:spacing w:after="0" w:line="306" w:lineRule="auto"/>
        <w:rPr>
          <w:sz w:val="20"/>
          <w:szCs w:val="20"/>
          <w:color w:val="auto"/>
        </w:rPr>
      </w:pPr>
      <w:r>
        <w:rPr>
          <w:rFonts w:ascii="Arial" w:cs="Arial" w:eastAsia="Arial" w:hAnsi="Arial"/>
          <w:sz w:val="13"/>
          <w:szCs w:val="13"/>
          <w:color w:val="auto"/>
        </w:rPr>
        <w:t xml:space="preserve">Two weeks after the second injection, spleen cells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5 below, the untreated control mice that were immunized but received no transferred cells developed EAE approximately ten days after immunization with PLP and CFA, as reflected in black in Figure 5 below. The mice receiving immune cells transferred from donor mice treated with either Empty Nanoparticle or NP-Rapamycin, as indicated in blue and red in Figure 5 below, respectively, also developed EAE approximately ten days after immunization. In contrast, mice that received immune cells transferred from donor mice treated with SVP-Rapamycin.PLP did not develop EAE during the course of the trial, as indicated in green in Figure 5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8" w:name="page109"/>
    <w:bookmarkEnd w:id="10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3191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0910" cy="319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Preclinical Study: Transfer of Immune Tolerance from Mice Treated with SVP-Rapamycin to Naive Mice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right="60"/>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6 below, study mice were separated into three groups during the course of a 21-day treatment period:</w:t>
      </w:r>
    </w:p>
    <w:p>
      <w:pPr>
        <w:spacing w:after="0" w:line="136" w:lineRule="exact"/>
        <w:rPr>
          <w:sz w:val="20"/>
          <w:szCs w:val="20"/>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1"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8"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6 below, the mice in both the SVP-Rapamycin Group and Daily Free Rapamycin Group showed inhibition of the anti-KLH antibody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19" w:lineRule="auto"/>
        <w:rPr>
          <w:sz w:val="20"/>
          <w:szCs w:val="20"/>
          <w:color w:val="auto"/>
        </w:rPr>
      </w:pPr>
      <w:r>
        <w:rPr>
          <w:rFonts w:ascii="Arial" w:cs="Arial" w:eastAsia="Arial" w:hAnsi="Arial"/>
          <w:sz w:val="13"/>
          <w:szCs w:val="13"/>
          <w:color w:val="auto"/>
        </w:rPr>
        <w:t>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transient immunosuppression observed in the Daily Free Rapamycin Group as compared to the durable immune tolerance observed in the SVP-Rapamycin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88265</wp:posOffset>
            </wp:positionV>
            <wp:extent cx="5030470" cy="24123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30470"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Immune Tolerance Induction with SVP-Rapamycin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Anti-KLH antibody response by SVP-Rapamycin in nonhuman primates</w:t>
      </w:r>
    </w:p>
    <w:p>
      <w:pPr>
        <w:spacing w:after="0" w:line="195" w:lineRule="exact"/>
        <w:rPr>
          <w:sz w:val="20"/>
          <w:szCs w:val="20"/>
          <w:color w:val="auto"/>
        </w:rPr>
      </w:pPr>
    </w:p>
    <w:p>
      <w:pPr>
        <w:ind w:left="7" w:right="340"/>
        <w:spacing w:after="0" w:line="282"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7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7 below, the animals in the SVP-Rapamycin Group, which were injected with KLH combined with SVP-Rapamycin, mounted no or a much lower immune response as indicated by the lack of anti-KLH antibodies. In comparison, we observed high levels of anti-KLH antibodies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10" w:name="page111"/>
    <w:bookmarkEnd w:id="11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7724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0910"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7. Preclinical Study: Inhibition of Anti-KLH Antibody Response by SVP-Rapamycin in Nonhuman Primates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right="40" w:hanging="467"/>
        <w:spacing w:after="0" w:line="284" w:lineRule="auto"/>
        <w:tabs>
          <w:tab w:leader="none" w:pos="467"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exogenous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7" w:lineRule="exact"/>
        <w:rPr>
          <w:rFonts w:ascii="Arial" w:cs="Arial" w:eastAsia="Arial" w:hAnsi="Arial"/>
          <w:sz w:val="14"/>
          <w:szCs w:val="14"/>
          <w:color w:val="auto"/>
        </w:rPr>
      </w:pPr>
    </w:p>
    <w:p>
      <w:pPr>
        <w:ind w:left="467" w:right="140" w:hanging="467"/>
        <w:spacing w:after="0" w:line="262" w:lineRule="auto"/>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i w:val="1"/>
          <w:iCs w:val="1"/>
          <w:color w:val="auto"/>
        </w:rPr>
        <w:t>Gene therapies</w:t>
      </w:r>
      <w:r>
        <w:rPr>
          <w:rFonts w:ascii="Arial" w:cs="Arial" w:eastAsia="Arial" w:hAnsi="Arial"/>
          <w:sz w:val="15"/>
          <w:szCs w:val="15"/>
          <w:color w:val="auto"/>
        </w:rPr>
        <w:t>. We believe gene therapies have the potential to address key unmet needs for many rare genetic diseases, but undesired immune responses may be restricting</w:t>
      </w:r>
      <w:r>
        <w:rPr>
          <w:rFonts w:ascii="Arial" w:cs="Arial" w:eastAsia="Arial" w:hAnsi="Arial"/>
          <w:sz w:val="15"/>
          <w:szCs w:val="15"/>
          <w:i w:val="1"/>
          <w:iCs w:val="1"/>
          <w:color w:val="auto"/>
        </w:rPr>
        <w:t xml:space="preserve"> </w:t>
      </w:r>
      <w:r>
        <w:rPr>
          <w:rFonts w:ascii="Arial" w:cs="Arial" w:eastAsia="Arial" w:hAnsi="Arial"/>
          <w:sz w:val="15"/>
          <w:szCs w:val="15"/>
          <w:color w:val="auto"/>
        </w:rPr>
        <w:t>broader use. Through our analysis of genetic diseases, we have identified applications and patient segments which we believe would benefit from our SVP technology. We intend to develop SVP-Rapamycin-enabled non-immunogenic therapies by preventing the induction of immune responses to the AAV vector and the transgene that can occur with the first dose of gene therapy. Our targeted diseases include lysosomal storage diseases, genetic muscular diseases, genetic metabolic diseases and hematologic diseases. Our gene therapy program is focused on obtaining licenses to novel gene therapy vectors and collaborations to build proprietary AAV-based gene therapies that we can use together with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630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1" w:name="page112"/>
    <w:bookmarkEnd w:id="11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60" w:hanging="467"/>
        <w:spacing w:after="0" w:line="313" w:lineRule="auto"/>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anti-TNF-alpha antibodies for the treatment of rheumatoid arthritis and blood factor replacement therapies for the treatment of hemophilia. We intend to out-license SVP-Rapamycin technology for use with other products that are outside our focus on therapeutic enzymes and gene therapies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60" w:lineRule="exact"/>
        <w:rPr>
          <w:rFonts w:ascii="Arial" w:cs="Arial" w:eastAsia="Arial" w:hAnsi="Arial"/>
          <w:sz w:val="13"/>
          <w:szCs w:val="13"/>
          <w:color w:val="auto"/>
        </w:rPr>
      </w:pPr>
    </w:p>
    <w:p>
      <w:pPr>
        <w:ind w:left="467" w:right="140" w:hanging="467"/>
        <w:spacing w:after="0" w:line="313" w:lineRule="auto"/>
        <w:tabs>
          <w:tab w:leader="none" w:pos="467" w:val="left"/>
        </w:tabs>
        <w:numPr>
          <w:ilvl w:val="0"/>
          <w:numId w:val="76"/>
        </w:numPr>
        <w:rPr>
          <w:rFonts w:ascii="Arial" w:cs="Arial" w:eastAsia="Arial" w:hAnsi="Arial"/>
          <w:sz w:val="13"/>
          <w:szCs w:val="13"/>
          <w:color w:val="auto"/>
        </w:rPr>
      </w:pPr>
      <w:r>
        <w:rPr>
          <w:rFonts w:ascii="Arial" w:cs="Arial" w:eastAsia="Arial" w:hAnsi="Arial"/>
          <w:sz w:val="13"/>
          <w:szCs w:val="13"/>
          <w:i w:val="1"/>
          <w:iCs w:val="1"/>
          <w:color w:val="auto"/>
        </w:rPr>
        <w:t>Allergies and autoimmune diseases</w:t>
      </w:r>
      <w:r>
        <w:rPr>
          <w:rFonts w:ascii="Arial" w:cs="Arial" w:eastAsia="Arial" w:hAnsi="Arial"/>
          <w:sz w:val="13"/>
          <w:szCs w:val="13"/>
          <w:color w:val="auto"/>
        </w:rPr>
        <w:t>. In addition to the formation of ADAs, undesired immunogenicity can take the form of allergies when the immune system reacts to allergens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 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uric acid in the blood lead to formation of insoluble uric acid crystals in joints and tissues, causing pain, inflammation and joint damage, and increase the risk for other conditions, including hypertension, diabetes, atherosclerosis and kidney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antibodies, 26% experience infusion site reactions and 6.5% experience anaphylaxis, a life-threatening allergic reaction typically involving itchy rash, throat swelling and low blood pressure. The package insert information also indicates that during the drug's clinical trials, high anti-Krystexxa antibody titer in patients was associated with a failure to maintain normalization of uric acid levels. Similarly, a 2011 study published in The Journal of the American Medical Association found that 58% of Krystexxa patients were non-responders with loss of efficacy starting as early as two weeks after treatment.</w:t>
      </w:r>
    </w:p>
    <w:p>
      <w:pPr>
        <w:spacing w:after="0" w:line="167"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Gout is a spectrum of disease with the traditional diagnosis being the extraction of monosodium urate crystals with joint fluid or uric acid crystals from a visible tophus. Additionally, high concentrations of uric acid in the blood increase the risk of co-morbidities, including hypertension, diabetes, atherosclerosis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Figure 8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3" w:name="page114"/>
    <w:bookmarkEnd w:id="1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33902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091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8. Co-Morbidities Associated with Gout</w:t>
      </w:r>
    </w:p>
    <w:p>
      <w:pPr>
        <w:spacing w:after="0" w:line="177"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Approximately 500,000 patients in the United States suffer from chronic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Based on our preclinical studies and market research, we believe that SEL-212 may potentially deliver non-immunogenic pegsiticase that can address two key unmet needs in the treatment of gout, the durable control of serum uric acid levels in patients with chronic refractory gout and removal of painful and damaging uric acid deposits for patients with chronic tophaceous gout.</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Subsequently, we plan to conduct a clinical program to support a label extension if approved for the refractory gout indication for the removal of uric acid crystals in patients with chronic tophaceous gout. During our market research, physicians expressed their preference for monthly dosing as well as for a subcutaneous route of administration. In response to this preference, we intend to develop SEL-212 as a monthly treatment and offer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SEL-212, designed with low immunogenicity,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cycles of treatment. Figure 9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102235</wp:posOffset>
            </wp:positionV>
            <wp:extent cx="4728845" cy="29857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2884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9. Sample Treatment Course for Chronic Tophaceous Gout.</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We expect our clinical and marketing strategy for SEL-212 to focus on the estimated 160,000 patients with refractory or chronic tophaceous gout in the United States treated by rheumatologists, as well as approximately the same estimated number of patients in Europe. If SEL-212 is approved, we expect our strategy for marketing SEL-212 to rheumatologists will be to induce a switch from oral therapies to SEL-212 for patients with serum uric acid levels chronically above 6 mg/dl, increase the rate of diagnosis of tophi by promoting the use of imaging and drive the shift to induction therapy for the removal of uric acid crystals with SEL-212.</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poly(D,L-lactide)-block-poly(ethylene-glycol), or PLA-PEG, encapsulating rapamycin. Our pegsiticase consists of a uricase modified with poly(ethylene-glycol), or PEG. The components of SEL-212 are depicted in Figure 10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100330</wp:posOffset>
            </wp:positionV>
            <wp:extent cx="3971290" cy="12649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7129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10. Components of SEL-212</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7" w:lineRule="exact"/>
        <w:rPr>
          <w:sz w:val="20"/>
          <w:szCs w:val="20"/>
          <w:color w:val="auto"/>
        </w:rPr>
      </w:pPr>
    </w:p>
    <w:p>
      <w:pPr>
        <w:ind w:right="600"/>
        <w:spacing w:after="0" w:line="282" w:lineRule="auto"/>
        <w:rPr>
          <w:sz w:val="20"/>
          <w:szCs w:val="20"/>
          <w:color w:val="auto"/>
        </w:rPr>
      </w:pPr>
      <w:r>
        <w:rPr>
          <w:rFonts w:ascii="Arial" w:cs="Arial" w:eastAsia="Arial" w:hAnsi="Arial"/>
          <w:sz w:val="15"/>
          <w:szCs w:val="15"/>
          <w:color w:val="auto"/>
        </w:rPr>
        <w:t>As depicted in Figure 11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100330</wp:posOffset>
            </wp:positionV>
            <wp:extent cx="4508500" cy="904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085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SEL-212 Treatment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16" w:name="page117"/>
    <w:bookmarkEnd w:id="11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8"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12 below, during the treatment period:</w:t>
      </w:r>
    </w:p>
    <w:p>
      <w:pPr>
        <w:spacing w:after="0" w:line="171"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8" w:lineRule="exact"/>
        <w:rPr>
          <w:sz w:val="20"/>
          <w:szCs w:val="20"/>
          <w:color w:val="auto"/>
        </w:rPr>
      </w:pPr>
    </w:p>
    <w:p>
      <w:pPr>
        <w:ind w:left="7" w:right="180"/>
        <w:spacing w:after="0" w:line="330" w:lineRule="auto"/>
        <w:rPr>
          <w:sz w:val="20"/>
          <w:szCs w:val="20"/>
          <w:color w:val="auto"/>
        </w:rPr>
      </w:pPr>
      <w:r>
        <w:rPr>
          <w:rFonts w:ascii="Arial" w:cs="Arial" w:eastAsia="Arial" w:hAnsi="Arial"/>
          <w:sz w:val="13"/>
          <w:szCs w:val="13"/>
          <w:color w:val="auto"/>
        </w:rPr>
        <w:t>The Pegsiticase Group and SVP-Rapaymcin + Pegsiticase Group were treated on days zero, seven and fourteen of the treatment period. Each group was then treated with pegsiticase alone on days 35 and 42 of the study, or the challenge period. Anti-uricase antibody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83820</wp:posOffset>
            </wp:positionV>
            <wp:extent cx="4986020" cy="24930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986020" cy="249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12. Preclinical Study: Proof-of-Concept in Uricase-Deficient Mice</w:t>
      </w:r>
    </w:p>
    <w:p>
      <w:pPr>
        <w:spacing w:after="0" w:line="177"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anti-uricase antibodies when exposed to pegsiticase during the treatment period. The Untreated Group also developed anti-uricase</w:t>
      </w:r>
      <w:r>
        <w:rPr>
          <w:rFonts w:ascii="Arial" w:cs="Arial" w:eastAsia="Arial" w:hAnsi="Arial"/>
          <w:sz w:val="15"/>
          <w:szCs w:val="15"/>
          <w:i w:val="1"/>
          <w:iCs w:val="1"/>
          <w:color w:val="auto"/>
        </w:rPr>
        <w:t xml:space="preserve"> </w:t>
      </w:r>
      <w:r>
        <w:rPr>
          <w:rFonts w:ascii="Arial" w:cs="Arial" w:eastAsia="Arial" w:hAnsi="Arial"/>
          <w:sz w:val="15"/>
          <w:szCs w:val="15"/>
          <w:color w:val="auto"/>
        </w:rPr>
        <w:t>antibodies as soon as they were challenged with pegsiticase. Despite exposure to pegsiticase during both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treatment and challenge periods, the SVP-Rapamycin + Pegsiticase Group did not develop anti-uricase antibodies during either period.</w:t>
      </w:r>
    </w:p>
    <w:p>
      <w:pPr>
        <w:spacing w:after="0" w:line="198" w:lineRule="exact"/>
        <w:rPr>
          <w:sz w:val="20"/>
          <w:szCs w:val="20"/>
          <w:color w:val="auto"/>
        </w:rPr>
      </w:pPr>
    </w:p>
    <w:p>
      <w:pPr>
        <w:ind w:left="7"/>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8"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anti-uricase antibodies in nonhuman primates. As depicted in Figure 13 below, during the study we either:</w:t>
      </w:r>
    </w:p>
    <w:p>
      <w:pPr>
        <w:spacing w:after="0" w:line="162" w:lineRule="exact"/>
        <w:rPr>
          <w:sz w:val="20"/>
          <w:szCs w:val="20"/>
          <w:color w:val="auto"/>
        </w:rPr>
      </w:pPr>
    </w:p>
    <w:p>
      <w:pPr>
        <w:ind w:left="467" w:hanging="467"/>
        <w:spacing w:after="0"/>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1"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w:t>
      </w:r>
    </w:p>
    <w:p>
      <w:pPr>
        <w:spacing w:after="0" w:line="15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 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105410</wp:posOffset>
            </wp:positionV>
            <wp:extent cx="3971290" cy="2963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7129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Preclinical Study: Proof-of-Concept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60"/>
        <w:spacing w:after="0" w:line="297"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anti-uricase antibodies by the end of the study. The SVP-Rapamycin 0.1X Group and SVP-Rapamycin 1X Group were able to reduce the levels of anti-uricase antibodies significantly compared to the Empty Nanoparticle Group and, in the case of the SVP-Rapamycin 1X Group, inhibited the formation of antibodies. Our observations in this study confirmed in non-human primates the mitigation of anti-uricase antibodies we observed in mice.</w:t>
      </w:r>
    </w:p>
    <w:p>
      <w:pPr>
        <w:spacing w:after="0" w:line="1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blood uric acid levels. The patient treatment portion of our Phase 1a trial was completed in November 2015 and we initiated a Phase 1b trial in December 2015, with final data from both Phase 1 clinical trials expected in the first half of 2016. We plan to follow this Phase 1b clinical trial with an open label multi-dose Phase 2 clinical trial of SEL-212 in patients with symptomatic gout with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chronic tophaceous gout.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SEL-212 is currently being evaluated in a comprehensive Phase 1/2 clinical program that includes two Phase 1 clinical trials in subjects with high uric acid levels and a Phase 2 clinical trial in patients with symptomatic gout with elevated uric acid levels. The Phase 1a clinical trial is designed to evaluate the safety and tolerability of pegsiticase and, as a secondary objective, to identify a pegsiticase dose capable of lowering uric acid levels. The Phase 1b clinical trial is designed to demonstrate that pegsiticase co-administered with SVP-Rapamycin reduces uric acid levels and mitigates the formation of anti-uricase antibodies in humans compared to pegsiticase alone.</w:t>
      </w:r>
    </w:p>
    <w:p>
      <w:pPr>
        <w:spacing w:after="0" w:line="16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The Phase 1a clinical trial for SEL-212 is an ascending single dose trial of pegsiticase alone. In this trial, 22 subjects with elevated blood uric acid levels of greater than 6 mg/dl were followed for 30 days after a single intravenous infusion of pegsiticase. We commenced enrollment in this clinical trial in the second quarter of 2015 and completed the patient treatment portion of the trial in November 2015. In this trial, pegsiticase demonstrated no serious adverse effects and was well tolerated at the five dose levels tested. Additionally, pegsiticase rapidly reduced and sustained blood uric acid levels below 6 mg/dl over a period of 7 to 30 days, varying with the dose and subject. Consistent with our preclinical studies in animals, pegsiticase induced anti-uricase antibodies in all subjects with varying levels in this Phase 1a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Figure 14 below depicts serum uric acid levels, or levels of uric acid in the blood, of the subjects in our Phase 1a clinical trial at different measurement intervals following a single intravenous infusion of pegsiticase, with such subjects aggregated into groups, or cohorts, by the five ascending dose levels tested (Cohort #1 being administered the lowest dose level and Cohort #5 the highest).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105410</wp:posOffset>
            </wp:positionV>
            <wp:extent cx="3816985" cy="26035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16985" cy="260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14: Phase 1a Clinical Trial: Uric Acid Levels Across Five Cohorts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Figure 15 below indicates the serum uric acid and anti-pegsiticase antibody levels of Cohort #3 of the Phase 1a clinical trial. The serum uric acid and anti-pegsiticase antibody levels were measured at baseline and day seven, 14 and 30 following a single intravenous injection of pegsiticase. One subject in this cohort, subject number two, developed a relatively low level of ADAs at 40 titer and maintained uric acid levels below 0.5 mg/dl through the thirtieth day after dosing. By contrast, the remaining four subjects in the cohort developed levels of ADAs greater than 1,000 titer and uric acid levels above 5 mg/dl by the thirtieth day after dosing. Based on the results from our Phase 1a clinical trial, we believe that pegsiticase at a tolerated dose is capable of achieving and maintaining a reduction of serum uric acid below the target of 6 mg/dl for a 30-day period in the absence of inhibitory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18973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091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15: Phase 1a Clinical Trial: Uric Acid and ADA Levels in the Third Cohort</w:t>
      </w:r>
    </w:p>
    <w:p>
      <w:pPr>
        <w:spacing w:after="0" w:line="17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In December 2015, we initiated the Phase 1b clinical trial. This clinical trial will have approximately 53 subjects with uric acid levels greater than 6 mg/dl. We plan to co-administer one group of subjects a single dose of SVP-Rapamycin at increasing dose levels with a fixed dose of pegsiticase. In a second group of subjects, we plan to administer a fixed amount of pegsiticase. A third group of subjects will receive increasing single doses of SVP-Rapamycin alone. The primary objective of the Phase 1b clinical trial will be to evaluate the safety and tolerability of SVP-Rapamycin alone and in combination with a fixed dose of pegsiticase. A secondary clinical objective will be to evaluate the ability of SVP-Rapamycin co-administered with pegsiticase to reduce uric acid levels and mitigate the formation of ADAs when compared to pegsiticase alone. We expect that final data from the Phase 1b clinical trial will be available in the first half of 2016.</w:t>
      </w:r>
    </w:p>
    <w:p>
      <w:pPr>
        <w:spacing w:after="0" w:line="167" w:lineRule="exact"/>
        <w:rPr>
          <w:sz w:val="20"/>
          <w:szCs w:val="20"/>
          <w:color w:val="auto"/>
        </w:rPr>
      </w:pPr>
    </w:p>
    <w:p>
      <w:pPr>
        <w:jc w:val="both"/>
        <w:ind w:right="200"/>
        <w:spacing w:after="0" w:line="297" w:lineRule="auto"/>
        <w:rPr>
          <w:sz w:val="20"/>
          <w:szCs w:val="20"/>
          <w:color w:val="auto"/>
        </w:rPr>
      </w:pPr>
      <w:r>
        <w:rPr>
          <w:rFonts w:ascii="Arial" w:cs="Arial" w:eastAsia="Arial" w:hAnsi="Arial"/>
          <w:sz w:val="14"/>
          <w:szCs w:val="14"/>
          <w:color w:val="auto"/>
        </w:rPr>
        <w:t>Subject to the outcome of the Phase 1b clinical trial, we are planning an open-label Phase 2 clinical trial in approximately 36 subjects with symptomatic gout and elevated uric acid levels. We plan to have three dose groups, two of which will receive SEL-212 and the other pegsiticase alone. We expect that the primary endpoint for this trial will be the reduction of uric acid levels. We expect that secondary endpoints for this trial will include a reduction in levels of anti-uricase antibodies, anti-pegsiticase antibodies and number of flares.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addition to the foregoing clinical trials, we also plan to initiate development of SEL-212 for chronic tophaceous gout. For chronic tophaceous gout, we could pursue an intravenous administration or a subcutaneous injection. If we pursue an intravenous administration, we believe that we could proceed directly to a Phase 3 clinical program, leveraging the preclinical and early clinical data generated for refractory gout. If we pursue a subcutaneous administration, we may be required to conduct a more extensive preclinical and clinical development program. We expect that a subcutaneous administration of SEL-212 would enable more frequent dosing.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right="260"/>
        <w:spacing w:after="0" w:line="266" w:lineRule="auto"/>
        <w:rPr>
          <w:sz w:val="20"/>
          <w:szCs w:val="20"/>
          <w:color w:val="auto"/>
        </w:rPr>
      </w:pPr>
      <w:r>
        <w:rPr>
          <w:rFonts w:ascii="Arial" w:cs="Arial" w:eastAsia="Arial" w:hAnsi="Arial"/>
          <w:sz w:val="15"/>
          <w:szCs w:val="15"/>
          <w:color w:val="auto"/>
        </w:rPr>
        <w:t>We believe gene therapy has the potential to fundamentally change the treatment of genetic diseases. Gene therapy modifies the genetic content of the patient's own cells by inserting corrective genetic material, or a transgene, within the nuclei of a patient's cells. In the case of insertion-based gene therapies, the genetic material enables the affected cells to become producers of an encoded protein that is either missing or deficient in the patient. Engineered viruses that are unable to replicate themselves serve as carriers, or vectors, for the delivery of transgenes to various tissues and organs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1" w:name="page122"/>
    <w:bookmarkEnd w:id="12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 xml:space="preserve">the body. Adeno-associated viruses, or AAV, are the preferred vectors for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because they do not usually integrate into the host DNA, cannot reproduce on their own, do not cause pathogenic infections and can be produced using manufacturing practices that conform to cGMP.</w:t>
      </w:r>
    </w:p>
    <w:p>
      <w:pPr>
        <w:spacing w:after="0" w:line="151"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immune responses to either the AAV vector or the encoded transgene, which frequently occurs after the first dose. Once an antibody response to the AAV vector develops, it is likely to interfere with the efficacy of subsequent administration. For these reasons, we believe gene therapy companies have focused on the single dose treatment of localized diseases of the eye and the central nervous system, for which immunogenicity is perceived to be less of an issue. We believe that many gene therapy applications may require multiple doses, especially therapies designed to treat non-localized diseases by intravenous administration. Some of these rare genetic deficiencies are best treated when patients are infants or small children, to prevent developmental defects. However, pediatric patients may have a higher need for repeat dosing due to higher cell turnover as the subject grows. We believe that a solution that enables repeat dosing for gene therapies would significantly expand the number of diseases that could be treated with these therapies.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151" w:lineRule="exact"/>
        <w:rPr>
          <w:sz w:val="20"/>
          <w:szCs w:val="20"/>
          <w:color w:val="auto"/>
        </w:rPr>
      </w:pPr>
    </w:p>
    <w:p>
      <w:pPr>
        <w:ind w:left="7" w:right="320"/>
        <w:spacing w:after="0" w:line="313" w:lineRule="auto"/>
        <w:rPr>
          <w:sz w:val="20"/>
          <w:szCs w:val="20"/>
          <w:color w:val="auto"/>
        </w:rPr>
      </w:pPr>
      <w:r>
        <w:rPr>
          <w:rFonts w:ascii="Arial" w:cs="Arial" w:eastAsia="Arial" w:hAnsi="Arial"/>
          <w:sz w:val="13"/>
          <w:szCs w:val="13"/>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16 below, in addition to an injection of AAV8 encoding either the luciferase gene or Factor IX, the mice also received received either:</w:t>
      </w:r>
    </w:p>
    <w:p>
      <w:pPr>
        <w:spacing w:after="0" w:line="149" w:lineRule="exact"/>
        <w:rPr>
          <w:sz w:val="20"/>
          <w:szCs w:val="20"/>
          <w:color w:val="auto"/>
        </w:rPr>
      </w:pPr>
    </w:p>
    <w:p>
      <w:pPr>
        <w:ind w:left="467" w:hanging="467"/>
        <w:spacing w:after="0"/>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We assessed anti-AAV8 antibody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anti-AAV8 antibodies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2" w:name="page123"/>
    <w:bookmarkEnd w:id="12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8682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091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16. Preclinical Study: SVP-Rapamycin Co-Administered with AAV-Based Gene Therapy</w:t>
      </w:r>
    </w:p>
    <w:p>
      <w:pPr>
        <w:spacing w:after="0" w:line="177" w:lineRule="exact"/>
        <w:rPr>
          <w:sz w:val="20"/>
          <w:szCs w:val="20"/>
          <w:color w:val="auto"/>
        </w:rPr>
      </w:pPr>
    </w:p>
    <w:p>
      <w:pPr>
        <w:ind w:left="7" w:right="380"/>
        <w:spacing w:after="0" w:line="319" w:lineRule="auto"/>
        <w:rPr>
          <w:sz w:val="20"/>
          <w:szCs w:val="20"/>
          <w:color w:val="auto"/>
        </w:rPr>
      </w:pPr>
      <w:r>
        <w:rPr>
          <w:rFonts w:ascii="Arial" w:cs="Arial" w:eastAsia="Arial" w:hAnsi="Arial"/>
          <w:sz w:val="13"/>
          <w:szCs w:val="13"/>
          <w:color w:val="auto"/>
        </w:rPr>
        <w:t>In addition, we have started preclinical studies on two monogenic diseases using AAV vectors. For both diseases, published animal experiments with gene therapies using AAV vectors reported efficacy after a single dose. However, we believe repeat dosing would be beneficial to sustain and amplify the positive effect obtained with the first dose. Therefore, we have initiated the development of two proprietary vectors for these diseases and plan to combine them with SVP-Rapamycin. For both proprietary programs, we are in discussions with third parties experienced in developing AAV-based gene therapies and the clinical treatment of the targeted diseases regarding potential collaborative arrangements.</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5" w:lineRule="exact"/>
        <w:rPr>
          <w:sz w:val="20"/>
          <w:szCs w:val="20"/>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17c below, were left untreated;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0"/>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17a through 17d below, were treated weekly with Humira alone from weeks 5 through 20;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6630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3" w:name="page124"/>
    <w:bookmarkEnd w:id="12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420" w:hanging="467"/>
        <w:spacing w:after="0" w:line="282" w:lineRule="auto"/>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17a through 17d below, were treated weekly with SVP-Rapamycin together with Humira from weeks five through 11 and then weekly with Humira alone from weeks 12 to 20.</w:t>
      </w:r>
    </w:p>
    <w:p>
      <w:pPr>
        <w:spacing w:after="0" w:line="151"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We evaluated anti-Humira antibody levels to determine the formation of ADAs to Humira. Levels of Humira in the blood, or in serum, were measured to determine whether the formation of ADAs increased the clearance of Humira from the blood. In addition, we measured the arthritis score, based on the level of severity of the disease, each week from weeks 10 through 20, for each of the three groups.</w:t>
      </w:r>
    </w:p>
    <w:p>
      <w:pPr>
        <w:spacing w:after="0" w:line="15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As depicted in Figure 17a below, we observed a reduction in the formation of ADAs to Humira in the SVP-Rapamycin Group as compared to the Humira Group at week 20. Consistent with the observation of the formation of ADAs, as depicted in Figure 17b below, we observed a higher level of Humira in the blood in the SVP-Rapamycin Group as compared to the Humira Group at week 19. As expected, mice in the Untreated Group did not show any anti-Humira antibodies or the presence of Humira in the blood. As depicted in Figure 17c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49" w:lineRule="exact"/>
        <w:rPr>
          <w:sz w:val="20"/>
          <w:szCs w:val="20"/>
          <w:color w:val="auto"/>
        </w:rPr>
      </w:pPr>
    </w:p>
    <w:p>
      <w:pPr>
        <w:ind w:left="7" w:right="620"/>
        <w:spacing w:after="0" w:line="282" w:lineRule="auto"/>
        <w:rPr>
          <w:sz w:val="20"/>
          <w:szCs w:val="20"/>
          <w:color w:val="auto"/>
        </w:rPr>
      </w:pPr>
      <w:r>
        <w:rPr>
          <w:rFonts w:ascii="Arial" w:cs="Arial" w:eastAsia="Arial" w:hAnsi="Arial"/>
          <w:sz w:val="15"/>
          <w:szCs w:val="15"/>
          <w:color w:val="auto"/>
        </w:rPr>
        <w:t>Figure 17d below depicts an x-ray of a severely eroded ankle joint in an arthritic mouse in the Humira Group compared to the normal ankle joint of a mouse in the Humira + SVP-Rapamycin Group.</w:t>
      </w:r>
    </w:p>
    <w:p>
      <w:pPr>
        <w:spacing w:after="0" w:line="151"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the blood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24" w:name="page125"/>
    <w:bookmarkEnd w:id="12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40817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091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17a through 17d. Preclinical Study: SVP-Rapamycin Co-Administered with Humira</w:t>
      </w:r>
    </w:p>
    <w:p>
      <w:pPr>
        <w:spacing w:after="0" w:line="177"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18a through 18c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8" w:lineRule="exact"/>
        <w:rPr>
          <w:sz w:val="20"/>
          <w:szCs w:val="20"/>
          <w:color w:val="auto"/>
        </w:rPr>
      </w:pPr>
    </w:p>
    <w:p>
      <w:pPr>
        <w:ind w:left="7" w:right="80"/>
        <w:spacing w:after="0" w:line="297" w:lineRule="auto"/>
        <w:rPr>
          <w:sz w:val="20"/>
          <w:szCs w:val="20"/>
          <w:color w:val="auto"/>
        </w:rPr>
      </w:pPr>
      <w:r>
        <w:rPr>
          <w:rFonts w:ascii="Arial" w:cs="Arial" w:eastAsia="Arial" w:hAnsi="Arial"/>
          <w:sz w:val="14"/>
          <w:szCs w:val="14"/>
          <w:color w:val="auto"/>
        </w:rPr>
        <w:t>All groups were then challenged with five injections of Advate on days 57, 81, 123, 143 and 187 of the study, referred to as the challenge period. We also administered an unrelated antigen, bacteriophage PhiX174 on days 95, 143 and 158, into all mice to evaluate whether SVP-Rapamycin caused global immunosuppression. We evaluated anti-Advate antibody levels to determine the formation of ADAs to Advate. We also evaluated anti-PhiX174 antibody levels to determine the specificity of the SVP-Rapamycin and Advate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As depicted in Figure 18a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anti-PhiX174 antibody levels, suggesting that the SVP-Rapamycin treatment does not induce global immunosuppression, as depicted in Figure 18b below.</w:t>
      </w:r>
    </w:p>
    <w:p>
      <w:pPr>
        <w:spacing w:after="0" w:line="162"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18c below. A higher percentage of normalized hemoglobin levels indicate an increased ability of the mice to control bleeding. As depicted in Figure 18c below, we observed that mice in the SVP-Rapamycin Group were able to control bleeding at a higher rate than mice in the Empty Nanoparticle Group.</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59569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0910" cy="595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18a through 18c.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3" w:lineRule="exact"/>
        <w:rPr>
          <w:sz w:val="20"/>
          <w:szCs w:val="20"/>
          <w:color w:val="auto"/>
        </w:rPr>
      </w:pPr>
    </w:p>
    <w:p>
      <w:pPr>
        <w:ind w:left="467" w:right="300" w:hanging="467"/>
        <w:spacing w:after="0" w:line="270"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2"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0" w:lineRule="exact"/>
        <w:rPr>
          <w:rFonts w:ascii="Arial" w:cs="Arial" w:eastAsia="Arial" w:hAnsi="Arial"/>
          <w:sz w:val="15"/>
          <w:szCs w:val="15"/>
          <w:color w:val="auto"/>
        </w:rPr>
      </w:pPr>
    </w:p>
    <w:p>
      <w:pPr>
        <w:ind w:left="467" w:right="160" w:hanging="467"/>
        <w:spacing w:after="0" w:line="282" w:lineRule="auto"/>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We believe our SVP technology, by encapsulating other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w:t>
      </w:r>
    </w:p>
    <w:p>
      <w:pPr>
        <w:spacing w:after="0" w:line="15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2"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28" w:name="page129"/>
    <w:bookmarkEnd w:id="12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right="120"/>
        <w:spacing w:after="0" w:line="362"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19a through 19d below:</w:t>
      </w:r>
    </w:p>
    <w:p>
      <w:pPr>
        <w:spacing w:after="0" w:line="210" w:lineRule="exact"/>
        <w:rPr>
          <w:sz w:val="20"/>
          <w:szCs w:val="20"/>
          <w:color w:val="auto"/>
        </w:rPr>
      </w:pPr>
    </w:p>
    <w:p>
      <w:pPr>
        <w:ind w:left="467" w:right="240" w:hanging="467"/>
        <w:spacing w:after="0" w:line="282"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1"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19a and 19b below. We also evaluated the levels of interleukin-12, or IL-12, and interferon-gamma, or IFN, in the draining lymph node to determine the levels of local cytokine production involved in desired T helper cell type 1 immune responses, as depicted in Figures 19c and 19d below.</w:t>
      </w:r>
    </w:p>
    <w:p>
      <w:pPr>
        <w:spacing w:after="0" w:line="162"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As depicted in Figures 19a and 19b below, we observed increased levels of systemic cytokine production in the Free TLR 7/8 Agonist Group in comparison to the Encapsulated TLR 7/8 Agonist Group. As depicted in Figures 19c and 19d below, we observed increased levels of local cytokine production in the draining lymph node in the Encapsulated TLR 7/8 Agonist Group as compared to the Free TLR 7/8 Agonist Group.</w:t>
      </w:r>
    </w:p>
    <w:p>
      <w:pPr>
        <w:spacing w:after="0" w:line="159"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0519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0910" cy="405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19a through 19d. Preclinical Study: Minimization of Production of Systemic Cytokines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4"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30" w:name="page131"/>
    <w:bookmarkEnd w:id="13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67"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1" w:lineRule="exact"/>
        <w:rPr>
          <w:sz w:val="20"/>
          <w:szCs w:val="20"/>
          <w:color w:val="auto"/>
        </w:rPr>
      </w:pPr>
    </w:p>
    <w:p>
      <w:pPr>
        <w:ind w:left="7" w:right="320"/>
        <w:spacing w:after="0" w:line="297"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2"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right="20"/>
        <w:spacing w:after="0" w:line="273"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13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20a and 20c below, four doses of empty nanoparticles;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1" w:name="page132"/>
    <w:bookmarkEnd w:id="13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by in green in Figures 20b and 20c below, four doses of SVP-HPV.</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depicted in Figures 20a and 20b below, we recorded the volumes of the tumors in both the Empty Nanoparticle Group and the SVP-HPV Group to determine the efficacy of the treatment.</w:t>
      </w:r>
    </w:p>
    <w:p>
      <w:pPr>
        <w:spacing w:after="0" w:line="22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As depicted in Figures 20a and 20b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59" w:lineRule="exact"/>
        <w:rPr>
          <w:sz w:val="20"/>
          <w:szCs w:val="20"/>
          <w:color w:val="auto"/>
        </w:rPr>
      </w:pPr>
    </w:p>
    <w:p>
      <w:pPr>
        <w:ind w:left="7" w:right="14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20c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130175</wp:posOffset>
            </wp:positionV>
            <wp:extent cx="4993640" cy="39052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93640"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20a through 20c.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2" w:name="page133"/>
    <w:bookmarkEnd w:id="13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We conducted a preclinical study to evaluate the synergistic effects our SVP technology may have with certain checkpoint inhibitors called anti-PD-L1 antibodies (Ab). In this study, mice were separated into three groups and implanted with TC-1 tumor cells.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21 below, the:</w:t>
      </w:r>
    </w:p>
    <w:p>
      <w:pPr>
        <w:spacing w:after="0" w:line="210" w:lineRule="exact"/>
        <w:rPr>
          <w:sz w:val="20"/>
          <w:szCs w:val="20"/>
          <w:color w:val="auto"/>
        </w:rPr>
      </w:pPr>
    </w:p>
    <w:p>
      <w:pPr>
        <w:ind w:left="467" w:hanging="467"/>
        <w:spacing w:after="0"/>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first group of mice, referred to as the Empty Nanoparticle Group and indicated in blue, received empty nanoparticles;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second group of mice, referred to as the SVP-HPV Group and indicated in green, received SVP encapsulating the E7 peptide antigen and a TLR agonist; and</w:t>
      </w:r>
    </w:p>
    <w:p>
      <w:pPr>
        <w:spacing w:after="0" w:line="209"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third group of mice, referred to as the SVP-HPV + anti-PD-L1 Group and indicated in red, received SVP encapsulating the E7 protein antigen and a TLR agonist with an anti-PD-L1 antibody.</w:t>
      </w:r>
    </w:p>
    <w:p>
      <w:pPr>
        <w:spacing w:after="0" w:line="151" w:lineRule="exact"/>
        <w:rPr>
          <w:sz w:val="20"/>
          <w:szCs w:val="20"/>
          <w:color w:val="auto"/>
        </w:rPr>
      </w:pPr>
    </w:p>
    <w:p>
      <w:pPr>
        <w:ind w:left="7" w:right="340"/>
        <w:spacing w:after="0" w:line="282" w:lineRule="auto"/>
        <w:rPr>
          <w:sz w:val="20"/>
          <w:szCs w:val="20"/>
          <w:color w:val="auto"/>
        </w:rPr>
      </w:pPr>
      <w:r>
        <w:rPr>
          <w:rFonts w:ascii="Arial" w:cs="Arial" w:eastAsia="Arial" w:hAnsi="Arial"/>
          <w:sz w:val="15"/>
          <w:szCs w:val="15"/>
          <w:color w:val="auto"/>
        </w:rPr>
        <w:t>We evaluated the volumes of the tumors in the mice to determine the efficacy of treatment. We observed that the volume of the tumors in the mice in the SVP-HPV + anti-PD-L1 Group declined more significantly than that of the SVP-HPV Group and the Empty Nanoparticles Group.</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HPV-SPV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1301750</wp:posOffset>
            </wp:positionH>
            <wp:positionV relativeFrom="paragraph">
              <wp:posOffset>130175</wp:posOffset>
            </wp:positionV>
            <wp:extent cx="4662805" cy="30226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662805" cy="302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21. Preclinical Study: Administration of SVP Encapsulating the E7 Protein Antigen and TLR Agonist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1"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anti-nicotine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anti-nicotine antibodies were induced, but at sub-therapeutic levels. On the basis of the data from this Phase 1 trial, we obtained a new grant from NIDA to further optimize our SVP-nicotine product candidate. We are currently conducting GLP toxicology studies for our optimized smoking cessation candidate.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spacing w:after="0" w:line="313" w:lineRule="auto"/>
        <w:rPr>
          <w:sz w:val="20"/>
          <w:szCs w:val="20"/>
          <w:color w:val="auto"/>
        </w:rPr>
      </w:pPr>
      <w:r>
        <w:rPr>
          <w:rFonts w:ascii="Arial" w:cs="Arial" w:eastAsia="Arial" w:hAnsi="Arial"/>
          <w:sz w:val="13"/>
          <w:szCs w:val="13"/>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in compliance with cGMP.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the Immune Disease Institute and the Children's Medical Center Corporation. Our exclusivity is subject to certain retained rights of these institutions and other third parties.</w:t>
      </w:r>
    </w:p>
    <w:p>
      <w:pPr>
        <w:spacing w:after="0" w:line="16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 disease as an additional indication and the Sanofi Agreement was amended to add terms specific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59"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59"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 However, we are in discussions with Sanofi to extend the research term for the first indication by one year (until November 27, 2016).</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research term for the second indication (celiac disease) will expire upon the earlier of (a) the nomination of a development candidate for the second indication and (b) May 7, 2019. In the event that we are unable to complete our research obligations by May 7, 2019, our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our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us for expenses incurred within certain approved limits.</w:t>
      </w:r>
    </w:p>
    <w:p>
      <w:pPr>
        <w:spacing w:after="0" w:line="16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Pursuant to the Sanofi Agreement, Sanofi paid us an initial payment of $2,000,000 for the initial indication and an additional $2,000,000 for the second indication (celiac disease). Sanofi is obligated to make additional payments to us during preclinical research totaling up to $3,000,000 for each indication, which has been achieved for the food allergy indication. For each indication, we are also eligible for (i) a $5,000,000 development candidate milestone payable to us at the start of preclinical development, (ii) further development milestones up to an aggregate of $127,000,000,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 on our own, and if we choose to do so, we will be required to pay Sanofi low-single digit royalties on net sales and a percentage of licensing revenue ranging from mid-single to low-double digits.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Agreement in the event of Sanofi's uncured material breach or Sanofi's challenge or assistance of others in challenging our or MIT's licensed patents.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$41,500,000 for products without our SVP technology. We are also required to pay 3SBio tiered royalties on annual worldwide net sales (on a country-by-country and product-by-product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country-by-country and product-by-product basis until the later of (i) the date that all of the patent rights for that product have expired in that country, or (ii) a specified number of years from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first commercial sale of such product in such country.</w:t>
      </w:r>
    </w:p>
    <w:p>
      <w:pPr>
        <w:spacing w:after="0" w:line="19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7" w:name="page138"/>
    <w:bookmarkEnd w:id="13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67"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7" w:right="120"/>
        <w:spacing w:after="0" w:line="306"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3" w:lineRule="exact"/>
        <w:rPr>
          <w:sz w:val="20"/>
          <w:szCs w:val="20"/>
          <w:color w:val="auto"/>
        </w:rPr>
      </w:pPr>
    </w:p>
    <w:p>
      <w:pPr>
        <w:jc w:val="both"/>
        <w:ind w:left="7" w:right="240"/>
        <w:spacing w:after="0" w:line="266"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55 pending patent applications in the United States as well as 307 foreign pending patent applications, in all cases, owned solely by us. These patents and patent applications include claims directed to:</w:t>
      </w:r>
    </w:p>
    <w:p>
      <w:pPr>
        <w:spacing w:after="0" w:line="173" w:lineRule="exact"/>
        <w:rPr>
          <w:sz w:val="20"/>
          <w:szCs w:val="20"/>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38" w:name="page139"/>
    <w:bookmarkEnd w:id="13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89"/>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89"/>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5"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89"/>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89"/>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chronic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19 U.S. issued patents; 14 foreign issued patents; 9 U.S. pending patent applications; and 58 foreign pending applications.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5"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26630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151"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6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1"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3" w:lineRule="exact"/>
        <w:rPr>
          <w:sz w:val="20"/>
          <w:szCs w:val="20"/>
          <w:color w:val="auto"/>
        </w:rPr>
      </w:pPr>
    </w:p>
    <w:p>
      <w:pPr>
        <w:jc w:val="both"/>
        <w:ind w:right="60"/>
        <w:spacing w:after="0" w:line="266"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 development of cancer vaccines. There are a variety of vaccine approaches to treat HPV-associated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2" w:name="page143"/>
    <w:bookmarkEnd w:id="14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90" w:lineRule="auto"/>
        <w:rPr>
          <w:sz w:val="20"/>
          <w:szCs w:val="20"/>
          <w:color w:val="auto"/>
        </w:rPr>
      </w:pPr>
      <w:r>
        <w:rPr>
          <w:rFonts w:ascii="Arial" w:cs="Arial" w:eastAsia="Arial" w:hAnsi="Arial"/>
          <w:sz w:val="14"/>
          <w:szCs w:val="14"/>
          <w:color w:val="auto"/>
        </w:rPr>
        <w:t>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48" w:lineRule="exact"/>
        <w:rPr>
          <w:sz w:val="20"/>
          <w:szCs w:val="20"/>
          <w:color w:val="auto"/>
        </w:rPr>
      </w:pPr>
    </w:p>
    <w:p>
      <w:pPr>
        <w:ind w:left="7" w:right="560"/>
        <w:spacing w:after="0" w:line="282"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3"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3" w:name="page144"/>
    <w:bookmarkEnd w:id="14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21"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21" w:lineRule="exact"/>
        <w:rPr>
          <w:rFonts w:ascii="Arial" w:cs="Arial" w:eastAsia="Arial" w:hAnsi="Arial"/>
          <w:sz w:val="14"/>
          <w:szCs w:val="14"/>
          <w:color w:val="auto"/>
        </w:rPr>
      </w:pPr>
    </w:p>
    <w:p>
      <w:pPr>
        <w:ind w:left="467" w:right="400" w:hanging="467"/>
        <w:spacing w:after="0" w:line="270" w:lineRule="auto"/>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8" w:lineRule="exact"/>
        <w:rPr>
          <w:sz w:val="20"/>
          <w:szCs w:val="20"/>
          <w:color w:val="auto"/>
        </w:rPr>
      </w:pPr>
    </w:p>
    <w:p>
      <w:pPr>
        <w:ind w:left="7" w:right="52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9"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49" w:lineRule="exact"/>
        <w:rPr>
          <w:sz w:val="20"/>
          <w:szCs w:val="20"/>
          <w:color w:val="auto"/>
        </w:rPr>
      </w:pPr>
    </w:p>
    <w:p>
      <w:pPr>
        <w:ind w:left="7" w:right="120"/>
        <w:spacing w:after="0" w:line="260"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63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4" w:name="page145"/>
    <w:bookmarkEnd w:id="14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500" w:hanging="467"/>
        <w:spacing w:after="0" w:line="362" w:lineRule="auto"/>
        <w:tabs>
          <w:tab w:leader="none" w:pos="467" w:val="left"/>
        </w:tabs>
        <w:numPr>
          <w:ilvl w:val="0"/>
          <w:numId w:val="93"/>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28" w:lineRule="exact"/>
        <w:rPr>
          <w:rFonts w:ascii="Arial" w:cs="Arial" w:eastAsia="Arial" w:hAnsi="Arial"/>
          <w:sz w:val="13"/>
          <w:szCs w:val="13"/>
          <w:color w:val="auto"/>
        </w:rPr>
      </w:pPr>
    </w:p>
    <w:p>
      <w:pPr>
        <w:ind w:left="467" w:right="140" w:hanging="467"/>
        <w:spacing w:after="0" w:line="282" w:lineRule="auto"/>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162" w:lineRule="exact"/>
        <w:rPr>
          <w:rFonts w:ascii="Arial" w:cs="Arial" w:eastAsia="Arial" w:hAnsi="Arial"/>
          <w:sz w:val="15"/>
          <w:szCs w:val="15"/>
          <w:color w:val="auto"/>
        </w:rPr>
      </w:pPr>
    </w:p>
    <w:p>
      <w:pPr>
        <w:ind w:left="467" w:right="40" w:hanging="467"/>
        <w:spacing w:after="0" w:line="319" w:lineRule="auto"/>
        <w:tabs>
          <w:tab w:leader="none" w:pos="467" w:val="left"/>
        </w:tabs>
        <w:numPr>
          <w:ilvl w:val="0"/>
          <w:numId w:val="93"/>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1" w:lineRule="exact"/>
        <w:rPr>
          <w:sz w:val="20"/>
          <w:szCs w:val="20"/>
          <w:color w:val="auto"/>
        </w:rPr>
      </w:pPr>
    </w:p>
    <w:p>
      <w:pPr>
        <w:ind w:left="7" w:right="80"/>
        <w:spacing w:after="0" w:line="260"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71" w:lineRule="exact"/>
        <w:rPr>
          <w:sz w:val="20"/>
          <w:szCs w:val="20"/>
          <w:color w:val="auto"/>
        </w:rPr>
      </w:pPr>
    </w:p>
    <w:p>
      <w:pPr>
        <w:ind w:left="7" w:right="4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2"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2" w:lineRule="exact"/>
        <w:rPr>
          <w:sz w:val="20"/>
          <w:szCs w:val="20"/>
          <w:color w:val="auto"/>
        </w:rPr>
      </w:pPr>
    </w:p>
    <w:p>
      <w:pPr>
        <w:jc w:val="both"/>
        <w:ind w:right="30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8" w:name="page149"/>
    <w:bookmarkEnd w:id="14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With respect to any gene therapy products we may develop, the FDA works closely with the National Institutes of Health, or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54"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8"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7"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1" w:name="page152"/>
    <w:bookmarkEnd w:id="15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20" w:hanging="467"/>
        <w:spacing w:after="0" w:line="260"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94" w:lineRule="exact"/>
        <w:rPr>
          <w:rFonts w:ascii="Arial" w:cs="Arial" w:eastAsia="Arial" w:hAnsi="Arial"/>
          <w:sz w:val="15"/>
          <w:szCs w:val="15"/>
          <w:color w:val="auto"/>
        </w:rPr>
      </w:pPr>
    </w:p>
    <w:p>
      <w:pPr>
        <w:ind w:left="467" w:right="60" w:hanging="467"/>
        <w:spacing w:after="0" w:line="266"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1"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2" w:name="page153"/>
    <w:bookmarkEnd w:id="15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a life-threatening or chronically debilitating condition; (2) either (a) such condition affects no more than five in 10,000 persons in the European Union when the application is made, or</w:t>
      </w:r>
    </w:p>
    <w:p>
      <w:pPr>
        <w:spacing w:after="0" w:line="29" w:lineRule="exact"/>
        <w:rPr>
          <w:sz w:val="20"/>
          <w:szCs w:val="20"/>
          <w:color w:val="auto"/>
        </w:rPr>
      </w:pPr>
    </w:p>
    <w:p>
      <w:pPr>
        <w:ind w:left="7" w:right="60" w:hanging="7"/>
        <w:spacing w:after="0" w:line="260" w:lineRule="auto"/>
        <w:tabs>
          <w:tab w:leader="none" w:pos="221"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1" w:lineRule="exact"/>
        <w:rPr>
          <w:sz w:val="20"/>
          <w:szCs w:val="20"/>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40"/>
        <w:spacing w:after="0" w:line="362"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7" w:lineRule="exact"/>
        <w:rPr>
          <w:sz w:val="20"/>
          <w:szCs w:val="20"/>
          <w:color w:val="auto"/>
        </w:rPr>
      </w:pPr>
    </w:p>
    <w:p>
      <w:pPr>
        <w:jc w:val="both"/>
        <w:ind w:right="160"/>
        <w:spacing w:after="0" w:line="290"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 person or entity does not need to have actual knowledge of the statute or specific intent to violate it in order to have committed a violation.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4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 which was suspended from January 1, 2016, to December 31, 2017, by the Consolidated Appropriations Act of 2016, but will be reinstated starting January 1, 2018, absent further action.</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2015, we had 54 full-time employees, 44 of whom were primarily engaged in research and development activities. A total of 25 employees have an M.D. or Ph.D.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degree. 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employees and directors as of March 31,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5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8"/>
        </w:trPr>
        <w:tc>
          <w:tcPr>
            <w:tcW w:w="20" w:type="dxa"/>
            <w:vAlign w:val="bottom"/>
          </w:tcPr>
          <w:p>
            <w:pPr>
              <w:spacing w:after="0"/>
              <w:rPr>
                <w:sz w:val="15"/>
                <w:szCs w:val="15"/>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2"/>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56</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45</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Counsel and Corporate Secretary</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David Siewers, CPA</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w:t>
            </w:r>
          </w:p>
        </w:tc>
        <w:tc>
          <w:tcPr>
            <w:tcW w:w="15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Omid Farokhzad,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Peter Barton Hutt, J.D., L.L.B., L.L.M</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Robert Langer, Sc.D.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Aymeric Sallin, M.S.</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90"/>
        </w:trPr>
        <w:tc>
          <w:tcPr>
            <w:tcW w:w="2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5"/>
                <w:szCs w:val="15"/>
                <w:color w:val="auto"/>
              </w:rPr>
              <w:t>Leysan Shaydullina, M.D.</w:t>
            </w:r>
          </w:p>
        </w:tc>
        <w:tc>
          <w:tcPr>
            <w:tcW w:w="15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22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i w:val="1"/>
          <w:iCs w:val="1"/>
          <w:color w:val="auto"/>
        </w:rPr>
        <w:t xml:space="preserve">Werner Cautreels, Ph.D. </w:t>
      </w:r>
      <w:r>
        <w:rPr>
          <w:rFonts w:ascii="Arial" w:cs="Arial" w:eastAsia="Arial" w:hAnsi="Arial"/>
          <w:sz w:val="13"/>
          <w:szCs w:val="13"/>
          <w:color w:val="auto"/>
        </w:rPr>
        <w:t>has served as our President, Chief Executive Officer and member of our board of directors since July 2010. Prior to joining Selecta, Dr. Cautreels was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Ph.D. in Chemistry, specializing in Mass Spectrometry, from the University of Antwerp (Antwerp, Belgium), and his financial and business training from the Advanced Management Program at Harvard Business School.</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169"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9" w:name="page160"/>
    <w:bookmarkEnd w:id="1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28"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i w:val="1"/>
          <w:iCs w:val="1"/>
          <w:color w:val="auto"/>
        </w:rPr>
        <w:t xml:space="preserve">Dmitry Ovchinnikov, Ph.D. </w:t>
      </w:r>
      <w:r>
        <w:rPr>
          <w:rFonts w:ascii="Arial" w:cs="Arial" w:eastAsia="Arial" w:hAnsi="Arial"/>
          <w:sz w:val="13"/>
          <w:szCs w:val="13"/>
          <w:color w:val="auto"/>
        </w:rPr>
        <w:t>has served as the General Director of our Russian operations since August 2013, and served as General Deputy Director from May 2012 to August 2013.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 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Carl Gordon, Ph.D. </w:t>
      </w:r>
      <w:r>
        <w:rPr>
          <w:rFonts w:ascii="Arial" w:cs="Arial" w:eastAsia="Arial" w:hAnsi="Arial"/>
          <w:sz w:val="14"/>
          <w:szCs w:val="14"/>
          <w:color w:val="auto"/>
        </w:rPr>
        <w:t>has served as a member of our board of directors since 2010. Dr. Gordon serves as General Partner and Co-Head of Private Equity of OrbiMed Advisors LLC, which he</w:t>
      </w:r>
      <w:r>
        <w:rPr>
          <w:rFonts w:ascii="Arial" w:cs="Arial" w:eastAsia="Arial" w:hAnsi="Arial"/>
          <w:sz w:val="14"/>
          <w:szCs w:val="14"/>
          <w:i w:val="1"/>
          <w:iCs w:val="1"/>
          <w:color w:val="auto"/>
        </w:rPr>
        <w:t xml:space="preserve"> </w:t>
      </w:r>
      <w:r>
        <w:rPr>
          <w:rFonts w:ascii="Arial" w:cs="Arial" w:eastAsia="Arial" w:hAnsi="Arial"/>
          <w:sz w:val="14"/>
          <w:szCs w:val="14"/>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4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i w:val="1"/>
          <w:iCs w:val="1"/>
          <w:color w:val="auto"/>
        </w:rPr>
        <w:t xml:space="preserve">Peter Barton Hutt, J.D.,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i w:val="1"/>
          <w:iCs w:val="1"/>
          <w:color w:val="auto"/>
        </w:rPr>
        <w:t xml:space="preserve">Edwin M. Kania </w:t>
      </w:r>
      <w:r>
        <w:rPr>
          <w:rFonts w:ascii="Arial" w:cs="Arial" w:eastAsia="Arial" w:hAnsi="Arial"/>
          <w:sz w:val="14"/>
          <w:szCs w:val="14"/>
          <w:color w:val="auto"/>
        </w:rPr>
        <w:t>has served as a member of our board of directors since 2013. Mr. Kania is Co-Founder of Flagship Ventures, a Boston-based venture capital firm, and serves as a Managing</w:t>
      </w:r>
      <w:r>
        <w:rPr>
          <w:rFonts w:ascii="Arial" w:cs="Arial" w:eastAsia="Arial" w:hAnsi="Arial"/>
          <w:sz w:val="14"/>
          <w:szCs w:val="14"/>
          <w:i w:val="1"/>
          <w:iCs w:val="1"/>
          <w:color w:val="auto"/>
        </w:rPr>
        <w:t xml:space="preserve"> </w:t>
      </w: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Harvard Business School. Mr. Kania's extensive investment experience in the biotechnology sector contributed to our board of directors' conclusion that he should serve as a director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w:t>
      </w:r>
    </w:p>
    <w:p>
      <w:pPr>
        <w:spacing w:after="0" w:line="153" w:lineRule="exact"/>
        <w:rPr>
          <w:sz w:val="20"/>
          <w:szCs w:val="20"/>
          <w:color w:val="auto"/>
        </w:rPr>
      </w:pPr>
    </w:p>
    <w:p>
      <w:pPr>
        <w:spacing w:after="0" w:line="284"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4" w:lineRule="exact"/>
        <w:rPr>
          <w:sz w:val="20"/>
          <w:szCs w:val="20"/>
          <w:color w:val="auto"/>
        </w:rPr>
      </w:pPr>
    </w:p>
    <w:p>
      <w:pPr>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jc w:val="both"/>
        <w:ind w:right="100"/>
        <w:spacing w:after="0" w:line="294" w:lineRule="auto"/>
        <w:rPr>
          <w:sz w:val="20"/>
          <w:szCs w:val="20"/>
          <w:color w:val="auto"/>
        </w:rPr>
      </w:pPr>
      <w:r>
        <w:rPr>
          <w:rFonts w:ascii="Arial" w:cs="Arial" w:eastAsia="Arial" w:hAnsi="Arial"/>
          <w:sz w:val="14"/>
          <w:szCs w:val="14"/>
          <w:color w:val="auto"/>
        </w:rPr>
        <w:t>Mr. Sallin has worked to generate and close investments of hundreds of millions of dollars into several of NanoDimension's portfolio companies. He currently serves as a board member of View, Inc., CROCUS Technology and Blend Therapeutics.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14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George Siber, M.D. </w:t>
      </w:r>
      <w:r>
        <w:rPr>
          <w:rFonts w:ascii="Arial" w:cs="Arial" w:eastAsia="Arial" w:hAnsi="Arial"/>
          <w:sz w:val="15"/>
          <w:szCs w:val="15"/>
          <w:color w:val="auto"/>
        </w:rPr>
        <w:t>has served as a member of our board of directors since 2009. Since 2008, Dr. Siber has served as an Adjunct Professor at John Hopkins University in the School of</w:t>
      </w:r>
      <w:r>
        <w:rPr>
          <w:rFonts w:ascii="Arial" w:cs="Arial" w:eastAsia="Arial" w:hAnsi="Arial"/>
          <w:sz w:val="15"/>
          <w:szCs w:val="15"/>
          <w:i w:val="1"/>
          <w:iCs w:val="1"/>
          <w:color w:val="auto"/>
        </w:rPr>
        <w:t xml:space="preserve"> </w:t>
      </w:r>
      <w:r>
        <w:rPr>
          <w:rFonts w:ascii="Arial" w:cs="Arial" w:eastAsia="Arial" w:hAnsi="Arial"/>
          <w:sz w:val="15"/>
          <w:szCs w:val="15"/>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qualifies him to serve as a member of our board of directors.</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jc w:val="both"/>
        <w:ind w:left="1000" w:right="160" w:hanging="1015"/>
        <w:spacing w:after="0" w:line="261" w:lineRule="auto"/>
        <w:rPr>
          <w:sz w:val="20"/>
          <w:szCs w:val="20"/>
          <w:color w:val="auto"/>
        </w:rPr>
      </w:pPr>
      <w:r>
        <w:rPr>
          <w:rFonts w:ascii="Arial" w:cs="Arial" w:eastAsia="Arial" w:hAnsi="Arial"/>
          <w:sz w:val="15"/>
          <w:szCs w:val="15"/>
          <w:color w:val="auto"/>
        </w:rPr>
        <w:t>Our board of directors currently consists of ten members. Our board of directors has determined that, of our ten directors,</w:t>
      </w:r>
      <w:r>
        <w:rPr>
          <w:sz w:val="20"/>
          <w:szCs w:val="20"/>
          <w:color w:val="auto"/>
        </w:rPr>
        <w:t xml:space="preserve"> </w:t>
      </w:r>
      <w:r>
        <w:rPr>
          <w:rFonts w:ascii="Arial" w:cs="Arial" w:eastAsia="Arial" w:hAnsi="Arial"/>
          <w:sz w:val="15"/>
          <w:szCs w:val="15"/>
          <w:color w:val="auto"/>
        </w:rPr>
        <w:t>, , , and do not have a relationship that would interfere with the exercise of independent judgment in carrying out the responsibilities of a director and</w:t>
      </w:r>
    </w:p>
    <w:p>
      <w:pPr>
        <w:spacing w:after="0" w:line="185" w:lineRule="exact"/>
        <w:rPr>
          <w:sz w:val="20"/>
          <w:szCs w:val="20"/>
          <w:color w:val="auto"/>
        </w:rPr>
      </w:pPr>
    </w:p>
    <w:p>
      <w:pPr>
        <w:jc w:val="both"/>
        <w:ind w:right="180"/>
        <w:spacing w:after="0" w:line="275" w:lineRule="auto"/>
        <w:rPr>
          <w:sz w:val="20"/>
          <w:szCs w:val="20"/>
          <w:color w:val="auto"/>
        </w:rPr>
      </w:pPr>
      <w:r>
        <w:rPr>
          <w:rFonts w:ascii="Arial" w:cs="Arial" w:eastAsia="Arial" w:hAnsi="Arial"/>
          <w:sz w:val="15"/>
          <w:szCs w:val="15"/>
          <w:color w:val="auto"/>
        </w:rPr>
        <w:t>that each of these directors is "independent" as that term is defined under the rules of The NASDAQ Stock Market LLC, or NASDAQ. There are no family relationships among any of our directors or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44" w:lineRule="exact"/>
        <w:rPr>
          <w:sz w:val="20"/>
          <w:szCs w:val="20"/>
          <w:color w:val="auto"/>
        </w:rPr>
      </w:pPr>
    </w:p>
    <w:p>
      <w:pPr>
        <w:spacing w:after="0"/>
        <w:tabs>
          <w:tab w:leader="none" w:pos="440" w:val="left"/>
          <w:tab w:leader="none" w:pos="2580" w:val="left"/>
          <w:tab w:leader="none" w:pos="3100" w:val="left"/>
          <w:tab w:leader="none" w:pos="3660" w:val="left"/>
          <w:tab w:leader="none" w:pos="4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Class I directors will be</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3"/>
          <w:szCs w:val="13"/>
          <w:color w:val="auto"/>
        </w:rPr>
        <w:t>, and their terms will expire at our first annual meeting of stockholders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26630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3" w:name="page164"/>
    <w:bookmarkEnd w:id="163"/>
    <w:p>
      <w:pPr>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the Class II directors will be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our second annual meeting of stockholders following this offering; and</w:t>
      </w:r>
    </w:p>
    <w:p>
      <w:pPr>
        <w:spacing w:after="0" w:line="211" w:lineRule="exact"/>
        <w:rPr>
          <w:sz w:val="20"/>
          <w:szCs w:val="20"/>
          <w:color w:val="auto"/>
        </w:rPr>
      </w:pPr>
    </w:p>
    <w:p>
      <w:pPr>
        <w:sectPr>
          <w:pgSz w:w="11900" w:h="16838" w:orient="portrait"/>
          <w:cols w:equalWidth="0" w:num="5">
            <w:col w:w="40" w:space="420"/>
            <w:col w:w="2000" w:space="720"/>
            <w:col w:w="40" w:space="520"/>
            <w:col w:w="220" w:space="480"/>
            <w:col w:w="6980"/>
          </w:cols>
          <w:pgMar w:left="240" w:top="133"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Class III directors will be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 and their terms will expire at the third annual meeting of stockholders following this offering.</w:t>
      </w:r>
    </w:p>
    <w:p>
      <w:pPr>
        <w:spacing w:after="0" w:line="211" w:lineRule="exact"/>
        <w:rPr>
          <w:sz w:val="20"/>
          <w:szCs w:val="20"/>
          <w:color w:val="auto"/>
        </w:rPr>
      </w:pPr>
    </w:p>
    <w:p>
      <w:pPr>
        <w:sectPr>
          <w:pgSz w:w="11900" w:h="16838" w:orient="portrait"/>
          <w:cols w:equalWidth="0" w:num="5">
            <w:col w:w="40" w:space="420"/>
            <w:col w:w="1740" w:space="500"/>
            <w:col w:w="360" w:space="720"/>
            <w:col w:w="220" w:space="500"/>
            <w:col w:w="6920"/>
          </w:cols>
          <w:pgMar w:left="240" w:top="133" w:right="239" w:bottom="1440" w:gutter="0" w:footer="0" w:header="0"/>
          <w:type w:val="continuous"/>
        </w:sectPr>
      </w:pPr>
    </w:p>
    <w:p>
      <w:pPr>
        <w:spacing w:after="0" w:line="10"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a member of management or does not otherwise qualify as independent, the independent directors of the board may or may not elect a lead director.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type w:val="continuous"/>
        </w:sectPr>
      </w:pPr>
    </w:p>
    <w:bookmarkStart w:id="164" w:name="page165"/>
    <w:bookmarkEnd w:id="164"/>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 xml:space="preserve">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 consider it to be a part of this prospectus.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09" w:lineRule="exact"/>
        <w:rPr>
          <w:rFonts w:ascii="Arial" w:cs="Arial" w:eastAsia="Arial" w:hAnsi="Arial"/>
          <w:sz w:val="15"/>
          <w:szCs w:val="15"/>
          <w:color w:val="auto"/>
        </w:rPr>
      </w:pPr>
    </w:p>
    <w:p>
      <w:pPr>
        <w:ind w:left="467" w:right="540" w:hanging="467"/>
        <w:spacing w:after="0" w:line="282" w:lineRule="auto"/>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8" w:lineRule="exact"/>
        <w:rPr>
          <w:sz w:val="20"/>
          <w:szCs w:val="20"/>
          <w:color w:val="auto"/>
        </w:rPr>
      </w:pPr>
    </w:p>
    <w:p>
      <w:pPr>
        <w:ind w:left="7" w:right="220"/>
        <w:spacing w:after="0" w:line="265" w:lineRule="auto"/>
        <w:rPr>
          <w:sz w:val="20"/>
          <w:szCs w:val="20"/>
          <w:color w:val="auto"/>
        </w:rPr>
      </w:pPr>
      <w:r>
        <w:rPr>
          <w:rFonts w:ascii="Arial" w:cs="Arial" w:eastAsia="Arial" w:hAnsi="Arial"/>
          <w:sz w:val="15"/>
          <w:szCs w:val="15"/>
          <w:color w:val="auto"/>
        </w:rPr>
        <w:t>The members of our audit committee are , and . serves as the chairperson of the committee. All members of our audit committee meet the requirements for financial literacy under the applicable rules and regulations of the SEC and . Our board of directors has determined that and meet the independence requirements of Rule 10A-3 under the Exchange Act and the applicable listing standards of NASDAQ. Our board of directors has determined that is an "audit committee financial expert" as defined by applicable SEC rules and has the requisite financial sophistication as defined under the applicable NASDAQ rules and regulations.</w:t>
      </w:r>
    </w:p>
    <w:p>
      <w:pPr>
        <w:spacing w:after="0" w:line="3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9"/>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5" w:name="page166"/>
    <w:bookmarkEnd w:id="16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8" w:lineRule="exact"/>
        <w:rPr>
          <w:sz w:val="20"/>
          <w:szCs w:val="20"/>
          <w:color w:val="auto"/>
        </w:rPr>
      </w:pPr>
    </w:p>
    <w:p>
      <w:pPr>
        <w:jc w:val="both"/>
        <w:ind w:left="7"/>
        <w:spacing w:after="0" w:line="261" w:lineRule="auto"/>
        <w:rPr>
          <w:sz w:val="20"/>
          <w:szCs w:val="20"/>
          <w:color w:val="auto"/>
        </w:rPr>
      </w:pPr>
      <w:r>
        <w:rPr>
          <w:rFonts w:ascii="Arial" w:cs="Arial" w:eastAsia="Arial" w:hAnsi="Arial"/>
          <w:sz w:val="15"/>
          <w:szCs w:val="15"/>
          <w:color w:val="auto"/>
        </w:rPr>
        <w:t>The members of our compensation committee are , and . serves as the chairperson of the committee. Our board of directors has determined that each of , and is independent under the applicable NASDAQ rules and regulations, is a "non-employee director"</w:t>
      </w:r>
    </w:p>
    <w:p>
      <w:pPr>
        <w:ind w:left="7" w:right="60"/>
        <w:spacing w:after="0" w:line="275" w:lineRule="auto"/>
        <w:rPr>
          <w:sz w:val="20"/>
          <w:szCs w:val="20"/>
          <w:color w:val="auto"/>
        </w:rPr>
      </w:pPr>
      <w:r>
        <w:rPr>
          <w:rFonts w:ascii="Arial" w:cs="Arial" w:eastAsia="Arial" w:hAnsi="Arial"/>
          <w:sz w:val="15"/>
          <w:szCs w:val="15"/>
          <w:color w:val="auto"/>
        </w:rPr>
        <w:t>as defined in Rule 16b-3 promulgated under the Securities Exchange Act of 1934, as amended, or the Exchange Act, and is an "outside director" as that term is defined in Section 162(m) of the Code.</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ectPr>
          <w:pgSz w:w="11900" w:h="16838" w:orient="portrait"/>
          <w:cols w:equalWidth="0" w:num="1">
            <w:col w:w="11427"/>
          </w:cols>
          <w:pgMar w:left="233" w:top="133" w:right="239" w:bottom="1440" w:gutter="0" w:footer="0" w:header="0"/>
        </w:sectPr>
      </w:pPr>
    </w:p>
    <w:p>
      <w:pPr>
        <w:spacing w:after="0" w:line="198" w:lineRule="exact"/>
        <w:rPr>
          <w:sz w:val="20"/>
          <w:szCs w:val="20"/>
          <w:color w:val="auto"/>
        </w:rPr>
      </w:pPr>
    </w:p>
    <w:p>
      <w:pPr>
        <w:ind w:left="7" w:right="240"/>
        <w:spacing w:after="0" w:line="319" w:lineRule="auto"/>
        <w:rPr>
          <w:sz w:val="20"/>
          <w:szCs w:val="20"/>
          <w:color w:val="auto"/>
        </w:rPr>
      </w:pPr>
      <w:r>
        <w:rPr>
          <w:rFonts w:ascii="Arial" w:cs="Arial" w:eastAsia="Arial" w:hAnsi="Arial"/>
          <w:sz w:val="14"/>
          <w:szCs w:val="14"/>
          <w:color w:val="auto"/>
        </w:rPr>
        <w:t>The members of our nominating and corporate governance committee are committee. Our board of directors has determined that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5"/>
          <w:szCs w:val="15"/>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and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560" w:hanging="104"/>
        <w:spacing w:after="0" w:line="282" w:lineRule="auto"/>
        <w:rPr>
          <w:sz w:val="20"/>
          <w:szCs w:val="20"/>
          <w:color w:val="auto"/>
        </w:rPr>
      </w:pPr>
      <w:r>
        <w:rPr>
          <w:rFonts w:ascii="Arial" w:cs="Arial" w:eastAsia="Arial" w:hAnsi="Arial"/>
          <w:sz w:val="15"/>
          <w:szCs w:val="15"/>
          <w:color w:val="auto"/>
        </w:rPr>
        <w:t>and</w:t>
      </w:r>
      <w:r>
        <w:rPr>
          <w:sz w:val="20"/>
          <w:szCs w:val="20"/>
          <w:color w:val="auto"/>
        </w:rPr>
        <w:t xml:space="preserve"> </w:t>
      </w:r>
      <w:r>
        <w:rPr>
          <w:rFonts w:ascii="Arial" w:cs="Arial" w:eastAsia="Arial" w:hAnsi="Arial"/>
          <w:sz w:val="15"/>
          <w:szCs w:val="15"/>
          <w:color w:val="auto"/>
        </w:rPr>
        <w:t>. serves as the chairperson of the are independent under the applicable NASDAQ rules and regulations.</w:t>
      </w:r>
    </w:p>
    <w:p>
      <w:pPr>
        <w:spacing w:after="0" w:line="142" w:lineRule="exact"/>
        <w:rPr>
          <w:sz w:val="20"/>
          <w:szCs w:val="20"/>
          <w:color w:val="auto"/>
        </w:rPr>
      </w:pPr>
    </w:p>
    <w:p>
      <w:pPr>
        <w:sectPr>
          <w:pgSz w:w="11900" w:h="16838" w:orient="portrait"/>
          <w:cols w:equalWidth="0" w:num="3">
            <w:col w:w="4667" w:space="720"/>
            <w:col w:w="540" w:space="720"/>
            <w:col w:w="4780"/>
          </w:cols>
          <w:pgMar w:left="233" w:top="133" w:right="23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type w:val="continuous"/>
        </w:sectPr>
      </w:pPr>
    </w:p>
    <w:bookmarkStart w:id="166" w:name="page167"/>
    <w:bookmarkEnd w:id="16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2015, our named executive officers were:</w:t>
      </w:r>
    </w:p>
    <w:p>
      <w:pPr>
        <w:spacing w:after="0" w:line="162" w:lineRule="exact"/>
        <w:rPr>
          <w:sz w:val="20"/>
          <w:szCs w:val="20"/>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Earl Sands, M.D., Chief Medical Officer;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8"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AND 2014 SUMMARY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right"/>
              <w:ind w:right="381"/>
              <w:spacing w:after="0"/>
              <w:rPr>
                <w:sz w:val="20"/>
                <w:szCs w:val="20"/>
                <w:color w:val="auto"/>
              </w:rPr>
            </w:pPr>
            <w:r>
              <w:rPr>
                <w:rFonts w:ascii="Arial" w:cs="Arial" w:eastAsia="Arial" w:hAnsi="Arial"/>
                <w:sz w:val="12"/>
                <w:szCs w:val="12"/>
                <w:b w:val="1"/>
                <w:bCs w:val="1"/>
                <w:color w:val="auto"/>
              </w:rPr>
              <w:t>Non-equity</w:t>
            </w:r>
          </w:p>
        </w:tc>
        <w:tc>
          <w:tcPr>
            <w:tcW w:w="1060" w:type="dxa"/>
            <w:vAlign w:val="bottom"/>
          </w:tcPr>
          <w:p>
            <w:pPr>
              <w:jc w:val="right"/>
              <w:ind w:right="301"/>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right"/>
              <w:ind w:right="281"/>
              <w:spacing w:after="0"/>
              <w:rPr>
                <w:sz w:val="20"/>
                <w:szCs w:val="20"/>
                <w:color w:val="auto"/>
              </w:rPr>
            </w:pPr>
            <w:r>
              <w:rPr>
                <w:rFonts w:ascii="Arial" w:cs="Arial" w:eastAsia="Arial" w:hAnsi="Arial"/>
                <w:sz w:val="12"/>
                <w:szCs w:val="12"/>
                <w:b w:val="1"/>
                <w:bCs w:val="1"/>
                <w:color w:val="auto"/>
              </w:rPr>
              <w:t>incentive plan</w:t>
            </w:r>
          </w:p>
        </w:tc>
        <w:tc>
          <w:tcPr>
            <w:tcW w:w="1060" w:type="dxa"/>
            <w:vAlign w:val="bottom"/>
          </w:tcPr>
          <w:p>
            <w:pPr>
              <w:jc w:val="right"/>
              <w:ind w:right="141"/>
              <w:spacing w:after="0"/>
              <w:rPr>
                <w:sz w:val="20"/>
                <w:szCs w:val="20"/>
                <w:color w:val="auto"/>
              </w:rPr>
            </w:pPr>
            <w:r>
              <w:rPr>
                <w:rFonts w:ascii="Arial" w:cs="Arial" w:eastAsia="Arial" w:hAnsi="Arial"/>
                <w:sz w:val="12"/>
                <w:szCs w:val="12"/>
                <w:b w:val="1"/>
                <w:bCs w:val="1"/>
                <w:color w:val="auto"/>
              </w:rPr>
              <w:t>compensation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Year</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00" w:type="dxa"/>
            <w:vAlign w:val="bottom"/>
          </w:tcPr>
          <w:p>
            <w:pPr>
              <w:jc w:val="right"/>
              <w:ind w:right="41"/>
              <w:spacing w:after="0"/>
              <w:rPr>
                <w:sz w:val="20"/>
                <w:szCs w:val="20"/>
                <w:color w:val="auto"/>
              </w:rPr>
            </w:pPr>
            <w:r>
              <w:rPr>
                <w:rFonts w:ascii="Arial" w:cs="Arial" w:eastAsia="Arial" w:hAnsi="Arial"/>
                <w:sz w:val="12"/>
                <w:szCs w:val="12"/>
                <w:b w:val="1"/>
                <w:bCs w:val="1"/>
                <w:color w:val="auto"/>
              </w:rPr>
              <w:t>Option awards ($)(1)</w:t>
            </w:r>
          </w:p>
        </w:tc>
        <w:tc>
          <w:tcPr>
            <w:tcW w:w="1440" w:type="dxa"/>
            <w:vAlign w:val="bottom"/>
          </w:tcPr>
          <w:p>
            <w:pPr>
              <w:jc w:val="right"/>
              <w:ind w:right="141"/>
              <w:spacing w:after="0"/>
              <w:rPr>
                <w:sz w:val="20"/>
                <w:szCs w:val="20"/>
                <w:color w:val="auto"/>
              </w:rPr>
            </w:pPr>
            <w:r>
              <w:rPr>
                <w:rFonts w:ascii="Arial" w:cs="Arial" w:eastAsia="Arial" w:hAnsi="Arial"/>
                <w:sz w:val="12"/>
                <w:szCs w:val="12"/>
                <w:b w:val="1"/>
                <w:bCs w:val="1"/>
                <w:color w:val="auto"/>
              </w:rPr>
              <w:t>compensation ($)(2)</w:t>
            </w:r>
          </w:p>
        </w:tc>
        <w:tc>
          <w:tcPr>
            <w:tcW w:w="1060" w:type="dxa"/>
            <w:vAlign w:val="bottom"/>
          </w:tcPr>
          <w:p>
            <w:pPr>
              <w:jc w:val="right"/>
              <w:ind w:right="42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58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2015</w:t>
            </w:r>
          </w:p>
        </w:tc>
        <w:tc>
          <w:tcPr>
            <w:tcW w:w="84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400,000</w:t>
            </w:r>
          </w:p>
        </w:tc>
        <w:tc>
          <w:tcPr>
            <w:tcW w:w="130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568,798</w:t>
            </w:r>
          </w:p>
        </w:tc>
        <w:tc>
          <w:tcPr>
            <w:tcW w:w="1440" w:type="dxa"/>
            <w:vAlign w:val="bottom"/>
            <w:tcBorders>
              <w:top w:val="single" w:sz="8" w:color="auto"/>
            </w:tcBorders>
            <w:shd w:val="clear" w:color="auto" w:fill="CCEEFF"/>
          </w:tcPr>
          <w:p>
            <w:pPr>
              <w:jc w:val="right"/>
              <w:ind w:right="81"/>
              <w:spacing w:after="0" w:line="119" w:lineRule="exact"/>
              <w:rPr>
                <w:sz w:val="20"/>
                <w:szCs w:val="20"/>
                <w:color w:val="auto"/>
              </w:rPr>
            </w:pPr>
            <w:r>
              <w:rPr>
                <w:rFonts w:ascii="Arial" w:cs="Arial" w:eastAsia="Arial" w:hAnsi="Arial"/>
                <w:sz w:val="12"/>
                <w:szCs w:val="12"/>
                <w:color w:val="auto"/>
              </w:rPr>
              <w:t>130,000</w:t>
            </w:r>
          </w:p>
        </w:tc>
        <w:tc>
          <w:tcPr>
            <w:tcW w:w="1060" w:type="dxa"/>
            <w:vAlign w:val="bottom"/>
            <w:tcBorders>
              <w:top w:val="single" w:sz="8" w:color="auto"/>
            </w:tcBorders>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0</w:t>
            </w: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1,098,798</w:t>
            </w:r>
          </w:p>
        </w:tc>
        <w:tc>
          <w:tcPr>
            <w:tcW w:w="1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447,545</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374,504</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140,000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38,130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Officer</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69"/>
        </w:trPr>
        <w:tc>
          <w:tcPr>
            <w:tcW w:w="328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tcPr>
          <w:p>
            <w:pPr>
              <w:ind w:left="320"/>
              <w:spacing w:after="0"/>
              <w:rPr>
                <w:sz w:val="20"/>
                <w:szCs w:val="20"/>
                <w:color w:val="auto"/>
              </w:rPr>
            </w:pPr>
            <w:r>
              <w:rPr>
                <w:rFonts w:ascii="Arial" w:cs="Arial" w:eastAsia="Arial" w:hAnsi="Arial"/>
                <w:sz w:val="12"/>
                <w:szCs w:val="12"/>
                <w:color w:val="auto"/>
                <w:w w:val="86"/>
              </w:rPr>
              <w:t>143,231(4)</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388,147</w:t>
            </w:r>
          </w:p>
        </w:tc>
        <w:tc>
          <w:tcPr>
            <w:tcW w:w="1440" w:type="dxa"/>
            <w:vAlign w:val="bottom"/>
          </w:tcPr>
          <w:p>
            <w:pPr>
              <w:jc w:val="right"/>
              <w:spacing w:after="0"/>
              <w:rPr>
                <w:sz w:val="20"/>
                <w:szCs w:val="20"/>
                <w:color w:val="auto"/>
              </w:rPr>
            </w:pPr>
            <w:r>
              <w:rPr>
                <w:rFonts w:ascii="Arial" w:cs="Arial" w:eastAsia="Arial" w:hAnsi="Arial"/>
                <w:sz w:val="12"/>
                <w:szCs w:val="12"/>
                <w:color w:val="auto"/>
              </w:rPr>
              <w:t>40,000(4)</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tcPr>
          <w:p>
            <w:pPr>
              <w:jc w:val="right"/>
              <w:spacing w:after="0"/>
              <w:rPr>
                <w:sz w:val="20"/>
                <w:szCs w:val="20"/>
                <w:color w:val="auto"/>
              </w:rPr>
            </w:pPr>
            <w:r>
              <w:rPr>
                <w:rFonts w:ascii="Arial" w:cs="Arial" w:eastAsia="Arial" w:hAnsi="Arial"/>
                <w:sz w:val="12"/>
                <w:szCs w:val="12"/>
                <w:color w:val="auto"/>
              </w:rPr>
              <w:t>574,778</w:t>
            </w:r>
          </w:p>
        </w:tc>
        <w:tc>
          <w:tcPr>
            <w:tcW w:w="14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326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Medical Officer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8"/>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290,000</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92,266</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85,000</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470,666</w:t>
            </w:r>
          </w:p>
        </w:tc>
        <w:tc>
          <w:tcPr>
            <w:tcW w:w="140" w:type="dxa"/>
            <w:vAlign w:val="bottom"/>
            <w:shd w:val="clear" w:color="auto" w:fill="CCEEFF"/>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Chief Scientific Officer</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275,000</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90,101</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80,000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448,501</w:t>
            </w: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260" w:hanging="463"/>
        <w:spacing w:after="0" w:line="238" w:lineRule="auto"/>
        <w:tabs>
          <w:tab w:leader="none" w:pos="160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computed in accordance with ASC Topic 718, excluding the effect of estimated forfeitures. For a description of the assumptions used in valuing these awards, see Note 11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amounts earned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Amounts for 2015 represent our company's matching contributions to 401(k) plan accounts.</w:t>
      </w:r>
    </w:p>
    <w:p>
      <w:pPr>
        <w:spacing w:after="0" w:line="105" w:lineRule="exact"/>
        <w:rPr>
          <w:rFonts w:ascii="Arial" w:cs="Arial" w:eastAsia="Arial" w:hAnsi="Arial"/>
          <w:sz w:val="12"/>
          <w:szCs w:val="12"/>
          <w:color w:val="auto"/>
        </w:rPr>
      </w:pPr>
    </w:p>
    <w:p>
      <w:pPr>
        <w:ind w:left="1607" w:hanging="463"/>
        <w:spacing w:after="0"/>
        <w:tabs>
          <w:tab w:leader="none" w:pos="1607"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Dr. Sands commenced employment with us in July 2015 and amounts shown reflect his partial year of employment with our company.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set at levels deemed necessary to attract and retain individuals with superior talent and were originally established in each named executive officer's employment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early 2015, the compensation committee of our board of directors, or the Compensation Committee, approved an increase in Dr. Kishimoto's annual base salary from $275,000 to</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5"/>
          <w:szCs w:val="15"/>
          <w:color w:val="auto"/>
        </w:rPr>
        <w:t>$290,000, effective January 1, 2015. Dr. Sands commenced employment with us in July 2015 and, pursuant to the terms of his employment agreement, was entitled to an initial annual base salary of $280,000. Dr. Cautreels did not receive a base salary increase in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base salaries for 2015 were $400,000 for Dr. Cautreels, $280,000 for Dr. Sands and $290,000 for Dr. Kishimoto.</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2015 target bonus percentage for our named executive officers was 25% of their respective base salaries. Dr. Sands' 2015 cash bonus was pro-rated for his partial year of employment with our company.</w:t>
      </w:r>
    </w:p>
    <w:p>
      <w:pPr>
        <w:spacing w:after="0" w:line="159" w:lineRule="exact"/>
        <w:rPr>
          <w:sz w:val="20"/>
          <w:szCs w:val="20"/>
          <w:color w:val="auto"/>
        </w:rPr>
      </w:pPr>
    </w:p>
    <w:p>
      <w:pPr>
        <w:ind w:right="26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2015 company performance goals were based on attaining financing and business development milestones and the expansion of our business portfolio.</w:t>
      </w:r>
    </w:p>
    <w:p>
      <w:pPr>
        <w:spacing w:after="0" w:line="12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actual cash bonuses earned by our named executive officers for 2015 are reported under the "Non-equity incentive award" column of the 2015 and 2014 Summary Compensation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and generally permit "early exercise" of any unvested portion in exchange for shares of restricted stock subject to the same vesting schedule as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2015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Earl Sands, M.D.</w:t>
            </w:r>
          </w:p>
        </w:tc>
        <w:tc>
          <w:tcPr>
            <w:tcW w:w="4120" w:type="dxa"/>
            <w:vAlign w:val="bottom"/>
          </w:tcPr>
          <w:p>
            <w:pPr>
              <w:jc w:val="right"/>
              <w:spacing w:after="0"/>
              <w:rPr>
                <w:sz w:val="20"/>
                <w:szCs w:val="20"/>
                <w:color w:val="auto"/>
              </w:rPr>
            </w:pPr>
            <w:r>
              <w:rPr>
                <w:rFonts w:ascii="Arial" w:cs="Arial" w:eastAsia="Arial" w:hAnsi="Arial"/>
                <w:sz w:val="15"/>
                <w:szCs w:val="15"/>
                <w:color w:val="auto"/>
              </w:rPr>
              <w:t>400,000</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connection with this offering, we intend to adopt a 2016 Incentive Award Plan, or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will not make any further grants under our 2008 Plan. However, the 2008 Plan will continue to govern the terms and conditions of the outstanding awards granted under it. For additional information about the 2016 Plan, please see the section titled "2016 Incentive Award Plan" below.</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460"/>
        <w:spacing w:after="0" w:line="362" w:lineRule="auto"/>
        <w:rPr>
          <w:sz w:val="20"/>
          <w:szCs w:val="20"/>
          <w:color w:val="auto"/>
        </w:rPr>
      </w:pPr>
      <w:r>
        <w:rPr>
          <w:rFonts w:ascii="Arial" w:cs="Arial" w:eastAsia="Arial" w:hAnsi="Arial"/>
          <w:sz w:val="13"/>
          <w:szCs w:val="13"/>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10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2015 FISCAL YEAR-END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41"/>
              <w:spacing w:after="0" w:line="121"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w w:val="99"/>
              </w:rPr>
              <w:t>securities</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unexercised</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options (#)</w:t>
            </w:r>
          </w:p>
        </w:tc>
        <w:tc>
          <w:tcPr>
            <w:tcW w:w="720" w:type="dxa"/>
            <w:vAlign w:val="bottom"/>
          </w:tcPr>
          <w:p>
            <w:pPr>
              <w:jc w:val="center"/>
              <w:ind w:right="1"/>
              <w:spacing w:after="0"/>
              <w:rPr>
                <w:sz w:val="20"/>
                <w:szCs w:val="20"/>
                <w:color w:val="auto"/>
              </w:rPr>
            </w:pPr>
            <w:r>
              <w:rPr>
                <w:rFonts w:ascii="Arial" w:cs="Arial" w:eastAsia="Arial" w:hAnsi="Arial"/>
                <w:sz w:val="12"/>
                <w:szCs w:val="12"/>
                <w:b w:val="1"/>
                <w:bCs w:val="1"/>
                <w:color w:val="auto"/>
              </w:rPr>
              <w:t>exercise</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49"/>
        </w:trPr>
        <w:tc>
          <w:tcPr>
            <w:tcW w:w="27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61"/>
              <w:spacing w:after="0"/>
              <w:rPr>
                <w:sz w:val="20"/>
                <w:szCs w:val="20"/>
                <w:color w:val="auto"/>
              </w:rPr>
            </w:pPr>
            <w:r>
              <w:rPr>
                <w:rFonts w:ascii="Arial" w:cs="Arial" w:eastAsia="Arial" w:hAnsi="Arial"/>
                <w:sz w:val="12"/>
                <w:szCs w:val="12"/>
                <w:b w:val="1"/>
                <w:bCs w:val="1"/>
                <w:color w:val="auto"/>
              </w:rPr>
              <w:t>unexercisable</w:t>
            </w:r>
          </w:p>
        </w:tc>
        <w:tc>
          <w:tcPr>
            <w:tcW w:w="720" w:type="dxa"/>
            <w:vAlign w:val="bottom"/>
          </w:tcPr>
          <w:p>
            <w:pPr>
              <w:jc w:val="center"/>
              <w:ind w:right="2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11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12/04/2015</w:t>
            </w:r>
          </w:p>
        </w:tc>
        <w:tc>
          <w:tcPr>
            <w:tcW w:w="11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480,000(2)</w:t>
            </w:r>
          </w:p>
        </w:tc>
        <w:tc>
          <w:tcPr>
            <w:tcW w:w="960" w:type="dxa"/>
            <w:vAlign w:val="bottom"/>
            <w:shd w:val="clear" w:color="auto" w:fill="CCEEFF"/>
          </w:tcPr>
          <w:p>
            <w:pPr>
              <w:ind w:left="760"/>
              <w:spacing w:after="0" w:line="119"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line="119" w:lineRule="exact"/>
              <w:rPr>
                <w:sz w:val="20"/>
                <w:szCs w:val="20"/>
                <w:color w:val="auto"/>
              </w:rPr>
            </w:pPr>
            <w:r>
              <w:rPr>
                <w:rFonts w:ascii="Arial" w:cs="Arial" w:eastAsia="Arial" w:hAnsi="Arial"/>
                <w:sz w:val="12"/>
                <w:szCs w:val="12"/>
                <w:color w:val="auto"/>
              </w:rPr>
              <w:t>1.64</w:t>
            </w: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12/04/2025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64,791(2)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22,994(4)</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0.88</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76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9/8/2015</w:t>
            </w:r>
          </w:p>
        </w:tc>
        <w:tc>
          <w:tcPr>
            <w:tcW w:w="1140" w:type="dxa"/>
            <w:vAlign w:val="bottom"/>
          </w:tcPr>
          <w:p>
            <w:pPr>
              <w:jc w:val="right"/>
              <w:spacing w:after="0"/>
              <w:rPr>
                <w:sz w:val="20"/>
                <w:szCs w:val="20"/>
                <w:color w:val="auto"/>
              </w:rPr>
            </w:pPr>
            <w:r>
              <w:rPr>
                <w:rFonts w:ascii="Arial" w:cs="Arial" w:eastAsia="Arial" w:hAnsi="Arial"/>
                <w:sz w:val="12"/>
                <w:szCs w:val="12"/>
                <w:color w:val="auto"/>
              </w:rPr>
              <w:t>400,000(2)</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1"/>
              <w:spacing w:after="0"/>
              <w:rPr>
                <w:sz w:val="20"/>
                <w:szCs w:val="20"/>
                <w:color w:val="auto"/>
              </w:rPr>
            </w:pPr>
            <w:r>
              <w:rPr>
                <w:rFonts w:ascii="Arial" w:cs="Arial" w:eastAsia="Arial" w:hAnsi="Arial"/>
                <w:sz w:val="12"/>
                <w:szCs w:val="12"/>
                <w:color w:val="auto"/>
              </w:rPr>
              <w:t>2.40</w:t>
            </w:r>
          </w:p>
        </w:tc>
        <w:tc>
          <w:tcPr>
            <w:tcW w:w="740" w:type="dxa"/>
            <w:vAlign w:val="bottom"/>
          </w:tcPr>
          <w:p>
            <w:pPr>
              <w:jc w:val="right"/>
              <w:spacing w:after="0"/>
              <w:rPr>
                <w:sz w:val="20"/>
                <w:szCs w:val="20"/>
                <w:color w:val="auto"/>
              </w:rPr>
            </w:pPr>
            <w:r>
              <w:rPr>
                <w:rFonts w:ascii="Arial" w:cs="Arial" w:eastAsia="Arial" w:hAnsi="Arial"/>
                <w:sz w:val="12"/>
                <w:szCs w:val="12"/>
                <w:color w:val="auto"/>
              </w:rPr>
              <w:t>9/8/2025</w:t>
            </w:r>
          </w:p>
        </w:tc>
        <w:tc>
          <w:tcPr>
            <w:tcW w:w="140" w:type="dxa"/>
            <w:vAlign w:val="bottom"/>
          </w:tcPr>
          <w:p>
            <w:pPr>
              <w:spacing w:after="0"/>
              <w:rPr>
                <w:sz w:val="24"/>
                <w:szCs w:val="24"/>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2/21/2025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25,000(2)</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7/11/2011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333" w:lineRule="auto"/>
        <w:tabs>
          <w:tab w:leader="none" w:pos="160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40" w:hanging="463"/>
        <w:spacing w:after="0" w:line="278" w:lineRule="auto"/>
        <w:tabs>
          <w:tab w:leader="none" w:pos="1600" w:val="left"/>
        </w:tabs>
        <w:numPr>
          <w:ilvl w:val="0"/>
          <w:numId w:val="104"/>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2015, (i) for Dr. Cautreels, all shares underlying the option with a December 4, 2015 vesting commencement date were unvested, 117,188 shares underlying the option with a January 1, 2014 vesting commencement date were unvested, and 16,198 shares underlying the option with a January 1, 2013 vesting commencement date were unvested; (ii) for Dr. Sands, 400,000 shares underlying the option with a September 8, 2015 vesting commencement date were unvested; and (iii) for Dr. Kishimoto, 50,000 shares underlying the option with a January 1, 2015 vesting commencement date were unvested, 26,042 shares underlying the option with a January 1, 2014 vesting commencement date were unvested, and 6,771 shares underlying the option with a January 1, 2013 vesting commencement date were unvested.</w:t>
      </w:r>
    </w:p>
    <w:p>
      <w:pPr>
        <w:spacing w:after="0" w:line="208" w:lineRule="exact"/>
        <w:rPr>
          <w:rFonts w:ascii="Arial" w:cs="Arial" w:eastAsia="Arial" w:hAnsi="Arial"/>
          <w:sz w:val="10"/>
          <w:szCs w:val="10"/>
          <w:color w:val="auto"/>
        </w:rPr>
      </w:pPr>
    </w:p>
    <w:p>
      <w:pPr>
        <w:ind w:left="1600" w:hanging="463"/>
        <w:spacing w:after="0"/>
        <w:tabs>
          <w:tab w:leader="none" w:pos="16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60" w:hanging="463"/>
        <w:spacing w:after="0" w:line="233" w:lineRule="auto"/>
        <w:tabs>
          <w:tab w:leader="none" w:pos="160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employment agreements with each of our named executive officers. Certain key terms of these agreements and letters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Dr. Kishimoto and Dr. Sands</w:t>
      </w:r>
    </w:p>
    <w:p>
      <w:pPr>
        <w:spacing w:after="0" w:line="195" w:lineRule="exact"/>
        <w:rPr>
          <w:sz w:val="20"/>
          <w:szCs w:val="20"/>
          <w:color w:val="auto"/>
        </w:rPr>
      </w:pPr>
    </w:p>
    <w:p>
      <w:pPr>
        <w:ind w:right="680"/>
        <w:spacing w:after="0" w:line="282" w:lineRule="auto"/>
        <w:rPr>
          <w:sz w:val="20"/>
          <w:szCs w:val="20"/>
          <w:color w:val="auto"/>
        </w:rPr>
      </w:pPr>
      <w:r>
        <w:rPr>
          <w:rFonts w:ascii="Arial" w:cs="Arial" w:eastAsia="Arial" w:hAnsi="Arial"/>
          <w:sz w:val="15"/>
          <w:szCs w:val="15"/>
          <w:color w:val="auto"/>
        </w:rPr>
        <w:t>We entered into an employment agreement with Dr. Cautreels in July 2010, with Dr. Kishimoto in June 2011 and with Dr. Sands in July 2015. The employment agreements are for unspecified terms and entitle Dr. Cautreels, Dr. Kishimoto and Dr. Sands to annual target bonus opportunities of 25%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their respective annual base salaries. Their current base salaries are discussed in more detail above in the section titled "Base salaries."</w:t>
      </w:r>
    </w:p>
    <w:p>
      <w:pPr>
        <w:spacing w:after="0" w:line="198" w:lineRule="exact"/>
        <w:rPr>
          <w:sz w:val="20"/>
          <w:szCs w:val="20"/>
          <w:color w:val="auto"/>
        </w:rPr>
      </w:pPr>
    </w:p>
    <w:p>
      <w:pPr>
        <w:jc w:val="both"/>
        <w:ind w:right="100"/>
        <w:spacing w:after="0" w:line="300" w:lineRule="auto"/>
        <w:rPr>
          <w:sz w:val="20"/>
          <w:szCs w:val="20"/>
          <w:color w:val="auto"/>
        </w:rPr>
      </w:pPr>
      <w:r>
        <w:rPr>
          <w:rFonts w:ascii="Arial" w:cs="Arial" w:eastAsia="Arial" w:hAnsi="Arial"/>
          <w:sz w:val="13"/>
          <w:szCs w:val="13"/>
          <w:color w:val="auto"/>
        </w:rPr>
        <w:t>In the event either of Dr. Cautreels, Dr. Kishimoto or Dr. Sands is terminated by us without "cause" or he resigns for "good reason," subject to his timely executing a release of claims in our favor, he is entitled to receive base salary continuation for a period of 9 months for Dr. Cautreels or 6 months for Dr. Kishimoto and Dr. Sands, payment of all bonuses earned but unpaid as of the date of termination and continued health coverage for a period of 9 months for Dr. Cautreels or 6 months for Dr. Kishimoto and Dr. Sands. If, however, any of Dr. Cautreels,</w:t>
      </w:r>
    </w:p>
    <w:p>
      <w:pPr>
        <w:jc w:val="both"/>
        <w:ind w:right="80"/>
        <w:spacing w:after="0" w:line="266" w:lineRule="auto"/>
        <w:rPr>
          <w:sz w:val="20"/>
          <w:szCs w:val="20"/>
          <w:color w:val="auto"/>
        </w:rPr>
      </w:pPr>
      <w:r>
        <w:rPr>
          <w:rFonts w:ascii="Arial" w:cs="Arial" w:eastAsia="Arial" w:hAnsi="Arial"/>
          <w:sz w:val="15"/>
          <w:szCs w:val="15"/>
          <w:color w:val="auto"/>
        </w:rPr>
        <w:t>Dr. Kishimoto or Dr. Sands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3"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Dr. Kishimoto and Dr. Sands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5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For purposes of the employment agreements, "cause" generally means Dr. Cautreels', Dr. Kishimoto's or Dr. Sands'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For purposes of the employment agreements, "good reason" generally means, subject to certain cure rights, Dr. Cautreels', Dr. Kishimoto's or Dr. Sands' termination of his employment due to the company's breach of any one or more of the material provisions of the employment agreement, a material reduction by the company of his responsibilities or base salary, or, with respect to Dr. Cautreels and Dr. Kishimoto only, a relocation by the company of his place of employment by more than 40 miles.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agreements governing the named executive officers' unvested stock options provide for full accelerated vesting if the named executive officers' employment is terminated by us without cause or if they resign for good reason, in either case, within 12 months following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LONG-TERM INCENTIVE PLANS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the material terms of the long-term incentive plans in which our employees, including the named executive officers,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1" w:name="page172"/>
    <w:bookmarkEnd w:id="17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2016 Incentive Award Plan</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intend to adopt and ask our stockholders to approve the 2016 Incentive Award Plan, or the 2016 Plan, under which we may grant cash and equity-based incentive awards to eligible service providers in order to attract, retain and motivate the persons who make important contributions to our company. The material terms of the 2016 Plan are summarized below.</w:t>
      </w:r>
    </w:p>
    <w:p>
      <w:pPr>
        <w:spacing w:after="0" w:line="159" w:lineRule="exact"/>
        <w:rPr>
          <w:sz w:val="20"/>
          <w:szCs w:val="20"/>
          <w:color w:val="auto"/>
        </w:rPr>
      </w:pPr>
    </w:p>
    <w:p>
      <w:pPr>
        <w:ind w:left="7" w:right="180"/>
        <w:spacing w:after="0" w:line="261"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2016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will be administered by our board of directors, which may delegate its duties and responsibilities to one or more committees of our directors and/or officers (referred to collectively as the plan administrator below), subject to the limitations imposed under the 2016 Plan, Section 16 of the Exchange Act, stock exchange rules and other applicable laws. The plan administrator will have the authority to take all actions and make all determinations under the 2016 Plan, to interpret the 2016 Plan and award agreements and to adopt, amend and repeal rules for the administration of the 2016 Plan as it deems advisable. The plan administrator will also have the authority to determine which eligible service providers receive awards, grant awards and set the terms and conditions of all awards under the 2016 Plan, including any vesting and vesting acceleration provisions, subject to the conditions and limitations in the 2016 Plan.</w:t>
      </w:r>
    </w:p>
    <w:p>
      <w:pPr>
        <w:spacing w:after="0" w:line="169" w:lineRule="exact"/>
        <w:rPr>
          <w:sz w:val="20"/>
          <w:szCs w:val="20"/>
          <w:color w:val="auto"/>
        </w:rPr>
      </w:pPr>
    </w:p>
    <w:p>
      <w:pPr>
        <w:ind w:left="7" w:right="120"/>
        <w:spacing w:after="0" w:line="261"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shares of our common stock will initially be available for issuance under the 2016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and ending in and including , equal to the least of</w:t>
      </w:r>
    </w:p>
    <w:p>
      <w:pPr>
        <w:ind w:left="1007" w:hanging="1007"/>
        <w:spacing w:after="0"/>
        <w:tabs>
          <w:tab w:leader="none" w:pos="100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 (B)</w:t>
      </w:r>
      <w:r>
        <w:rPr>
          <w:rFonts w:ascii="Arial" w:cs="Arial" w:eastAsia="Arial" w:hAnsi="Arial"/>
          <w:sz w:val="13"/>
          <w:szCs w:val="13"/>
          <w:color w:val="auto"/>
        </w:rPr>
        <w:t>% of the shares of common stock outstanding on the final day of the immediately preceding calendar year and (C) a smaller number of shares determined by our</w:t>
      </w:r>
    </w:p>
    <w:p>
      <w:pPr>
        <w:spacing w:after="0" w:line="13" w:lineRule="exact"/>
        <w:rPr>
          <w:sz w:val="20"/>
          <w:szCs w:val="20"/>
          <w:color w:val="auto"/>
        </w:rPr>
      </w:pPr>
    </w:p>
    <w:p>
      <w:pPr>
        <w:ind w:left="7" w:right="20"/>
        <w:spacing w:after="0" w:line="275" w:lineRule="auto"/>
        <w:rPr>
          <w:sz w:val="20"/>
          <w:szCs w:val="20"/>
          <w:color w:val="auto"/>
        </w:rPr>
      </w:pPr>
      <w:r>
        <w:rPr>
          <w:rFonts w:ascii="Arial" w:cs="Arial" w:eastAsia="Arial" w:hAnsi="Arial"/>
          <w:sz w:val="15"/>
          <w:szCs w:val="15"/>
          <w:color w:val="auto"/>
        </w:rPr>
        <w:t>board of directors. No more than shares of common stock may be issued under the 2016 Plan upon the exercise of incentive stock options. Shares issued under the 2016 Plan may be authorized but unissued shares, shares purchased on the open market or treasury shares.</w:t>
      </w:r>
    </w:p>
    <w:p>
      <w:pPr>
        <w:spacing w:after="0" w:line="156" w:lineRule="exact"/>
        <w:rPr>
          <w:sz w:val="20"/>
          <w:szCs w:val="20"/>
          <w:color w:val="auto"/>
        </w:rPr>
      </w:pPr>
    </w:p>
    <w:p>
      <w:pPr>
        <w:ind w:left="7" w:right="180"/>
        <w:spacing w:after="0" w:line="319" w:lineRule="auto"/>
        <w:rPr>
          <w:sz w:val="20"/>
          <w:szCs w:val="20"/>
          <w:color w:val="auto"/>
        </w:rPr>
      </w:pPr>
      <w:r>
        <w:rPr>
          <w:rFonts w:ascii="Arial" w:cs="Arial" w:eastAsia="Arial" w:hAnsi="Arial"/>
          <w:sz w:val="13"/>
          <w:szCs w:val="13"/>
          <w:color w:val="auto"/>
        </w:rPr>
        <w:t>If an award under the 2016 Plan or the 2008 Plan expires, lapses or is terminated, exchanged for cash, surrendered, repurchased, canceled without having been fully exercised or forfeited, any unused shares subject to the award will, as applicable, become or again be available for new grants under the 2016 Plan. Awards granted under the 2016 Plan in substitution for any options or other stock or stock-based awards granted by an entity before the entity's merger or consolidation with us or our acquisition of the entity's property or stock will not reduce the shares available for grant under the 2016 Plan, but will count against the maximum number of shares that may be issued upon the exercise of incentive stock options.</w:t>
      </w:r>
    </w:p>
    <w:p>
      <w:pPr>
        <w:spacing w:after="0" w:line="132"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addition, the maximum aggregate grant date fair value as determined in accordance with FASB ASC Topic 718 (or any successor thereto), of awards granted to any non-employee director</w:t>
      </w:r>
    </w:p>
    <w:p>
      <w:pPr>
        <w:spacing w:after="0" w:line="41" w:lineRule="exact"/>
        <w:rPr>
          <w:sz w:val="20"/>
          <w:szCs w:val="20"/>
          <w:color w:val="auto"/>
        </w:rPr>
      </w:pPr>
    </w:p>
    <w:p>
      <w:pPr>
        <w:ind w:left="7" w:right="200"/>
        <w:spacing w:after="0" w:line="275" w:lineRule="auto"/>
        <w:rPr>
          <w:sz w:val="20"/>
          <w:szCs w:val="20"/>
          <w:color w:val="auto"/>
        </w:rPr>
      </w:pPr>
      <w:r>
        <w:rPr>
          <w:rFonts w:ascii="Arial" w:cs="Arial" w:eastAsia="Arial" w:hAnsi="Arial"/>
          <w:sz w:val="15"/>
          <w:szCs w:val="15"/>
          <w:color w:val="auto"/>
        </w:rPr>
        <w:t>for services as a director pursuant to the 2016 Plan during any fiscal year may not exceed $ (or, in the fiscal year of any director's initial service, $ ). The plan administrator may, however, make exceptions to such limit on director compensation in extraordinary circumstances, subject to the limitations in the 2016 Plan.</w:t>
      </w:r>
    </w:p>
    <w:p>
      <w:pPr>
        <w:spacing w:after="0" w:line="156"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i w:val="1"/>
          <w:iCs w:val="1"/>
          <w:color w:val="auto"/>
        </w:rPr>
        <w:t xml:space="preserve">Awards. </w:t>
      </w:r>
      <w:r>
        <w:rPr>
          <w:rFonts w:ascii="Arial" w:cs="Arial" w:eastAsia="Arial" w:hAnsi="Arial"/>
          <w:sz w:val="15"/>
          <w:szCs w:val="15"/>
          <w:color w:val="auto"/>
        </w:rPr>
        <w:t>The 2016 Plan provides for the grant of stock options, including incentive stock options, or ISOs, and nonqualified stock options, or NSOs, stock appreciation rights, or SARs,</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dividend equivalents, restricted stock units, or RSUs, and other stock or cash based awards. Certain awards under the 2016 Plan may constitute or provide for payment of "nonqualified deferred compensation" under Section 409A of the Code. All awards under the 2016 Plan will be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72" w:name="page173"/>
    <w:bookmarkEnd w:id="17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award agreements, which will detail the terms and conditions of awards, including any applicable vesting and payment terms and post-termination exercise limitations. A brief description of each award type follows.</w:t>
      </w:r>
    </w:p>
    <w:p>
      <w:pPr>
        <w:spacing w:after="0" w:line="162" w:lineRule="exact"/>
        <w:rPr>
          <w:sz w:val="20"/>
          <w:szCs w:val="20"/>
          <w:color w:val="auto"/>
        </w:rPr>
      </w:pPr>
    </w:p>
    <w:p>
      <w:pPr>
        <w:ind w:left="467" w:right="60" w:hanging="467"/>
        <w:spacing w:after="0" w:line="299" w:lineRule="auto"/>
        <w:tabs>
          <w:tab w:leader="none" w:pos="467"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1" w:lineRule="exact"/>
        <w:rPr>
          <w:sz w:val="20"/>
          <w:szCs w:val="20"/>
          <w:color w:val="auto"/>
        </w:rPr>
      </w:pPr>
    </w:p>
    <w:p>
      <w:pPr>
        <w:ind w:left="467" w:right="20"/>
        <w:spacing w:after="0" w:line="297"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 common</w:t>
      </w:r>
    </w:p>
    <w:p>
      <w:pPr>
        <w:spacing w:after="0" w:line="1" w:lineRule="exact"/>
        <w:rPr>
          <w:sz w:val="20"/>
          <w:szCs w:val="20"/>
          <w:color w:val="auto"/>
        </w:rPr>
      </w:pPr>
    </w:p>
    <w:p>
      <w:pPr>
        <w:ind w:left="467"/>
        <w:spacing w:after="0"/>
        <w:tabs>
          <w:tab w:leader="none" w:pos="9607" w:val="left"/>
        </w:tabs>
        <w:rPr>
          <w:sz w:val="20"/>
          <w:szCs w:val="20"/>
          <w:color w:val="auto"/>
        </w:rPr>
      </w:pPr>
      <w:r>
        <w:rPr>
          <w:rFonts w:ascii="Arial" w:cs="Arial" w:eastAsia="Arial" w:hAnsi="Arial"/>
          <w:sz w:val="15"/>
          <w:szCs w:val="15"/>
          <w:color w:val="auto"/>
        </w:rPr>
        <w:t>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6" w:lineRule="exact"/>
        <w:rPr>
          <w:sz w:val="20"/>
          <w:szCs w:val="20"/>
          <w:color w:val="auto"/>
        </w:rPr>
      </w:pPr>
    </w:p>
    <w:p>
      <w:pPr>
        <w:ind w:left="467" w:right="60" w:hanging="467"/>
        <w:spacing w:after="0" w:line="313" w:lineRule="auto"/>
        <w:tabs>
          <w:tab w:leader="none" w:pos="467"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2016 Plan.</w:t>
      </w:r>
    </w:p>
    <w:p>
      <w:pPr>
        <w:spacing w:after="0" w:line="148" w:lineRule="exact"/>
        <w:rPr>
          <w:rFonts w:ascii="Arial" w:cs="Arial" w:eastAsia="Arial" w:hAnsi="Arial"/>
          <w:sz w:val="13"/>
          <w:szCs w:val="13"/>
          <w:color w:val="auto"/>
        </w:rPr>
      </w:pPr>
    </w:p>
    <w:p>
      <w:pPr>
        <w:ind w:left="467" w:right="160" w:hanging="467"/>
        <w:spacing w:after="0" w:line="319" w:lineRule="auto"/>
        <w:tabs>
          <w:tab w:leader="none" w:pos="467"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2" w:lineRule="exact"/>
        <w:rPr>
          <w:sz w:val="20"/>
          <w:szCs w:val="20"/>
          <w:color w:val="auto"/>
        </w:rPr>
      </w:pPr>
    </w:p>
    <w:p>
      <w:pPr>
        <w:ind w:left="7" w:right="100"/>
        <w:spacing w:after="0" w:line="310" w:lineRule="auto"/>
        <w:rPr>
          <w:sz w:val="20"/>
          <w:szCs w:val="20"/>
          <w:color w:val="auto"/>
        </w:rPr>
      </w:pPr>
      <w:r>
        <w:rPr>
          <w:rFonts w:ascii="Arial" w:cs="Arial" w:eastAsia="Arial" w:hAnsi="Arial"/>
          <w:sz w:val="13"/>
          <w:szCs w:val="13"/>
          <w:i w:val="1"/>
          <w:iCs w:val="1"/>
          <w:color w:val="auto"/>
        </w:rPr>
        <w:t xml:space="preserve">Performance criteria. </w:t>
      </w:r>
      <w:r>
        <w:rPr>
          <w:rFonts w:ascii="Arial" w:cs="Arial" w:eastAsia="Arial" w:hAnsi="Arial"/>
          <w:sz w:val="13"/>
          <w:szCs w:val="13"/>
          <w:color w:val="auto"/>
        </w:rPr>
        <w:t>The plan administrator may select performance criteria for an award to establish performance goals for a performance period. Performance criteria under the 2016</w:t>
      </w:r>
      <w:r>
        <w:rPr>
          <w:rFonts w:ascii="Arial" w:cs="Arial" w:eastAsia="Arial" w:hAnsi="Arial"/>
          <w:sz w:val="13"/>
          <w:szCs w:val="13"/>
          <w:i w:val="1"/>
          <w:iCs w:val="1"/>
          <w:color w:val="auto"/>
        </w:rPr>
        <w:t xml:space="preserve"> </w:t>
      </w:r>
      <w:r>
        <w:rPr>
          <w:rFonts w:ascii="Arial" w:cs="Arial" w:eastAsia="Arial" w:hAnsi="Arial"/>
          <w:sz w:val="13"/>
          <w:szCs w:val="13"/>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3" w:name="page174"/>
    <w:bookmarkEnd w:id="17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58"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2016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2016 Plan and replacing or terminating awards under the 2016 Plan. In addition, in the event of certain non-reciprocal transactions with our stockholders, the plan administrator will make equitable adjustments to the 2016 Plan and outstanding awards as it deems appropriate to reflect the transaction.</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i w:val="1"/>
          <w:iCs w:val="1"/>
          <w:color w:val="auto"/>
        </w:rPr>
        <w:t xml:space="preserve">Plan amendment and termination. </w:t>
      </w:r>
      <w:r>
        <w:rPr>
          <w:rFonts w:ascii="Arial" w:cs="Arial" w:eastAsia="Arial" w:hAnsi="Arial"/>
          <w:sz w:val="15"/>
          <w:szCs w:val="15"/>
          <w:color w:val="auto"/>
        </w:rPr>
        <w:t>Our board of directors may amend or terminate the 2016 Plan at any time; however, no amendment, other than an amendment that increases the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available under the 2016 Plan, may materially and adversely affect an award outstanding under the 2016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2016 Plan will remain in effect until the tenth anniversary of its effective date, unless earlier terminated by our board of directors. No awards may be granted under the 2016 Plan after its termination.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 xml:space="preserve">Foreign participants, claw-back provisions, transferability and participant payments. </w:t>
      </w:r>
      <w:r>
        <w:rPr>
          <w:rFonts w:ascii="Arial" w:cs="Arial" w:eastAsia="Arial" w:hAnsi="Arial"/>
          <w:sz w:val="14"/>
          <w:szCs w:val="14"/>
          <w:color w:val="auto"/>
        </w:rPr>
        <w:t>The plan administrator may modify awards granted to participants who are foreign nationals or</w:t>
      </w:r>
      <w:r>
        <w:rPr>
          <w:rFonts w:ascii="Arial" w:cs="Arial" w:eastAsia="Arial" w:hAnsi="Arial"/>
          <w:sz w:val="14"/>
          <w:szCs w:val="14"/>
          <w:i w:val="1"/>
          <w:iCs w:val="1"/>
          <w:color w:val="auto"/>
        </w:rPr>
        <w:t xml:space="preserve"> </w:t>
      </w:r>
      <w:r>
        <w:rPr>
          <w:rFonts w:ascii="Arial" w:cs="Arial" w:eastAsia="Arial" w:hAnsi="Arial"/>
          <w:sz w:val="14"/>
          <w:szCs w:val="14"/>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2016 Plan are generally non-transferrable, except by will or the laws of descent and distribution, or,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the plan administrator's consent, pursuant to a domestic relations order, and are generally exercisable only by the participant. With regard to tax withholding obligations arising in connection with awards under the 2016 Plan, and exercise price obligations arising in connection with the exercise of stock options under the 2016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right="500"/>
        <w:spacing w:after="0" w:line="362" w:lineRule="auto"/>
        <w:rPr>
          <w:sz w:val="20"/>
          <w:szCs w:val="20"/>
          <w:color w:val="auto"/>
        </w:rPr>
      </w:pPr>
      <w:r>
        <w:rPr>
          <w:rFonts w:ascii="Arial" w:cs="Arial" w:eastAsia="Arial" w:hAnsi="Arial"/>
          <w:sz w:val="13"/>
          <w:szCs w:val="13"/>
          <w:color w:val="auto"/>
        </w:rPr>
        <w:t>Our board of directors and stockholders have approved the 2008 Plan, under which we may grant stock options and restricted stock awards to employees, directors and consultants or advisors of our company or its affiliates. We had reserved a total of 8,282,309 shares of our common stock for issuance under the 2008 Plan as of December 31, 2015.</w:t>
      </w:r>
    </w:p>
    <w:p>
      <w:pPr>
        <w:spacing w:after="0" w:line="105" w:lineRule="exact"/>
        <w:rPr>
          <w:sz w:val="20"/>
          <w:szCs w:val="20"/>
          <w:color w:val="auto"/>
        </w:rPr>
      </w:pPr>
    </w:p>
    <w:p>
      <w:pPr>
        <w:ind w:right="420"/>
        <w:spacing w:after="0" w:line="297" w:lineRule="auto"/>
        <w:rPr>
          <w:sz w:val="20"/>
          <w:szCs w:val="20"/>
          <w:color w:val="auto"/>
        </w:rPr>
      </w:pPr>
      <w:r>
        <w:rPr>
          <w:rFonts w:ascii="Arial" w:cs="Arial" w:eastAsia="Arial" w:hAnsi="Arial"/>
          <w:sz w:val="14"/>
          <w:szCs w:val="14"/>
          <w:color w:val="auto"/>
        </w:rPr>
        <w:t>Following the effectiveness of the 2016 Plan, we will not make any further grants under the 2008 Plan. However, the 2008 Plan will continue to govern the terms and conditions of the outstanding awards granted under it. Shares of our common stock subject to awards granted under the 2008 Plan that are forfeited, lapse unexercised or are settled in cash and which following the effective date of the 2016 Plan are not issued under the 2008 Plan will be available for issuance under the 2016 Plan.</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administers the 2008 Plan and has the authority to issue awards under the 2008 Plan, to interpret the 2008 Plan and awards outstanding thereunder,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14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59"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With respect to shares of restricted stock, any securities, cash or other property received in exchange for such shares shall continue to be governed by the provisions of any restricted stock agreement pursuant to which they were issued.</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59"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Other than as set forth in the table below with respect to amounts earned under consulting agreements with certain directors, our non-employee directors did not receive any compensation for their service on our board of directors during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DIRECTOR COMPENSATION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George Siber, M.D.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36,000</w:t>
            </w:r>
          </w:p>
        </w:tc>
        <w:tc>
          <w:tcPr>
            <w:tcW w:w="680" w:type="dxa"/>
            <w:vAlign w:val="bottom"/>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Yurii Udaltsov, Cand. Sc.(2)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0" w:right="380" w:hanging="463"/>
        <w:spacing w:after="0" w:line="238" w:lineRule="auto"/>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compensation earned in 2015 under the consulting agreements with the company and, with respect to Dr. Farokhzad, an additional $72,000 pursuant to an unwritten arrangement. For additional information regarding these agreements, see "Certain relationships and related party transactions."</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6" w:name="page177"/>
    <w:bookmarkEnd w:id="17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The table below shows the aggregate number of option awards (exercisable and unexercisable) held by each non-employee director as of December 31, 2015. None of our non-employee directors held stock awards in our company as of that date.</w:t>
      </w:r>
    </w:p>
    <w:p>
      <w:pPr>
        <w:spacing w:after="0" w:line="148" w:lineRule="exact"/>
        <w:rPr>
          <w:sz w:val="20"/>
          <w:szCs w:val="20"/>
          <w:color w:val="auto"/>
        </w:rPr>
      </w:pPr>
    </w:p>
    <w:tbl>
      <w:tblPr>
        <w:tblLayout w:type="fixed"/>
        <w:tblInd w:w="1707" w:type="dxa"/>
        <w:tblCellMar>
          <w:top w:w="0" w:type="dxa"/>
          <w:left w:w="0" w:type="dxa"/>
          <w:bottom w:w="0" w:type="dxa"/>
          <w:right w:w="0" w:type="dxa"/>
        </w:tblCellMar>
      </w:tblPr>
      <w:tr>
        <w:trPr>
          <w:trHeight w:val="139"/>
        </w:trPr>
        <w:tc>
          <w:tcPr>
            <w:tcW w:w="4460" w:type="dxa"/>
            <w:vAlign w:val="bottom"/>
          </w:tcPr>
          <w:p>
            <w:pPr>
              <w:spacing w:after="0"/>
              <w:rPr>
                <w:sz w:val="12"/>
                <w:szCs w:val="12"/>
                <w:color w:val="auto"/>
              </w:rPr>
            </w:pPr>
          </w:p>
        </w:tc>
        <w:tc>
          <w:tcPr>
            <w:tcW w:w="3540" w:type="dxa"/>
            <w:vAlign w:val="bottom"/>
            <w:gridSpan w:val="2"/>
          </w:tcPr>
          <w:p>
            <w:pPr>
              <w:ind w:left="2180"/>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3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at fiscal year end</w:t>
            </w:r>
          </w:p>
        </w:tc>
        <w:tc>
          <w:tcPr>
            <w:tcW w:w="120" w:type="dxa"/>
            <w:vAlign w:val="bottom"/>
          </w:tcPr>
          <w:p>
            <w:pPr>
              <w:spacing w:after="0"/>
              <w:rPr>
                <w:sz w:val="12"/>
                <w:szCs w:val="12"/>
                <w:color w:val="auto"/>
              </w:rPr>
            </w:pPr>
          </w:p>
        </w:tc>
      </w:tr>
      <w:tr>
        <w:trPr>
          <w:trHeight w:val="177"/>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Omid Farokhzad, M.D.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241,461</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Carl Gordon, Ph.D.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Peter Barton Hutt J.D., L.L.B., L.L.M</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175,000</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Edwin M. Kania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Robert Langer, Sc.D.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286,462</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Amir Nashat, Sc.D.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Aymeric Sallin, M.S.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tcPr>
          <w:p>
            <w:pPr>
              <w:ind w:left="20"/>
              <w:spacing w:after="0"/>
              <w:rPr>
                <w:sz w:val="20"/>
                <w:szCs w:val="20"/>
                <w:color w:val="auto"/>
              </w:rPr>
            </w:pPr>
            <w:r>
              <w:rPr>
                <w:rFonts w:ascii="Arial" w:cs="Arial" w:eastAsia="Arial" w:hAnsi="Arial"/>
                <w:sz w:val="15"/>
                <w:szCs w:val="15"/>
                <w:color w:val="auto"/>
              </w:rPr>
              <w:t>George Siber, M.D.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123,140</w:t>
            </w:r>
          </w:p>
        </w:tc>
      </w:tr>
      <w:tr>
        <w:trPr>
          <w:trHeight w:val="185"/>
        </w:trPr>
        <w:tc>
          <w:tcPr>
            <w:tcW w:w="4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Yurii Udaltsov, Cand. Sc.</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178"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In connection with this offering, we expect to implement a compensation program for our non-employee directors under which each non-employee director will receive the following amounts for their services on our board of directors:</w:t>
      </w:r>
    </w:p>
    <w:p>
      <w:pPr>
        <w:sectPr>
          <w:pgSz w:w="11900" w:h="16838" w:orient="portrait"/>
          <w:cols w:equalWidth="0" w:num="1">
            <w:col w:w="11447"/>
          </w:cols>
          <w:pgMar w:left="233" w:top="132" w:right="219" w:bottom="1440" w:gutter="0" w:footer="0" w:header="0"/>
        </w:sectPr>
      </w:pPr>
    </w:p>
    <w:p>
      <w:pPr>
        <w:spacing w:after="0" w:line="151"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an option to purchase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offering,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upon the director's initial election or appointment to our board of directors that occurs after our initial public</w:t>
      </w:r>
    </w:p>
    <w:p>
      <w:pPr>
        <w:spacing w:after="0" w:line="406" w:lineRule="exact"/>
        <w:rPr>
          <w:sz w:val="20"/>
          <w:szCs w:val="20"/>
          <w:color w:val="auto"/>
        </w:rPr>
      </w:pPr>
    </w:p>
    <w:p>
      <w:pPr>
        <w:sectPr>
          <w:pgSz w:w="11900" w:h="16838" w:orient="portrait"/>
          <w:cols w:equalWidth="0" w:num="3">
            <w:col w:w="47" w:space="420"/>
            <w:col w:w="1580" w:space="720"/>
            <w:col w:w="8680"/>
          </w:cols>
          <w:pgMar w:left="233" w:top="132" w:right="21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common stock on the date of the annual meeting;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shares of our</w:t>
      </w:r>
    </w:p>
    <w:p>
      <w:pPr>
        <w:spacing w:after="0" w:line="406" w:lineRule="exact"/>
        <w:rPr>
          <w:sz w:val="20"/>
          <w:szCs w:val="20"/>
          <w:color w:val="auto"/>
        </w:rPr>
      </w:pPr>
    </w:p>
    <w:p>
      <w:pPr>
        <w:sectPr>
          <w:pgSz w:w="11900" w:h="16838" w:orient="portrait"/>
          <w:cols w:equalWidth="0" w:num="3">
            <w:col w:w="47" w:space="420"/>
            <w:col w:w="9160" w:space="720"/>
            <w:col w:w="1100"/>
          </w:cols>
          <w:pgMar w:left="233" w:top="132" w:right="219" w:bottom="1440" w:gutter="0" w:footer="0" w:header="0"/>
          <w:type w:val="continuous"/>
        </w:sectPr>
      </w:pPr>
    </w:p>
    <w:p>
      <w:pPr>
        <w:ind w:left="7"/>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 annual director fee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and</w:t>
      </w:r>
    </w:p>
    <w:p>
      <w:pPr>
        <w:spacing w:after="0" w:line="200" w:lineRule="exact"/>
        <w:rPr>
          <w:sz w:val="20"/>
          <w:szCs w:val="20"/>
          <w:color w:val="auto"/>
        </w:rPr>
      </w:pPr>
    </w:p>
    <w:p>
      <w:pPr>
        <w:sectPr>
          <w:pgSz w:w="11900" w:h="16838" w:orient="portrait"/>
          <w:cols w:equalWidth="0" w:num="3">
            <w:col w:w="47" w:space="420"/>
            <w:col w:w="1580" w:space="480"/>
            <w:col w:w="8920"/>
          </w:cols>
          <w:pgMar w:left="233" w:top="132" w:right="219" w:bottom="1440" w:gutter="0" w:footer="0" w:header="0"/>
          <w:type w:val="continuous"/>
        </w:sectPr>
      </w:pPr>
    </w:p>
    <w:p>
      <w:pPr>
        <w:spacing w:after="0" w:line="33" w:lineRule="exact"/>
        <w:rPr>
          <w:sz w:val="20"/>
          <w:szCs w:val="20"/>
          <w:color w:val="auto"/>
        </w:rPr>
      </w:pPr>
    </w:p>
    <w:p>
      <w:pPr>
        <w:ind w:left="467" w:hanging="467"/>
        <w:spacing w:after="0"/>
        <w:tabs>
          <w:tab w:leader="none" w:pos="46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383" w:lineRule="exact"/>
        <w:rPr>
          <w:sz w:val="20"/>
          <w:szCs w:val="20"/>
          <w:color w:val="auto"/>
        </w:rPr>
      </w:pPr>
    </w:p>
    <w:tbl>
      <w:tblPr>
        <w:tblLayout w:type="fixed"/>
        <w:tblInd w:w="927" w:type="dxa"/>
        <w:tblCellMar>
          <w:top w:w="0" w:type="dxa"/>
          <w:left w:w="0" w:type="dxa"/>
          <w:bottom w:w="0" w:type="dxa"/>
          <w:right w:w="0" w:type="dxa"/>
        </w:tblCellMar>
      </w:tblPr>
      <w:tr>
        <w:trPr>
          <w:trHeight w:val="213"/>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2560" w:type="dxa"/>
            <w:vAlign w:val="bottom"/>
          </w:tcPr>
          <w:p>
            <w:pPr>
              <w:ind w:left="200"/>
              <w:spacing w:after="0"/>
              <w:rPr>
                <w:sz w:val="20"/>
                <w:szCs w:val="20"/>
                <w:color w:val="auto"/>
              </w:rPr>
            </w:pPr>
            <w:r>
              <w:rPr>
                <w:rFonts w:ascii="Arial" w:cs="Arial" w:eastAsia="Arial" w:hAnsi="Arial"/>
                <w:sz w:val="15"/>
                <w:szCs w:val="15"/>
                <w:color w:val="auto"/>
              </w:rPr>
              <w:t>chairman of the audit committee, $</w:t>
            </w:r>
          </w:p>
        </w:tc>
        <w:tc>
          <w:tcPr>
            <w:tcW w:w="76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20" w:type="dxa"/>
            <w:vAlign w:val="bottom"/>
            <w:gridSpan w:val="2"/>
          </w:tcPr>
          <w:p>
            <w:pPr>
              <w:ind w:left="200"/>
              <w:spacing w:after="0"/>
              <w:rPr>
                <w:sz w:val="20"/>
                <w:szCs w:val="20"/>
                <w:color w:val="auto"/>
              </w:rPr>
            </w:pPr>
            <w:r>
              <w:rPr>
                <w:rFonts w:ascii="Arial" w:cs="Arial" w:eastAsia="Arial" w:hAnsi="Arial"/>
                <w:sz w:val="15"/>
                <w:szCs w:val="15"/>
                <w:color w:val="auto"/>
                <w:w w:val="90"/>
              </w:rPr>
              <w:t>audit committee member other than the chairman, $</w:t>
            </w:r>
          </w:p>
        </w:tc>
        <w:tc>
          <w:tcPr>
            <w:tcW w:w="1000" w:type="dxa"/>
            <w:vAlign w:val="bottom"/>
          </w:tcPr>
          <w:p>
            <w:pPr>
              <w:jc w:val="right"/>
              <w:ind w:right="405"/>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3320" w:type="dxa"/>
            <w:vAlign w:val="bottom"/>
            <w:gridSpan w:val="2"/>
          </w:tcPr>
          <w:p>
            <w:pPr>
              <w:ind w:left="200"/>
              <w:spacing w:after="0"/>
              <w:rPr>
                <w:sz w:val="20"/>
                <w:szCs w:val="20"/>
                <w:color w:val="auto"/>
              </w:rPr>
            </w:pPr>
            <w:r>
              <w:rPr>
                <w:rFonts w:ascii="Arial" w:cs="Arial" w:eastAsia="Arial" w:hAnsi="Arial"/>
                <w:sz w:val="15"/>
                <w:szCs w:val="15"/>
                <w:color w:val="auto"/>
              </w:rPr>
              <w:t>chairman of the compensation committee, $</w:t>
            </w:r>
          </w:p>
        </w:tc>
        <w:tc>
          <w:tcPr>
            <w:tcW w:w="1000" w:type="dxa"/>
            <w:vAlign w:val="bottom"/>
          </w:tcPr>
          <w:p>
            <w:pPr>
              <w:jc w:val="right"/>
              <w:ind w:right="865"/>
              <w:spacing w:after="0"/>
              <w:rPr>
                <w:sz w:val="20"/>
                <w:szCs w:val="20"/>
                <w:color w:val="auto"/>
              </w:rPr>
            </w:pPr>
            <w:r>
              <w:rPr>
                <w:rFonts w:ascii="Arial" w:cs="Arial" w:eastAsia="Arial" w:hAnsi="Arial"/>
                <w:sz w:val="15"/>
                <w:szCs w:val="15"/>
                <w:color w:val="auto"/>
                <w:w w:val="94"/>
              </w:rPr>
              <w:t>,</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3"/>
          </w:tcPr>
          <w:p>
            <w:pPr>
              <w:ind w:left="200"/>
              <w:spacing w:after="0"/>
              <w:rPr>
                <w:sz w:val="20"/>
                <w:szCs w:val="20"/>
                <w:color w:val="auto"/>
              </w:rPr>
            </w:pPr>
            <w:r>
              <w:rPr>
                <w:rFonts w:ascii="Arial" w:cs="Arial" w:eastAsia="Arial" w:hAnsi="Arial"/>
                <w:sz w:val="15"/>
                <w:szCs w:val="15"/>
                <w:color w:val="auto"/>
              </w:rPr>
              <w:t>compensation committee member other than the chairman, $</w:t>
            </w:r>
          </w:p>
        </w:tc>
        <w:tc>
          <w:tcPr>
            <w:tcW w:w="1220" w:type="dxa"/>
            <w:vAlign w:val="bottom"/>
          </w:tcPr>
          <w:p>
            <w:pPr>
              <w:jc w:val="right"/>
              <w:ind w:right="1085"/>
              <w:spacing w:after="0"/>
              <w:rPr>
                <w:sz w:val="20"/>
                <w:szCs w:val="20"/>
                <w:color w:val="auto"/>
              </w:rPr>
            </w:pPr>
            <w:r>
              <w:rPr>
                <w:rFonts w:ascii="Arial" w:cs="Arial" w:eastAsia="Arial" w:hAnsi="Arial"/>
                <w:sz w:val="15"/>
                <w:szCs w:val="15"/>
                <w:color w:val="auto"/>
                <w:w w:val="94"/>
              </w:rPr>
              <w:t>,</w:t>
            </w: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320" w:type="dxa"/>
            <w:vAlign w:val="bottom"/>
            <w:gridSpan w:val="3"/>
          </w:tcPr>
          <w:p>
            <w:pPr>
              <w:ind w:left="200"/>
              <w:spacing w:after="0"/>
              <w:rPr>
                <w:sz w:val="20"/>
                <w:szCs w:val="20"/>
                <w:color w:val="auto"/>
              </w:rPr>
            </w:pPr>
            <w:r>
              <w:rPr>
                <w:rFonts w:ascii="Arial" w:cs="Arial" w:eastAsia="Arial" w:hAnsi="Arial"/>
                <w:sz w:val="15"/>
                <w:szCs w:val="15"/>
                <w:color w:val="auto"/>
                <w:w w:val="91"/>
              </w:rPr>
              <w:t>chairman of the nominating and corporate governance committee, $</w:t>
            </w:r>
          </w:p>
        </w:tc>
        <w:tc>
          <w:tcPr>
            <w:tcW w:w="1220" w:type="dxa"/>
            <w:vAlign w:val="bottom"/>
          </w:tcPr>
          <w:p>
            <w:pPr>
              <w:jc w:val="right"/>
              <w:ind w:right="405"/>
              <w:spacing w:after="0"/>
              <w:rPr>
                <w:sz w:val="20"/>
                <w:szCs w:val="20"/>
                <w:color w:val="auto"/>
              </w:rPr>
            </w:pPr>
            <w:r>
              <w:rPr>
                <w:rFonts w:ascii="Arial" w:cs="Arial" w:eastAsia="Arial" w:hAnsi="Arial"/>
                <w:sz w:val="15"/>
                <w:szCs w:val="15"/>
                <w:color w:val="auto"/>
              </w:rPr>
              <w:t>, and</w:t>
            </w:r>
          </w:p>
        </w:tc>
        <w:tc>
          <w:tcPr>
            <w:tcW w:w="280" w:type="dxa"/>
            <w:vAlign w:val="bottom"/>
          </w:tcPr>
          <w:p>
            <w:pPr>
              <w:spacing w:after="0"/>
              <w:rPr>
                <w:sz w:val="24"/>
                <w:szCs w:val="24"/>
                <w:color w:val="auto"/>
              </w:rPr>
            </w:pPr>
          </w:p>
        </w:tc>
      </w:tr>
      <w:tr>
        <w:trPr>
          <w:trHeight w:val="382"/>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5540" w:type="dxa"/>
            <w:vAlign w:val="bottom"/>
            <w:gridSpan w:val="4"/>
          </w:tcPr>
          <w:p>
            <w:pPr>
              <w:ind w:left="200"/>
              <w:spacing w:after="0"/>
              <w:rPr>
                <w:sz w:val="20"/>
                <w:szCs w:val="20"/>
                <w:color w:val="auto"/>
              </w:rPr>
            </w:pPr>
            <w:r>
              <w:rPr>
                <w:rFonts w:ascii="Arial" w:cs="Arial" w:eastAsia="Arial" w:hAnsi="Arial"/>
                <w:sz w:val="15"/>
                <w:szCs w:val="15"/>
                <w:color w:val="auto"/>
                <w:w w:val="94"/>
              </w:rPr>
              <w:t>nominating and corporate governance committee member other than the chairman, $</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80"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annual installments over four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2" w:lineRule="exact"/>
        <w:rPr>
          <w:sz w:val="20"/>
          <w:szCs w:val="20"/>
          <w:color w:val="auto"/>
        </w:rPr>
      </w:pPr>
    </w:p>
    <w:p>
      <w:pPr>
        <w:ind w:left="7" w:right="22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on the final day of each fiscal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77" w:name="page178"/>
    <w:bookmarkEnd w:id="17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includes a summary of transactions since January 1, 2013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at a purchase price of $4.50 per share, for net aggregate consideration of approximately $14.3 million.</w:t>
      </w:r>
    </w:p>
    <w:p>
      <w:pPr>
        <w:spacing w:after="0" w:line="15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$7.1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59" w:lineRule="exact"/>
        <w:rPr>
          <w:sz w:val="20"/>
          <w:szCs w:val="20"/>
          <w:color w:val="auto"/>
        </w:rPr>
      </w:pPr>
    </w:p>
    <w:p>
      <w:pPr>
        <w:jc w:val="both"/>
        <w:ind w:right="80"/>
        <w:spacing w:after="0" w:line="297" w:lineRule="auto"/>
        <w:rPr>
          <w:sz w:val="20"/>
          <w:szCs w:val="20"/>
          <w:color w:val="auto"/>
        </w:rPr>
      </w:pPr>
      <w:r>
        <w:rPr>
          <w:rFonts w:ascii="Arial" w:cs="Arial" w:eastAsia="Arial" w:hAnsi="Arial"/>
          <w:sz w:val="14"/>
          <w:szCs w:val="14"/>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1.04651 shares of common stock immediately prior to the closing of this offering. Each share of our Series E Preferred Stock identified in the following table will convert into 1.15 shares of common stock immediately prior to the closing of this offering.</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4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149,894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105" w:lineRule="exact"/>
        <w:rPr>
          <w:rFonts w:ascii="Arial" w:cs="Arial" w:eastAsia="Arial" w:hAnsi="Arial"/>
          <w:sz w:val="12"/>
          <w:szCs w:val="12"/>
          <w:color w:val="auto"/>
        </w:rPr>
      </w:pPr>
    </w:p>
    <w:p>
      <w:pPr>
        <w:ind w:left="1600" w:right="340" w:hanging="463"/>
        <w:spacing w:after="0" w:line="238" w:lineRule="auto"/>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$1.2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are associated with our principal stockholders as indicated in the table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Arial" w:cs="Arial" w:eastAsia="Arial" w:hAnsi="Arial"/>
                <w:sz w:val="12"/>
                <w:szCs w:val="12"/>
                <w:b w:val="1"/>
                <w:bCs w:val="1"/>
                <w:color w:val="auto"/>
              </w:rPr>
              <w:t>Director</w:t>
            </w:r>
          </w:p>
        </w:tc>
        <w:tc>
          <w:tcPr>
            <w:tcW w:w="7200" w:type="dxa"/>
            <w:vAlign w:val="bottom"/>
          </w:tcPr>
          <w:p>
            <w:pPr>
              <w:ind w:left="314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2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rPr>
              <w:t>Entities affiliated with Polaris Venture Partners</w:t>
            </w: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5"/>
                <w:szCs w:val="15"/>
                <w:color w:val="auto"/>
              </w:rPr>
              <w:t>Edwin M. Kania</w:t>
            </w:r>
          </w:p>
        </w:tc>
        <w:tc>
          <w:tcPr>
            <w:tcW w:w="7200" w:type="dxa"/>
            <w:vAlign w:val="bottom"/>
          </w:tcPr>
          <w:p>
            <w:pPr>
              <w:ind w:left="360"/>
              <w:spacing w:after="0"/>
              <w:rPr>
                <w:sz w:val="20"/>
                <w:szCs w:val="20"/>
                <w:color w:val="auto"/>
              </w:rPr>
            </w:pPr>
            <w:r>
              <w:rPr>
                <w:rFonts w:ascii="Arial" w:cs="Arial" w:eastAsia="Arial" w:hAnsi="Arial"/>
                <w:sz w:val="15"/>
                <w:szCs w:val="15"/>
                <w:color w:val="auto"/>
              </w:rPr>
              <w:t>Flagship Ventures Fund 2007, L.P.</w:t>
            </w:r>
          </w:p>
        </w:tc>
      </w:tr>
      <w:tr>
        <w:trPr>
          <w:trHeight w:val="18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5"/>
                <w:szCs w:val="15"/>
                <w:color w:val="auto"/>
              </w:rPr>
              <w:t>Leysan Shaydullina, M.D.</w:t>
            </w:r>
          </w:p>
        </w:tc>
        <w:tc>
          <w:tcPr>
            <w:tcW w:w="72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RUSNANO</w:t>
            </w:r>
          </w:p>
        </w:tc>
      </w:tr>
      <w:tr>
        <w:trPr>
          <w:trHeight w:val="185"/>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5"/>
                <w:szCs w:val="15"/>
                <w:color w:val="auto"/>
              </w:rPr>
              <w:t>Carl Gordon, Ph.D.</w:t>
            </w:r>
          </w:p>
        </w:tc>
        <w:tc>
          <w:tcPr>
            <w:tcW w:w="7200" w:type="dxa"/>
            <w:vAlign w:val="bottom"/>
          </w:tcPr>
          <w:p>
            <w:pPr>
              <w:ind w:left="360"/>
              <w:spacing w:after="0"/>
              <w:rPr>
                <w:sz w:val="20"/>
                <w:szCs w:val="20"/>
                <w:color w:val="auto"/>
              </w:rPr>
            </w:pPr>
            <w:r>
              <w:rPr>
                <w:rFonts w:ascii="Arial" w:cs="Arial" w:eastAsia="Arial" w:hAnsi="Arial"/>
                <w:sz w:val="15"/>
                <w:szCs w:val="15"/>
                <w:color w:val="auto"/>
              </w:rPr>
              <w:t>Entities affiliated with OrbiMed Advisors LLC</w:t>
            </w:r>
          </w:p>
        </w:tc>
      </w:tr>
      <w:tr>
        <w:trPr>
          <w:trHeight w:val="18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2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NanoDimension L.P.</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and August 2015 with our directors Omid Farokhzad and Robert S. Langer, the holders of our preferred stock, including entities in which certain other of our directors are related, Ulrich von Andrian, one of our stockholders, and certain other stockholders.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and George Siber, M.D. Pursuant to the voting agreement, Drs. Farokhzad, and Langer were initially 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ind w:right="240"/>
        <w:spacing w:after="0" w:line="312"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The voting agreement will terminate in its entirety upon the closing of this offering. The composition of our board of directors after this offering is described in more detail under "Management—Board composition and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one of our shareholders.</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We also pay Dr. Farokhzad $72,000 per year in addition to the annual $75,000 payment under his consulting agreement.</w:t>
      </w:r>
    </w:p>
    <w:p>
      <w:pPr>
        <w:spacing w:after="0" w:line="15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We intend to enter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any action or proceeding by or in right of us, arising out of the person's services as a director or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1" w:name="page182"/>
    <w:bookmarkEnd w:id="181"/>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3" w:lineRule="exact"/>
        <w:rPr>
          <w:sz w:val="20"/>
          <w:szCs w:val="20"/>
          <w:color w:val="auto"/>
        </w:rPr>
      </w:pPr>
    </w:p>
    <w:p>
      <w:pPr>
        <w:ind w:left="7" w:right="240"/>
        <w:spacing w:after="0" w:line="28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February 29, 2016,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of our directors;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98" w:lineRule="exact"/>
        <w:rPr>
          <w:sz w:val="20"/>
          <w:szCs w:val="20"/>
          <w:color w:val="auto"/>
        </w:rPr>
      </w:pPr>
    </w:p>
    <w:p>
      <w:pPr>
        <w:ind w:left="7" w:right="40"/>
        <w:spacing w:after="0" w:line="313" w:lineRule="auto"/>
        <w:rPr>
          <w:sz w:val="20"/>
          <w:szCs w:val="20"/>
          <w:color w:val="auto"/>
        </w:rPr>
      </w:pPr>
      <w:r>
        <w:rPr>
          <w:rFonts w:ascii="Arial" w:cs="Arial" w:eastAsia="Arial" w:hAnsi="Arial"/>
          <w:sz w:val="13"/>
          <w:szCs w:val="13"/>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46,661,095 shares of common stock outstanding as of February 29, 2016, which assumes the: (i) conversion of the 8,888,888 outstanding shares of our Series E Preferred Stock as of February 29, 2016 into an aggregate of 10,222,212 shares of our common stock, which will automatically occur upon completion of this offering; and (ii) cashless exercise of the Series E Common Warrants into approximately 2,209,856 shares of our common stock, which will occur automatically upon the filing of the registration statement of which this prospectus forms a part with the SEC.</w:t>
      </w:r>
    </w:p>
    <w:p>
      <w:pPr>
        <w:spacing w:after="0" w:line="137"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February 29, 2016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333" w:right="25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stockholders listed has sole voting and investment power with respect to the shares beneficially owned by the stockholder unless noted otherwise, subject to community property laws where applicable.</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4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40" w:type="dxa"/>
            <w:vAlign w:val="bottom"/>
            <w:gridSpan w:val="2"/>
          </w:tcPr>
          <w:p>
            <w:pPr>
              <w:jc w:val="center"/>
              <w:ind w:left="227"/>
              <w:spacing w:after="0"/>
              <w:rPr>
                <w:sz w:val="20"/>
                <w:szCs w:val="20"/>
                <w:color w:val="auto"/>
              </w:rPr>
            </w:pPr>
            <w:r>
              <w:rPr>
                <w:rFonts w:ascii="Arial" w:cs="Arial" w:eastAsia="Arial" w:hAnsi="Arial"/>
                <w:sz w:val="12"/>
                <w:szCs w:val="12"/>
                <w:b w:val="1"/>
                <w:bCs w:val="1"/>
                <w:color w:val="auto"/>
              </w:rPr>
              <w:t>beneficially owned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440" w:type="dxa"/>
            <w:vAlign w:val="bottom"/>
            <w:gridSpan w:val="2"/>
          </w:tcPr>
          <w:p>
            <w:pPr>
              <w:jc w:val="center"/>
              <w:ind w:left="207"/>
              <w:spacing w:after="0"/>
              <w:rPr>
                <w:sz w:val="20"/>
                <w:szCs w:val="20"/>
                <w:color w:val="auto"/>
              </w:rPr>
            </w:pPr>
            <w:r>
              <w:rPr>
                <w:rFonts w:ascii="Arial" w:cs="Arial" w:eastAsia="Arial" w:hAnsi="Arial"/>
                <w:sz w:val="12"/>
                <w:szCs w:val="12"/>
                <w:b w:val="1"/>
                <w:bCs w:val="1"/>
                <w:color w:val="auto"/>
              </w:rPr>
              <w:t>prior to offering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700" w:type="dxa"/>
            <w:vAlign w:val="bottom"/>
            <w:gridSpan w:val="3"/>
            <w:vMerge w:val="continue"/>
          </w:tcPr>
          <w:p>
            <w:pPr>
              <w:spacing w:after="0"/>
              <w:rPr>
                <w:sz w:val="11"/>
                <w:szCs w:val="11"/>
                <w:color w:val="auto"/>
              </w:rPr>
            </w:pPr>
          </w:p>
        </w:tc>
        <w:tc>
          <w:tcPr>
            <w:tcW w:w="940" w:type="dxa"/>
            <w:vAlign w:val="bottom"/>
            <w:tcBorders>
              <w:top w:val="single" w:sz="8" w:color="auto"/>
            </w:tcBorders>
          </w:tcPr>
          <w:p>
            <w:pPr>
              <w:jc w:val="right"/>
              <w:ind w:right="227"/>
              <w:spacing w:after="0" w:line="131" w:lineRule="exact"/>
              <w:rPr>
                <w:sz w:val="20"/>
                <w:szCs w:val="20"/>
                <w:color w:val="auto"/>
              </w:rPr>
            </w:pPr>
            <w:r>
              <w:rPr>
                <w:rFonts w:ascii="Arial" w:cs="Arial" w:eastAsia="Arial" w:hAnsi="Arial"/>
                <w:sz w:val="12"/>
                <w:szCs w:val="12"/>
                <w:b w:val="1"/>
                <w:bCs w:val="1"/>
                <w:color w:val="auto"/>
              </w:rPr>
              <w:t>Number</w:t>
            </w:r>
          </w:p>
        </w:tc>
        <w:tc>
          <w:tcPr>
            <w:tcW w:w="80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14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rPr>
              <w:t>Number   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9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6,663,612</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14.3%</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6,326,089</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13.5%</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5,077,490</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w w:val="93"/>
              </w:rPr>
              <w:t>10.9%</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4,347,316</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NanoDimension L.P.(5)</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2,459,721</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entities(6)</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3,575,298</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7.7%</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570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and Directors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1,562,914</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414,062</w:t>
            </w:r>
          </w:p>
        </w:tc>
        <w:tc>
          <w:tcPr>
            <w:tcW w:w="5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Omid Farokhzad, M.D.(9)</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1,606,379</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3.4%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4,347,316</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Peter Barton Hutt(10)</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136,666</w:t>
            </w:r>
          </w:p>
        </w:tc>
        <w:tc>
          <w:tcPr>
            <w:tcW w:w="5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6,326,089</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13.5%</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Robert Langer, Jr., Sc. D.(11)</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2,071,117</w:t>
            </w:r>
          </w:p>
        </w:tc>
        <w:tc>
          <w:tcPr>
            <w:tcW w:w="5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5"/>
                <w:szCs w:val="15"/>
                <w:color w:val="auto"/>
              </w:rPr>
              <w:t>4.4%</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6,663,612</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14.3%</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Aymeric Sallin, M.S.(5)</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2000" w:type="dxa"/>
            <w:vAlign w:val="bottom"/>
            <w:gridSpan w:val="4"/>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M.D.(12)</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123,140</w:t>
            </w: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5"/>
                <w:szCs w:val="15"/>
                <w:color w:val="auto"/>
              </w:rPr>
              <w:t>Leysan Shaydullina(3)</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6"/>
                <w:szCs w:val="16"/>
                <w:color w:val="auto"/>
              </w:rPr>
            </w:pPr>
          </w:p>
        </w:tc>
        <w:tc>
          <w:tcPr>
            <w:tcW w:w="2000" w:type="dxa"/>
            <w:vAlign w:val="bottom"/>
            <w:gridSpan w:val="4"/>
          </w:tcPr>
          <w:p>
            <w:pPr>
              <w:jc w:val="right"/>
              <w:ind w:right="17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All executive officers and directors as a group (16 persons)(13)</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24,767,722</w:t>
            </w:r>
          </w:p>
        </w:tc>
        <w:tc>
          <w:tcPr>
            <w:tcW w:w="5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3"/>
              </w:rPr>
              <w:t>52.9%</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5" w:lineRule="exact"/>
        <w:rPr>
          <w:sz w:val="20"/>
          <w:szCs w:val="20"/>
          <w:color w:val="auto"/>
        </w:rPr>
      </w:pPr>
    </w:p>
    <w:p>
      <w:pPr>
        <w:ind w:left="1600" w:right="20" w:hanging="463"/>
        <w:spacing w:after="0" w:line="272" w:lineRule="auto"/>
        <w:tabs>
          <w:tab w:leader="none" w:pos="160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Consists of (i) 6,351,992 shares of common stock held by Polaris Venture Partners V, L.P., or Polaris V, (ii) 77,962 shares of common stock underlying warrants exercisable within 60 days of February 29, 2016 held by Polaris V, (iii) 123,795 shares of common stock held by Polaris Venture Partners Entrepreneurs' Fund V, L.P., or Polaris EFund V, (iv) 1,519 shares of common stock underlying warrants exercisable within 60 days of February 29, 2016 held by Polaris EFund V, (v) 43,512 shares of common stock held by Polaris Venture Partners Founders' Fund V, L.P., or Polaris FFund V, (vi) 534 shares of common stock underlying warrants exercisable within 60 days of February 29, 2016 held by Polaris FFund V, (vii) 63,519 shares of common stock held by Polaris Venture Partners Special Founders' Fund V, L.P., or Polaris SFFund V, and (viii) 779 shares of common stock underlying warrants exercisable within 60 days of February 29, 2016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3" w:lineRule="exact"/>
        <w:rPr>
          <w:rFonts w:ascii="Arial" w:cs="Arial" w:eastAsia="Arial" w:hAnsi="Arial"/>
          <w:sz w:val="10"/>
          <w:szCs w:val="10"/>
          <w:color w:val="auto"/>
        </w:rPr>
      </w:pPr>
    </w:p>
    <w:p>
      <w:pPr>
        <w:ind w:left="1600" w:right="20" w:hanging="463"/>
        <w:spacing w:after="0" w:line="230" w:lineRule="auto"/>
        <w:tabs>
          <w:tab w:leader="none" w:pos="16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Consists of (i) 6,247,065 shares of common stock held of record by Flagship Ventures Fund 2007, L.P., or Flagship Ventures 2007, and (ii) 79,024 shares of common stock underlying warrants exercisable within 60 days of February 29, 2016 held of record by Flagship Ventures 2007. Flagship Ventures 2007 General Partner, LLC, or Flagship 2007 LLC, is the 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right="320"/>
        <w:spacing w:after="0" w:line="238" w:lineRule="auto"/>
        <w:rPr>
          <w:sz w:val="20"/>
          <w:szCs w:val="20"/>
          <w:color w:val="auto"/>
        </w:rPr>
      </w:pPr>
      <w:r>
        <w:rPr>
          <w:rFonts w:ascii="Arial" w:cs="Arial" w:eastAsia="Arial" w:hAnsi="Arial"/>
          <w:sz w:val="12"/>
          <w:szCs w:val="12"/>
          <w:color w:val="auto"/>
        </w:rPr>
        <w:t>disclaim beneficial ownership of the securities listed above except to the extent of any pecuniary interest therein. The address for Flagship Ventures 2007 is One Memorial Drive, 7th Floor, Cambridge, MA 02142.</w:t>
      </w:r>
    </w:p>
    <w:p>
      <w:pPr>
        <w:spacing w:after="0" w:line="155" w:lineRule="exact"/>
        <w:rPr>
          <w:sz w:val="20"/>
          <w:szCs w:val="20"/>
          <w:color w:val="auto"/>
        </w:rPr>
      </w:pPr>
    </w:p>
    <w:p>
      <w:pPr>
        <w:ind w:left="1600" w:right="480" w:hanging="463"/>
        <w:spacing w:after="0" w:line="276" w:lineRule="auto"/>
        <w:tabs>
          <w:tab w:leader="none" w:pos="160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Consists of (i) 5,026,387 shares of common stock held by RUSNANO and (ii) 51,103 shares of common stock underlying warrants exercisable within 60 days of February 29, 2016 held by RUSNANO. RUSNANO is a joint stock company organized under the laws of the Russian Federation. The Russian Federation owns 100% of RUSNANO. RUSNANO is managed by RUSNANO Management</w:t>
      </w:r>
    </w:p>
    <w:p>
      <w:pPr>
        <w:ind w:left="1600" w:right="60"/>
        <w:spacing w:after="0" w:line="224" w:lineRule="auto"/>
        <w:rPr>
          <w:rFonts w:ascii="Arial" w:cs="Arial" w:eastAsia="Arial" w:hAnsi="Arial"/>
          <w:sz w:val="10"/>
          <w:szCs w:val="10"/>
          <w:color w:val="auto"/>
        </w:rPr>
      </w:pPr>
      <w:r>
        <w:rPr>
          <w:rFonts w:ascii="Arial" w:cs="Arial" w:eastAsia="Arial" w:hAnsi="Arial"/>
          <w:sz w:val="12"/>
          <w:szCs w:val="12"/>
          <w:color w:val="auto"/>
        </w:rPr>
        <w:t>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 10A prospect 60-letiya Oktyabrya, Moscow, Russia 117036.</w:t>
      </w:r>
    </w:p>
    <w:p>
      <w:pPr>
        <w:spacing w:after="0" w:line="97" w:lineRule="exact"/>
        <w:rPr>
          <w:rFonts w:ascii="Arial" w:cs="Arial" w:eastAsia="Arial" w:hAnsi="Arial"/>
          <w:sz w:val="10"/>
          <w:szCs w:val="10"/>
          <w:color w:val="auto"/>
        </w:rPr>
      </w:pPr>
    </w:p>
    <w:p>
      <w:pPr>
        <w:ind w:left="1600" w:right="380" w:hanging="463"/>
        <w:spacing w:after="0" w:line="276" w:lineRule="auto"/>
        <w:tabs>
          <w:tab w:leader="none" w:pos="160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Consists of (i) 4,280,905 shares of common stock held by OrbiMed Private Investments III LP, or OrbiMed Private, (ii) 25,401 shares of common stock underlying warrants exercisable within 60 days of February 29, 2016 held by OrbiMed Private, (iii) 40,769 shares of common stock held by OrbiMed Associates III, LP, or OrbiMed Associates and, together with OrbiMed Private, the OrbiMed Funds, and</w:t>
      </w:r>
    </w:p>
    <w:p>
      <w:pPr>
        <w:ind w:left="1600"/>
        <w:spacing w:after="0" w:line="224" w:lineRule="auto"/>
        <w:tabs>
          <w:tab w:leader="none" w:pos="1796" w:val="left"/>
        </w:tabs>
        <w:numPr>
          <w:ilvl w:val="1"/>
          <w:numId w:val="115"/>
        </w:numPr>
        <w:rPr>
          <w:rFonts w:ascii="Arial" w:cs="Arial" w:eastAsia="Arial" w:hAnsi="Arial"/>
          <w:sz w:val="12"/>
          <w:szCs w:val="12"/>
          <w:color w:val="auto"/>
        </w:rPr>
      </w:pPr>
      <w:r>
        <w:rPr>
          <w:rFonts w:ascii="Arial" w:cs="Arial" w:eastAsia="Arial" w:hAnsi="Arial"/>
          <w:sz w:val="12"/>
          <w:szCs w:val="12"/>
          <w:color w:val="auto"/>
        </w:rPr>
        <w:t>241 shares of common stock underlying warrants exercisable within 60 days of February 29, 2016 held by OrbiMed Associates. OrbiMed Capital GP III LLC, or GP III, is the general partner of OrbiMed Private and OrbiMed Advisors LLC, or OrbiMed Advisors, is the managing member of GP III and the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97" w:lineRule="exact"/>
        <w:rPr>
          <w:rFonts w:ascii="Arial" w:cs="Arial" w:eastAsia="Arial" w:hAnsi="Arial"/>
          <w:sz w:val="12"/>
          <w:szCs w:val="12"/>
          <w:color w:val="auto"/>
        </w:rPr>
      </w:pPr>
    </w:p>
    <w:p>
      <w:pPr>
        <w:ind w:left="1600" w:right="60" w:hanging="463"/>
        <w:spacing w:after="0" w:line="279" w:lineRule="auto"/>
        <w:tabs>
          <w:tab w:leader="none" w:pos="160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Consists of (i) 2,432,391 shares of common stock held by NanoDimension L.P., or ND LP, and (ii) 27,330 shares of common stock underlying warrants exercisable within 60 days of February 29, 2016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15"/>
        </w:numPr>
        <w:rPr>
          <w:rFonts w:ascii="Arial" w:cs="Arial" w:eastAsia="Arial" w:hAnsi="Arial"/>
          <w:sz w:val="10"/>
          <w:szCs w:val="10"/>
          <w:color w:val="auto"/>
        </w:rPr>
      </w:pPr>
      <w:r>
        <w:rPr>
          <w:rFonts w:ascii="Arial" w:cs="Arial" w:eastAsia="Arial" w:hAnsi="Arial"/>
          <w:sz w:val="10"/>
          <w:szCs w:val="10"/>
          <w:color w:val="auto"/>
        </w:rPr>
        <w:t>Consists of (i) 1,614,144 shares of common stock held by TAS Partners, LLC, or TAS, (ii) 16,789 shares of common stock underlying warrants exercisable within 60 days of February 29, 2016 held by TAS,</w:t>
      </w:r>
    </w:p>
    <w:p>
      <w:pPr>
        <w:spacing w:after="0" w:line="22" w:lineRule="exact"/>
        <w:rPr>
          <w:rFonts w:ascii="Arial" w:cs="Arial" w:eastAsia="Arial" w:hAnsi="Arial"/>
          <w:sz w:val="10"/>
          <w:szCs w:val="10"/>
          <w:color w:val="auto"/>
        </w:rPr>
      </w:pPr>
    </w:p>
    <w:p>
      <w:pPr>
        <w:jc w:val="both"/>
        <w:ind w:left="1600" w:right="140"/>
        <w:spacing w:after="0" w:line="225" w:lineRule="auto"/>
        <w:tabs>
          <w:tab w:leader="none" w:pos="1803" w:val="left"/>
        </w:tabs>
        <w:numPr>
          <w:ilvl w:val="1"/>
          <w:numId w:val="116"/>
        </w:numPr>
        <w:rPr>
          <w:rFonts w:ascii="Arial" w:cs="Arial" w:eastAsia="Arial" w:hAnsi="Arial"/>
          <w:sz w:val="12"/>
          <w:szCs w:val="12"/>
          <w:color w:val="auto"/>
        </w:rPr>
      </w:pPr>
      <w:r>
        <w:rPr>
          <w:rFonts w:ascii="Arial" w:cs="Arial" w:eastAsia="Arial" w:hAnsi="Arial"/>
          <w:sz w:val="12"/>
          <w:szCs w:val="12"/>
          <w:color w:val="auto"/>
        </w:rPr>
        <w:t>1,923,590 shares of common stock held by Leukon Investments LP, or Leukon, and (iv) 20,775 shares of common stock underlying warrants exercisable within 60 days of February 29, 2016. LKST, Inc. is the general partner of Leukon. Timothy Springer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7"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Includes 395,884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Includes 414,062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Includes (i) 241,461 shares of common stock underlying outstanding stock options exercisable within 60 days of February 29, 2016; (ii) 788,000 shares of common stock held by a family trust for which</w:t>
      </w:r>
    </w:p>
    <w:p>
      <w:pPr>
        <w:spacing w:after="0" w:line="22" w:lineRule="exact"/>
        <w:rPr>
          <w:rFonts w:ascii="Arial" w:cs="Arial" w:eastAsia="Arial" w:hAnsi="Arial"/>
          <w:sz w:val="10"/>
          <w:szCs w:val="10"/>
          <w:color w:val="auto"/>
        </w:rPr>
      </w:pPr>
    </w:p>
    <w:p>
      <w:pPr>
        <w:ind w:left="1600" w:right="160"/>
        <w:spacing w:after="0" w:line="230" w:lineRule="auto"/>
        <w:rPr>
          <w:rFonts w:ascii="Arial" w:cs="Arial" w:eastAsia="Arial" w:hAnsi="Arial"/>
          <w:sz w:val="10"/>
          <w:szCs w:val="10"/>
          <w:color w:val="auto"/>
        </w:rPr>
      </w:pPr>
      <w:r>
        <w:rPr>
          <w:rFonts w:ascii="Arial" w:cs="Arial" w:eastAsia="Arial" w:hAnsi="Arial"/>
          <w:sz w:val="12"/>
          <w:szCs w:val="12"/>
          <w:color w:val="auto"/>
        </w:rPr>
        <w:t>Dr. Farokhzad's wife serves as trustee; and (iii) 77,699 shares of common stock held by BioDynamics Core, L.P., which is managed by BioDynamics, LLC, of which Dr. Farokhzad is a member. Dr. Farokhzad disclaims beneficial ownership over the shares held by the family trust and BioDynamics Core, L.P. except to the extent of any pecuniary interest therein.</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Includes 136,666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Includes 286,462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Includes 123,140 shares of common stock underlying outstanding stock options exercisable within 60 days of February 29,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Includes (i) 3,053,029 shares of common stock underlying outstanding stock options and (ii) 185,460 shares of common stock underlying warrants exercisable within 60 days of 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4" w:name="page185"/>
    <w:bookmarkEnd w:id="18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ectPr>
          <w:pgSz w:w="11900" w:h="16838" w:orient="portrait"/>
          <w:cols w:equalWidth="0" w:num="1">
            <w:col w:w="11440"/>
          </w:cols>
          <w:pgMar w:left="240" w:top="133" w:right="21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Following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shares of common stock, par value $0.0001 per share, and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shares of</w:t>
      </w:r>
    </w:p>
    <w:p>
      <w:pPr>
        <w:spacing w:after="0" w:line="40" w:lineRule="exact"/>
        <w:rPr>
          <w:sz w:val="20"/>
          <w:szCs w:val="20"/>
          <w:color w:val="auto"/>
        </w:rPr>
      </w:pPr>
    </w:p>
    <w:p>
      <w:pPr>
        <w:sectPr>
          <w:pgSz w:w="11900" w:h="16838" w:orient="portrait"/>
          <w:cols w:equalWidth="0" w:num="3">
            <w:col w:w="5180" w:space="720"/>
            <w:col w:w="4280" w:space="720"/>
            <w:col w:w="540"/>
          </w:cols>
          <w:pgMar w:left="240" w:top="133" w:right="219" w:bottom="1440" w:gutter="0" w:footer="0" w:header="0"/>
          <w:type w:val="continuous"/>
        </w:sectPr>
      </w:pPr>
    </w:p>
    <w:p>
      <w:pPr>
        <w:spacing w:after="0"/>
        <w:rPr>
          <w:sz w:val="20"/>
          <w:szCs w:val="20"/>
          <w:color w:val="auto"/>
        </w:rPr>
      </w:pPr>
      <w:r>
        <w:rPr>
          <w:rFonts w:ascii="Arial" w:cs="Arial" w:eastAsia="Arial" w:hAnsi="Arial"/>
          <w:sz w:val="13"/>
          <w:szCs w:val="13"/>
          <w:color w:val="auto"/>
        </w:rPr>
        <w:t>preferred stock, par value $0.0001 per share.</w:t>
      </w:r>
    </w:p>
    <w:p>
      <w:pPr>
        <w:sectPr>
          <w:pgSz w:w="11900" w:h="16838" w:orient="portrait"/>
          <w:cols w:equalWidth="0" w:num="1">
            <w:col w:w="11440"/>
          </w:cols>
          <w:pgMar w:left="240" w:top="133" w:right="21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On February 29, 2016, there were 8,515,810 shares of common stock outstanding, including 24,590 shares of unvested restricted common stock subject to repurchase by us, held of record</w:t>
      </w:r>
    </w:p>
    <w:p>
      <w:pPr>
        <w:spacing w:after="0" w:line="41" w:lineRule="exact"/>
        <w:rPr>
          <w:sz w:val="20"/>
          <w:szCs w:val="20"/>
          <w:color w:val="auto"/>
        </w:rPr>
      </w:pPr>
    </w:p>
    <w:p>
      <w:pPr>
        <w:ind w:left="820" w:right="260" w:hanging="827"/>
        <w:spacing w:after="0" w:line="257" w:lineRule="auto"/>
        <w:rPr>
          <w:sz w:val="20"/>
          <w:szCs w:val="20"/>
          <w:color w:val="auto"/>
        </w:rPr>
      </w:pPr>
      <w:r>
        <w:rPr>
          <w:rFonts w:ascii="Arial" w:cs="Arial" w:eastAsia="Arial" w:hAnsi="Arial"/>
          <w:sz w:val="15"/>
          <w:szCs w:val="15"/>
          <w:color w:val="auto"/>
        </w:rPr>
        <w:t>by 92 stockholders. This amount excludes our outstanding shares of preferred stock, which will convert into</w:t>
      </w:r>
      <w:r>
        <w:rPr>
          <w:sz w:val="20"/>
          <w:szCs w:val="20"/>
          <w:color w:val="auto"/>
        </w:rPr>
        <w:t xml:space="preserve"> </w:t>
      </w:r>
      <w:r>
        <w:rPr>
          <w:rFonts w:ascii="Arial" w:cs="Arial" w:eastAsia="Arial" w:hAnsi="Arial"/>
          <w:sz w:val="15"/>
          <w:szCs w:val="15"/>
          <w:color w:val="auto"/>
        </w:rPr>
        <w:t>shares of common stock upon the closing of this offering, and shares of common stock issuable in connection with the automatic cashless exercise of the Series E Common Warrants upon the filing of the registration statement of which</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this prospectus forms a part with the SEC. Based on the number of shares of common stock outstanding as of February 29, 2016, and assuming (i) the conversion of all outstanding shares of</w:t>
      </w:r>
    </w:p>
    <w:p>
      <w:pPr>
        <w:spacing w:after="0" w:line="36" w:lineRule="exact"/>
        <w:rPr>
          <w:sz w:val="20"/>
          <w:szCs w:val="20"/>
          <w:color w:val="auto"/>
        </w:rPr>
      </w:pPr>
    </w:p>
    <w:p>
      <w:pPr>
        <w:ind w:right="540"/>
        <w:spacing w:after="0" w:line="275" w:lineRule="auto"/>
        <w:rPr>
          <w:sz w:val="20"/>
          <w:szCs w:val="20"/>
          <w:color w:val="auto"/>
        </w:rPr>
      </w:pPr>
      <w:r>
        <w:rPr>
          <w:rFonts w:ascii="Arial" w:cs="Arial" w:eastAsia="Arial" w:hAnsi="Arial"/>
          <w:sz w:val="15"/>
          <w:szCs w:val="15"/>
          <w:color w:val="auto"/>
        </w:rPr>
        <w:t>our preferred stock, (ii) the automatic cashless exercise of the Series E Common Warrants and (iii) the issuance by us of shares in this offering, there will be shares of common stock outstanding upon the closing of this offering.</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In addition, as of February 29, 2016, there were (i) 6,103,058 shares of common stock subject to outstanding options, (ii) 69,768 shares of common stock issuable upon outstanding warrants</w:t>
      </w:r>
    </w:p>
    <w:p>
      <w:pPr>
        <w:spacing w:after="0" w:line="41" w:lineRule="exact"/>
        <w:rPr>
          <w:sz w:val="20"/>
          <w:szCs w:val="20"/>
          <w:color w:val="auto"/>
        </w:rPr>
      </w:pPr>
    </w:p>
    <w:p>
      <w:pPr>
        <w:jc w:val="both"/>
        <w:ind w:right="220"/>
        <w:spacing w:after="0" w:line="294" w:lineRule="auto"/>
        <w:rPr>
          <w:sz w:val="20"/>
          <w:szCs w:val="20"/>
          <w:color w:val="auto"/>
        </w:rPr>
      </w:pPr>
      <w:r>
        <w:rPr>
          <w:rFonts w:ascii="Arial" w:cs="Arial" w:eastAsia="Arial" w:hAnsi="Arial"/>
          <w:sz w:val="14"/>
          <w:szCs w:val="14"/>
          <w:color w:val="auto"/>
        </w:rPr>
        <w:t>to purchase shares of our Series D Preferred Stock that will become warrants to purchase shares of common stock upon the closing of this offering, (iii) shares of common stock issuable upon outstanding warrants to purchase shares of our Series E Preferred Stock that will become warrants to purchase shares of common stock upon the closing of this offering and (iv) 315,198 shares of common stock issuable upon the exercise of warrants, in addition to the warrants described in (ii) and (iii) and the Series E Common Warrants.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630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type w:val="continuous"/>
        </w:sectPr>
      </w:pPr>
    </w:p>
    <w:bookmarkStart w:id="185" w:name="page186"/>
    <w:bookmarkEnd w:id="18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our certificate of incorporation and bylaws" and "—Amendment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As of December 31, 2015, options to purchase 6,120,579 shares of our common stock were outstanding under our 2008 plan, of which 2,301,907 had not vested and 3,818,672 had vested as of that date.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Pacific Western Bank exercisable for an aggregate of 66,668 shares of the Company's Series D Preferred Stock. Upon conversion of the Series D Preferred Stock into common stock in connection with this offering, the warrants will become exercisable for 69,768 shares of common stock at a weighted average exercise price of $4.50. If unexercised, the warrants will expire on August 9, 2023 and July 25, 2024.</w:t>
      </w:r>
    </w:p>
    <w:p>
      <w:pPr>
        <w:spacing w:after="0" w:line="144"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315,198 shares of common stock at an exercise price of $4.50 per share. If unexercised, the warrants will expire on July 24, 2018.</w:t>
      </w:r>
    </w:p>
    <w:p>
      <w:pPr>
        <w:spacing w:after="0" w:line="151" w:lineRule="exact"/>
        <w:rPr>
          <w:sz w:val="20"/>
          <w:szCs w:val="20"/>
          <w:color w:val="auto"/>
        </w:rPr>
      </w:pPr>
    </w:p>
    <w:p>
      <w:pPr>
        <w:ind w:right="540"/>
        <w:spacing w:after="0" w:line="270" w:lineRule="auto"/>
        <w:rPr>
          <w:sz w:val="20"/>
          <w:szCs w:val="20"/>
          <w:color w:val="auto"/>
        </w:rPr>
      </w:pPr>
      <w:r>
        <w:rPr>
          <w:rFonts w:ascii="Arial" w:cs="Arial" w:eastAsia="Arial" w:hAnsi="Arial"/>
          <w:sz w:val="15"/>
          <w:szCs w:val="15"/>
          <w:color w:val="auto"/>
        </w:rPr>
        <w:t>On August 27, 2015, September 3, 2015 and September 17, 2015, we issued Series E Common Warrants to the investors in our Series E Preferred Stock financing exercisable for an aggregate of 2,222,213 shares of common stock at an exercise price of $0.01 per share. Upon the filing of a Form S-1 registration statement for a public offering, the warrants are automatically exercised on a cashless basis, provided the fair market value of a share of common stock as determined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of directors is greater than the exercise price and the holder does not provide us with notice that the holder desires for the warrant to expire unexercised. If unexercised, the warrants will expire four years from their issuance date.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our credit facility, on December 31, 2015 we issued warrants to Oxford and Pacific Western Bank exercisable for an aggregate of 37,978 shares of our Series E Preferred</w:t>
      </w:r>
    </w:p>
    <w:p>
      <w:pPr>
        <w:spacing w:after="0" w:line="41" w:lineRule="exact"/>
        <w:rPr>
          <w:sz w:val="20"/>
          <w:szCs w:val="20"/>
          <w:color w:val="auto"/>
        </w:rPr>
      </w:pPr>
    </w:p>
    <w:p>
      <w:pPr>
        <w:spacing w:after="0"/>
        <w:tabs>
          <w:tab w:leader="none" w:pos="9460" w:val="left"/>
        </w:tabs>
        <w:rPr>
          <w:sz w:val="20"/>
          <w:szCs w:val="20"/>
          <w:color w:val="auto"/>
        </w:rPr>
      </w:pPr>
      <w:r>
        <w:rPr>
          <w:rFonts w:ascii="Arial" w:cs="Arial" w:eastAsia="Arial" w:hAnsi="Arial"/>
          <w:sz w:val="15"/>
          <w:szCs w:val="15"/>
          <w:color w:val="auto"/>
        </w:rPr>
        <w:t>Stock. Upon conversion of the Series E Preferred Stock into common stock in connection with this offering, the warrants will become exercisable for</w:t>
      </w:r>
      <w:r>
        <w:rPr>
          <w:sz w:val="20"/>
          <w:szCs w:val="20"/>
          <w:color w:val="auto"/>
        </w:rPr>
        <w:tab/>
      </w:r>
      <w:r>
        <w:rPr>
          <w:rFonts w:ascii="Arial" w:cs="Arial" w:eastAsia="Arial" w:hAnsi="Arial"/>
          <w:sz w:val="13"/>
          <w:szCs w:val="13"/>
          <w:color w:val="auto"/>
        </w:rPr>
        <w:t>shares of common stock at a</w:t>
      </w:r>
    </w:p>
    <w:p>
      <w:pPr>
        <w:spacing w:after="0" w:line="13" w:lineRule="exact"/>
        <w:rPr>
          <w:sz w:val="20"/>
          <w:szCs w:val="20"/>
          <w:color w:val="auto"/>
        </w:rPr>
      </w:pPr>
    </w:p>
    <w:p>
      <w:pPr>
        <w:spacing w:after="0"/>
        <w:tabs>
          <w:tab w:leader="none" w:pos="2520" w:val="left"/>
        </w:tabs>
        <w:rPr>
          <w:sz w:val="20"/>
          <w:szCs w:val="20"/>
          <w:color w:val="auto"/>
        </w:rPr>
      </w:pPr>
      <w:r>
        <w:rPr>
          <w:rFonts w:ascii="Arial" w:cs="Arial" w:eastAsia="Arial" w:hAnsi="Arial"/>
          <w:sz w:val="15"/>
          <w:szCs w:val="15"/>
          <w:color w:val="auto"/>
        </w:rPr>
        <w:t>weighted average exercise price of $</w:t>
      </w:r>
      <w:r>
        <w:rPr>
          <w:sz w:val="20"/>
          <w:szCs w:val="20"/>
          <w:color w:val="auto"/>
        </w:rPr>
        <w:tab/>
      </w:r>
      <w:r>
        <w:rPr>
          <w:rFonts w:ascii="Arial" w:cs="Arial" w:eastAsia="Arial" w:hAnsi="Arial"/>
          <w:sz w:val="13"/>
          <w:szCs w:val="13"/>
          <w:color w:val="auto"/>
        </w:rPr>
        <w:t>per share of common stock. If unexercised, the warrants will expire on December 31, 2025.</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As of February 29, 2016, upon the closing of this offering, holders of shares of our common stock, including shares issuable upon the exercise of warrants, or their transferees 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67"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and disbursements of our counsel, reasonable fees and disbursements of a counsel for the selling securityholders and blue sky fees and expenses.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up to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88" w:name="page189"/>
    <w:bookmarkEnd w:id="18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80"/>
        <w:spacing w:after="0" w:line="319"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will be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applied to have our common stock listed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Upon the closing of this offering, we will have outstanding an aggregate of shares of common stock, assuming the issuance of shares of common stock offered by us in this offering, after giving effect to the assumptions described under "Prospectus summary—The offering," and assuming no exercise of options or warrants other than the Series E Common Warrants after February 29, 2016.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67"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auto"/>
        </w:rPr>
        <w:t>The remaining sh 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w:t>
      </w:r>
    </w:p>
    <w:p>
      <w:pPr>
        <w:spacing w:after="0" w:line="1" w:lineRule="exact"/>
        <w:rPr>
          <w:sz w:val="20"/>
          <w:szCs w:val="20"/>
          <w:color w:val="auto"/>
        </w:rPr>
      </w:pPr>
    </w:p>
    <w:p>
      <w:pPr>
        <w:ind w:right="500"/>
        <w:spacing w:after="0" w:line="275" w:lineRule="auto"/>
        <w:rPr>
          <w:sz w:val="20"/>
          <w:szCs w:val="20"/>
          <w:color w:val="auto"/>
        </w:rPr>
      </w:pPr>
      <w:r>
        <w:rPr>
          <w:rFonts w:ascii="Arial" w:cs="Arial" w:eastAsia="Arial" w:hAnsi="Arial"/>
          <w:sz w:val="15"/>
          <w:szCs w:val="15"/>
          <w:color w:val="auto"/>
        </w:rPr>
        <w:t>up period, we estimate that approximately shares will be available for sale in the public market, subject in some cases to applicable volume limitations under Rule 144.</w:t>
      </w:r>
    </w:p>
    <w:p>
      <w:pPr>
        <w:spacing w:after="0" w:line="156"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In addition, of the 6,120,579 shares of our common stock that were subject to stock options outstanding as of December 31, 2015, options to purchase 3,818,672 shares of common stock were vested as of December 31, 2015 and, upon exercise, these shares will be eligible for sale subject to the lock-up agreements described below and Rules 144 and 701 under the Securities Act.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20" w:hanging="461"/>
        <w:spacing w:after="0" w:line="270" w:lineRule="auto"/>
        <w:tabs>
          <w:tab w:leader="none" w:pos="13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2" w:lineRule="exact"/>
        <w:rPr>
          <w:rFonts w:ascii="Arial" w:cs="Arial" w:eastAsia="Arial" w:hAnsi="Arial"/>
          <w:sz w:val="15"/>
          <w:szCs w:val="15"/>
          <w:color w:val="auto"/>
        </w:rPr>
      </w:pPr>
    </w:p>
    <w:p>
      <w:pPr>
        <w:ind w:right="580" w:firstLine="919"/>
        <w:spacing w:after="0" w:line="515" w:lineRule="auto"/>
        <w:tabs>
          <w:tab w:leader="none" w:pos="139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1"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420"/>
          </w:cols>
          <w:pgMar w:left="240" w:top="132" w:right="239" w:bottom="1440" w:gutter="0" w:footer="0" w:header="0"/>
        </w:sectPr>
      </w:pP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1% of the number of shares of our common stock then outstanding, which will equal approximately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shares immediately after this offering; or</w:t>
      </w:r>
    </w:p>
    <w:p>
      <w:pPr>
        <w:spacing w:after="0" w:line="211" w:lineRule="exact"/>
        <w:rPr>
          <w:sz w:val="20"/>
          <w:szCs w:val="20"/>
          <w:color w:val="auto"/>
        </w:rPr>
      </w:pPr>
    </w:p>
    <w:p>
      <w:pPr>
        <w:sectPr>
          <w:pgSz w:w="11900" w:h="16838" w:orient="portrait"/>
          <w:cols w:equalWidth="0" w:num="3">
            <w:col w:w="980" w:space="400"/>
            <w:col w:w="6300" w:space="720"/>
            <w:col w:w="3020"/>
          </w:cols>
          <w:pgMar w:left="240" w:top="132" w:right="239" w:bottom="1440" w:gutter="0" w:footer="0" w:header="0"/>
          <w:type w:val="continuous"/>
        </w:sectPr>
      </w:pPr>
    </w:p>
    <w:p>
      <w:pPr>
        <w:spacing w:after="0" w:line="1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780"/>
        <w:spacing w:after="0" w:line="282" w:lineRule="auto"/>
        <w:rPr>
          <w:sz w:val="20"/>
          <w:szCs w:val="20"/>
          <w:color w:val="auto"/>
        </w:rPr>
      </w:pPr>
      <w:r>
        <w:rPr>
          <w:rFonts w:ascii="Arial" w:cs="Arial" w:eastAsia="Arial" w:hAnsi="Arial"/>
          <w:sz w:val="15"/>
          <w:szCs w:val="15"/>
          <w:color w:val="auto"/>
        </w:rPr>
        <w:t>the average weekly trading volume in our common stock on respect to such sale.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during the four calendar weeks preceding the filing of a notice on Form 144 with</w:t>
      </w:r>
    </w:p>
    <w:p>
      <w:pPr>
        <w:spacing w:after="0" w:line="406" w:lineRule="exact"/>
        <w:rPr>
          <w:sz w:val="20"/>
          <w:szCs w:val="20"/>
          <w:color w:val="auto"/>
        </w:rPr>
      </w:pPr>
    </w:p>
    <w:p>
      <w:pPr>
        <w:sectPr>
          <w:pgSz w:w="11900" w:h="16838" w:orient="portrait"/>
          <w:cols w:equalWidth="0" w:num="3">
            <w:col w:w="980" w:space="400"/>
            <w:col w:w="4400" w:space="720"/>
            <w:col w:w="4920"/>
          </w:cols>
          <w:pgMar w:left="240" w:top="132" w:right="239" w:bottom="1440" w:gutter="0" w:footer="0" w:header="0"/>
          <w:type w:val="continuous"/>
        </w:sectPr>
      </w:pPr>
    </w:p>
    <w:p>
      <w:pPr>
        <w:spacing w:after="0" w:line="279" w:lineRule="auto"/>
        <w:rPr>
          <w:sz w:val="20"/>
          <w:szCs w:val="20"/>
          <w:color w:val="auto"/>
        </w:rPr>
      </w:pPr>
      <w:r>
        <w:rPr>
          <w:rFonts w:ascii="Arial" w:cs="Arial" w:eastAsia="Arial" w:hAnsi="Arial"/>
          <w:sz w:val="14"/>
          <w:szCs w:val="14"/>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concurrentl y with either the placing of a sale order with the broker or the execution directly with a market maker.</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48"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92" w:name="page193"/>
    <w:bookmarkEnd w:id="19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Upon the closing of this offering, the holders of shares of common stock, which includes all of the shares of common stock issuable upon the automatic conversion of our preferred stock upon the closing of this offering, all of the shares of common stock issuable upon the automatic net exercise of our Series E Investor Warrants upon the filing of a registration statement for this offering and shares of common stock held by our founders,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3" w:name="page194"/>
    <w:bookmarkEnd w:id="19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0910" cy="7620"/>
                    </a:xfrm>
                    <a:prstGeom prst="rect">
                      <a:avLst/>
                    </a:prstGeom>
                    <a:noFill/>
                  </pic:spPr>
                </pic:pic>
              </a:graphicData>
            </a:graphic>
          </wp:anchor>
        </w:drawing>
        <w:t>Material U.S. federal income tax consequences to non-U.S. holders</w:t>
      </w:r>
    </w:p>
    <w:p>
      <w:pPr>
        <w:spacing w:after="0" w:line="183"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3" w:lineRule="exact"/>
        <w:rPr>
          <w:sz w:val="20"/>
          <w:szCs w:val="20"/>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2" w:lineRule="exact"/>
        <w:rPr>
          <w:rFonts w:ascii="Arial" w:cs="Arial" w:eastAsia="Arial" w:hAnsi="Arial"/>
          <w:sz w:val="13"/>
          <w:szCs w:val="13"/>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319"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40" w:lineRule="exact"/>
        <w:rPr>
          <w:sz w:val="20"/>
          <w:szCs w:val="20"/>
          <w:color w:val="auto"/>
        </w:rPr>
      </w:pPr>
    </w:p>
    <w:p>
      <w:pPr>
        <w:ind w:left="1380" w:hanging="461"/>
        <w:spacing w:after="0"/>
        <w:tabs>
          <w:tab w:leader="none" w:pos="13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1" w:lineRule="exact"/>
        <w:rPr>
          <w:rFonts w:ascii="Arial" w:cs="Arial" w:eastAsia="Arial" w:hAnsi="Arial"/>
          <w:sz w:val="15"/>
          <w:szCs w:val="15"/>
          <w:color w:val="auto"/>
        </w:rPr>
      </w:pPr>
    </w:p>
    <w:p>
      <w:pPr>
        <w:ind w:left="1380" w:right="40" w:hanging="461"/>
        <w:spacing w:after="0" w:line="282" w:lineRule="auto"/>
        <w:tabs>
          <w:tab w:leader="none" w:pos="13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2" w:lineRule="exact"/>
        <w:rPr>
          <w:rFonts w:ascii="Arial" w:cs="Arial" w:eastAsia="Arial" w:hAnsi="Arial"/>
          <w:sz w:val="15"/>
          <w:szCs w:val="15"/>
          <w:color w:val="auto"/>
        </w:rPr>
      </w:pPr>
    </w:p>
    <w:p>
      <w:pPr>
        <w:ind w:left="1380" w:hanging="461"/>
        <w:spacing w:after="0"/>
        <w:tabs>
          <w:tab w:leader="none" w:pos="13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09" w:lineRule="exact"/>
        <w:rPr>
          <w:rFonts w:ascii="Arial" w:cs="Arial" w:eastAsia="Arial" w:hAnsi="Arial"/>
          <w:sz w:val="15"/>
          <w:szCs w:val="15"/>
          <w:color w:val="auto"/>
        </w:rPr>
      </w:pPr>
    </w:p>
    <w:p>
      <w:pPr>
        <w:ind w:left="1380" w:right="340" w:hanging="461"/>
        <w:spacing w:after="0" w:line="282" w:lineRule="auto"/>
        <w:tabs>
          <w:tab w:leader="none" w:pos="13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61"/>
        <w:spacing w:after="0" w:line="282" w:lineRule="auto"/>
        <w:tabs>
          <w:tab w:leader="none" w:pos="138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2"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59"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1" w:lineRule="exact"/>
        <w:rPr>
          <w:sz w:val="20"/>
          <w:szCs w:val="20"/>
          <w:color w:val="auto"/>
        </w:rPr>
      </w:pPr>
    </w:p>
    <w:p>
      <w:pPr>
        <w:ind w:left="7" w:right="540" w:hanging="7"/>
        <w:spacing w:after="0" w:line="312" w:lineRule="auto"/>
        <w:tabs>
          <w:tab w:leader="none" w:pos="229" w:val="left"/>
        </w:tabs>
        <w:numPr>
          <w:ilvl w:val="0"/>
          <w:numId w:val="122"/>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630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purchaser may be required to withhold 10%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1"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7"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7" w:name="page198"/>
    <w:bookmarkEnd w:id="197"/>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3"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11447"/>
          </w:cols>
          <w:pgMar w:left="233" w:top="132" w:right="219" w:bottom="1440" w:gutter="0" w:footer="0" w:header="0"/>
        </w:sectPr>
      </w:pPr>
    </w:p>
    <w:p>
      <w:pPr>
        <w:spacing w:after="0" w:line="298" w:lineRule="exact"/>
        <w:rPr>
          <w:sz w:val="20"/>
          <w:szCs w:val="20"/>
          <w:color w:val="auto"/>
        </w:rPr>
      </w:pPr>
    </w:p>
    <w:p>
      <w:pPr>
        <w:ind w:left="1147"/>
        <w:spacing w:after="0"/>
        <w:rPr>
          <w:sz w:val="20"/>
          <w:szCs w:val="20"/>
          <w:color w:val="auto"/>
        </w:rPr>
      </w:pPr>
      <w:r>
        <w:rPr>
          <w:rFonts w:ascii="Arial" w:cs="Arial" w:eastAsia="Arial" w:hAnsi="Arial"/>
          <w:sz w:val="12"/>
          <w:szCs w:val="12"/>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6985</wp:posOffset>
            </wp:positionV>
            <wp:extent cx="5721985"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Number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-5295900</wp:posOffset>
            </wp:positionH>
            <wp:positionV relativeFrom="paragraph">
              <wp:posOffset>5080</wp:posOffset>
            </wp:positionV>
            <wp:extent cx="5810250" cy="1174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810250" cy="11747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8767" w:space="720"/>
            <w:col w:w="1960"/>
          </w:cols>
          <w:pgMar w:left="233" w:top="132" w:right="219" w:bottom="1440" w:gutter="0" w:footer="0" w:header="0"/>
          <w:type w:val="continuous"/>
        </w:sectPr>
      </w:pPr>
    </w:p>
    <w:p>
      <w:pPr>
        <w:ind w:left="1147"/>
        <w:spacing w:after="0"/>
        <w:rPr>
          <w:sz w:val="20"/>
          <w:szCs w:val="20"/>
          <w:color w:val="auto"/>
        </w:rPr>
      </w:pPr>
      <w:r>
        <w:rPr>
          <w:rFonts w:ascii="Arial" w:cs="Arial" w:eastAsia="Arial" w:hAnsi="Arial"/>
          <w:sz w:val="15"/>
          <w:szCs w:val="15"/>
          <w:color w:val="auto"/>
        </w:rPr>
        <w:t>UBS Securities LLC</w:t>
      </w:r>
    </w:p>
    <w:p>
      <w:pPr>
        <w:spacing w:after="0" w:line="9"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Stifel, Nicolaus &amp; Company, Incorporated</w:t>
      </w:r>
    </w:p>
    <w:p>
      <w:pPr>
        <w:spacing w:after="0" w:line="13"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-107315</wp:posOffset>
            </wp:positionV>
            <wp:extent cx="5810250" cy="1174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10250" cy="117475"/>
                    </a:xfrm>
                    <a:prstGeom prst="rect">
                      <a:avLst/>
                    </a:prstGeom>
                    <a:noFill/>
                  </pic:spPr>
                </pic:pic>
              </a:graphicData>
            </a:graphic>
          </wp:anchor>
        </w:drawing>
      </w:r>
    </w:p>
    <w:p>
      <w:pPr>
        <w:ind w:left="1147"/>
        <w:spacing w:after="0"/>
        <w:rPr>
          <w:sz w:val="20"/>
          <w:szCs w:val="20"/>
          <w:color w:val="auto"/>
        </w:rPr>
      </w:pPr>
      <w:r>
        <w:rPr>
          <w:rFonts w:ascii="Arial" w:cs="Arial" w:eastAsia="Arial" w:hAnsi="Arial"/>
          <w:sz w:val="15"/>
          <w:szCs w:val="15"/>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9525</wp:posOffset>
            </wp:positionV>
            <wp:extent cx="49276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92760" cy="7620"/>
                    </a:xfrm>
                    <a:prstGeom prst="rect">
                      <a:avLst/>
                    </a:prstGeom>
                    <a:noFill/>
                  </pic:spPr>
                </pic:pic>
              </a:graphicData>
            </a:graphic>
          </wp:anchor>
        </w:drawing>
      </w:r>
    </w:p>
    <w:p>
      <w:pPr>
        <w:ind w:left="1307"/>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-104140</wp:posOffset>
            </wp:positionV>
            <wp:extent cx="5810250" cy="1397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810250" cy="139700"/>
                    </a:xfrm>
                    <a:prstGeom prst="rect">
                      <a:avLst/>
                    </a:prstGeom>
                    <a:noFill/>
                  </pic:spPr>
                </pic:pic>
              </a:graphicData>
            </a:graphic>
          </wp:anchor>
        </w:drawing>
      </w:r>
    </w:p>
    <w:p>
      <w:pPr>
        <w:spacing w:after="0" w:line="213"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jc w:val="both"/>
        <w:ind w:left="7" w:right="24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w:t>
      </w:r>
    </w:p>
    <w:p>
      <w:pPr>
        <w:spacing w:after="0" w:line="2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630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type w:val="continuous"/>
        </w:sectPr>
      </w:pPr>
    </w:p>
    <w:bookmarkStart w:id="198" w:name="page199"/>
    <w:bookmarkEnd w:id="19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following table shows the per share and total underwriting discount we will pay to the underwriters assuming both no exercise and full exercise of the underwriters' option to purchase</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Arial" w:cs="Arial" w:eastAsia="Arial" w:hAnsi="Arial"/>
                <w:sz w:val="15"/>
                <w:szCs w:val="15"/>
                <w:color w:val="auto"/>
              </w:rPr>
              <w:t>up to</w:t>
            </w:r>
          </w:p>
        </w:tc>
        <w:tc>
          <w:tcPr>
            <w:tcW w:w="420" w:type="dxa"/>
            <w:vAlign w:val="bottom"/>
          </w:tcPr>
          <w:p>
            <w:pPr>
              <w:spacing w:after="0"/>
              <w:rPr>
                <w:sz w:val="16"/>
                <w:szCs w:val="16"/>
                <w:color w:val="auto"/>
              </w:rPr>
            </w:pPr>
          </w:p>
        </w:tc>
        <w:tc>
          <w:tcPr>
            <w:tcW w:w="6920" w:type="dxa"/>
            <w:vAlign w:val="bottom"/>
          </w:tcPr>
          <w:p>
            <w:pPr>
              <w:ind w:left="220"/>
              <w:spacing w:after="0"/>
              <w:rPr>
                <w:sz w:val="20"/>
                <w:szCs w:val="20"/>
                <w:color w:val="auto"/>
              </w:rPr>
            </w:pPr>
            <w:r>
              <w:rPr>
                <w:rFonts w:ascii="Arial" w:cs="Arial" w:eastAsia="Arial" w:hAnsi="Arial"/>
                <w:sz w:val="15"/>
                <w:szCs w:val="15"/>
                <w:color w:val="auto"/>
              </w:rPr>
              <w:t>additional shares.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22"/>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1080" w:type="dxa"/>
            <w:vAlign w:val="bottom"/>
            <w:tcBorders>
              <w:top w:val="single" w:sz="8" w:color="auto"/>
            </w:tcBorders>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08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8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343"/>
        </w:trPr>
        <w:tc>
          <w:tcPr>
            <w:tcW w:w="8060" w:type="dxa"/>
            <w:vAlign w:val="bottom"/>
            <w:gridSpan w:val="3"/>
          </w:tcPr>
          <w:p>
            <w:pPr>
              <w:spacing w:after="0"/>
              <w:rPr>
                <w:sz w:val="20"/>
                <w:szCs w:val="20"/>
                <w:color w:val="auto"/>
              </w:rPr>
            </w:pPr>
            <w:r>
              <w:rPr>
                <w:rFonts w:ascii="Arial" w:cs="Arial" w:eastAsia="Arial" w:hAnsi="Arial"/>
                <w:sz w:val="15"/>
                <w:szCs w:val="15"/>
                <w:color w:val="auto"/>
                <w:w w:val="94"/>
              </w:rPr>
              <w:t>We estimate that the total expenses of the offering payable by us, not including the underwriting discount, will be approximately $</w:t>
            </w:r>
          </w:p>
        </w:tc>
        <w:tc>
          <w:tcPr>
            <w:tcW w:w="220" w:type="dxa"/>
            <w:vAlign w:val="bottom"/>
          </w:tcPr>
          <w:p>
            <w:pPr>
              <w:spacing w:after="0"/>
              <w:rPr>
                <w:sz w:val="24"/>
                <w:szCs w:val="24"/>
                <w:color w:val="auto"/>
              </w:rPr>
            </w:pPr>
          </w:p>
        </w:tc>
        <w:tc>
          <w:tcPr>
            <w:tcW w:w="3040" w:type="dxa"/>
            <w:vAlign w:val="bottom"/>
            <w:gridSpan w:val="5"/>
          </w:tcPr>
          <w:p>
            <w:pPr>
              <w:ind w:left="80"/>
              <w:spacing w:after="0"/>
              <w:rPr>
                <w:sz w:val="20"/>
                <w:szCs w:val="20"/>
                <w:color w:val="auto"/>
              </w:rPr>
            </w:pPr>
            <w:r>
              <w:rPr>
                <w:rFonts w:ascii="Arial" w:cs="Arial" w:eastAsia="Arial" w:hAnsi="Arial"/>
                <w:sz w:val="15"/>
                <w:szCs w:val="15"/>
                <w:color w:val="auto"/>
                <w:w w:val="91"/>
              </w:rPr>
              <w:t>million. We have agreed with the underwriters to</w:t>
            </w:r>
          </w:p>
        </w:tc>
      </w:tr>
    </w:tbl>
    <w:p>
      <w:pPr>
        <w:ind w:left="7"/>
        <w:spacing w:after="0"/>
        <w:rPr>
          <w:sz w:val="20"/>
          <w:szCs w:val="20"/>
          <w:color w:val="auto"/>
        </w:rPr>
      </w:pPr>
      <w:r>
        <w:rPr>
          <w:rFonts w:ascii="Arial" w:cs="Arial" w:eastAsia="Arial" w:hAnsi="Arial"/>
          <w:sz w:val="15"/>
          <w:szCs w:val="15"/>
          <w:color w:val="auto"/>
        </w:rPr>
        <w:t>pay certain fees and expenses related to the review and qualification of this offering by the Financial Industry Regulatory Authority, Inc. and "blue sky" expenses.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applied to have our common stock approved for listing on the The NASDAQ Global Market under the symbol "SELB."</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9" w:name="page200"/>
    <w:bookmarkEnd w:id="199"/>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59"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59"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60"/>
        <w:spacing w:after="0" w:line="282"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00" w:name="page201"/>
    <w:bookmarkEnd w:id="200"/>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8"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80"/>
        <w:spacing w:after="0" w:line="308"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100"/>
        <w:spacing w:after="0" w:line="262" w:lineRule="auto"/>
        <w:rPr>
          <w:sz w:val="20"/>
          <w:szCs w:val="20"/>
          <w:color w:val="auto"/>
        </w:rPr>
      </w:pPr>
      <w:r>
        <w:rPr>
          <w:rFonts w:ascii="Arial" w:cs="Arial" w:eastAsia="Arial" w:hAnsi="Arial"/>
          <w:sz w:val="15"/>
          <w:szCs w:val="15"/>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3" w:lineRule="exact"/>
        <w:rPr>
          <w:sz w:val="20"/>
          <w:szCs w:val="20"/>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01" w:name="page202"/>
    <w:bookmarkEnd w:id="201"/>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180" w:hanging="467"/>
        <w:spacing w:after="0" w:line="362" w:lineRule="auto"/>
        <w:tabs>
          <w:tab w:leader="none" w:pos="467" w:val="left"/>
        </w:tabs>
        <w:numPr>
          <w:ilvl w:val="0"/>
          <w:numId w:val="128"/>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28" w:lineRule="exact"/>
        <w:rPr>
          <w:rFonts w:ascii="Arial" w:cs="Arial" w:eastAsia="Arial" w:hAnsi="Arial"/>
          <w:sz w:val="13"/>
          <w:szCs w:val="13"/>
          <w:color w:val="auto"/>
        </w:rPr>
      </w:pPr>
    </w:p>
    <w:p>
      <w:pPr>
        <w:ind w:left="467" w:hanging="467"/>
        <w:spacing w:after="0" w:line="282" w:lineRule="auto"/>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1"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2"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59"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3" w:name="page204"/>
    <w:bookmarkEnd w:id="203"/>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20" w:hanging="467"/>
        <w:spacing w:after="0" w:line="282" w:lineRule="auto"/>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5" w:lineRule="exact"/>
        <w:rPr>
          <w:rFonts w:ascii="Arial" w:cs="Arial" w:eastAsia="Arial" w:hAnsi="Arial"/>
          <w:sz w:val="15"/>
          <w:szCs w:val="15"/>
          <w:color w:val="auto"/>
        </w:rPr>
      </w:pPr>
    </w:p>
    <w:p>
      <w:pPr>
        <w:ind w:left="927" w:right="20" w:hanging="464"/>
        <w:spacing w:after="0" w:line="282" w:lineRule="auto"/>
        <w:tabs>
          <w:tab w:leader="none" w:pos="92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 (i)(B) of the SFA;</w:t>
      </w:r>
    </w:p>
    <w:p>
      <w:pPr>
        <w:spacing w:after="0" w:line="162" w:lineRule="exact"/>
        <w:rPr>
          <w:rFonts w:ascii="Arial" w:cs="Arial" w:eastAsia="Arial" w:hAnsi="Arial"/>
          <w:sz w:val="15"/>
          <w:szCs w:val="15"/>
          <w:color w:val="auto"/>
        </w:rPr>
      </w:pPr>
    </w:p>
    <w:p>
      <w:pPr>
        <w:ind w:left="927" w:hanging="464"/>
        <w:spacing w:after="0"/>
        <w:tabs>
          <w:tab w:leader="none" w:pos="92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1" w:lineRule="exact"/>
        <w:rPr>
          <w:rFonts w:ascii="Arial" w:cs="Arial" w:eastAsia="Arial" w:hAnsi="Arial"/>
          <w:sz w:val="15"/>
          <w:szCs w:val="15"/>
          <w:color w:val="auto"/>
        </w:rPr>
      </w:pPr>
    </w:p>
    <w:p>
      <w:pPr>
        <w:ind w:left="927" w:hanging="464"/>
        <w:spacing w:after="0"/>
        <w:tabs>
          <w:tab w:leader="none" w:pos="92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09" w:lineRule="exact"/>
        <w:rPr>
          <w:rFonts w:ascii="Arial" w:cs="Arial" w:eastAsia="Arial" w:hAnsi="Arial"/>
          <w:sz w:val="15"/>
          <w:szCs w:val="15"/>
          <w:color w:val="auto"/>
        </w:rPr>
      </w:pPr>
    </w:p>
    <w:p>
      <w:pPr>
        <w:ind w:left="927" w:hanging="464"/>
        <w:spacing w:after="0"/>
        <w:tabs>
          <w:tab w:leader="none" w:pos="92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8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left="7" w:right="1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04" w:name="page205"/>
    <w:bookmarkEnd w:id="204"/>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0910" cy="7620"/>
                    </a:xfrm>
                    <a:prstGeom prst="rect">
                      <a:avLst/>
                    </a:prstGeom>
                    <a:noFill/>
                  </pic:spPr>
                </pic:pic>
              </a:graphicData>
            </a:graphic>
          </wp:anchor>
        </w:drawing>
        <w:t>Legal matters</w:t>
      </w:r>
    </w:p>
    <w:p>
      <w:pPr>
        <w:spacing w:after="0" w:line="183"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Our consolidated financial statements as of December 31, 2014 and December 31, 2015, and for the years then ended, appearing in this prospectus and the related registration statement have been audited by Ernst &amp; Young LLP, independent registered public accounting firm, as set forth in their report thereon appearing elsewhere herein, and are included in reliance on such report given on the authority of such firm as experts in accounting and auditing.</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3"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8091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3" w:lineRule="exact"/>
        <w:rPr>
          <w:sz w:val="20"/>
          <w:szCs w:val="20"/>
          <w:color w:val="auto"/>
        </w:rPr>
      </w:pPr>
    </w:p>
    <w:p>
      <w:pPr>
        <w:ind w:left="1140"/>
        <w:spacing w:after="0"/>
        <w:rPr>
          <w:rFonts w:ascii="Arial" w:cs="Arial" w:eastAsia="Arial" w:hAnsi="Arial"/>
          <w:sz w:val="15"/>
          <w:szCs w:val="15"/>
          <w:u w:val="single" w:color="auto"/>
          <w:color w:val="0000EE"/>
        </w:rPr>
      </w:pPr>
      <w:hyperlink w:anchor="page207">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140"/>
        <w:spacing w:after="0"/>
        <w:rPr>
          <w:rFonts w:ascii="Arial" w:cs="Arial" w:eastAsia="Arial" w:hAnsi="Arial"/>
          <w:sz w:val="15"/>
          <w:szCs w:val="15"/>
          <w:u w:val="single" w:color="auto"/>
          <w:color w:val="0000EE"/>
        </w:rPr>
      </w:pPr>
      <w:hyperlink w:anchor="page208">
        <w:r>
          <w:rPr>
            <w:rFonts w:ascii="Arial" w:cs="Arial" w:eastAsia="Arial" w:hAnsi="Arial"/>
            <w:sz w:val="15"/>
            <w:szCs w:val="15"/>
            <w:u w:val="single" w:color="auto"/>
            <w:color w:val="0000EE"/>
          </w:rPr>
          <w:t>Consolidated Balance Sheets as of December 31, 2014 and 2015</w:t>
        </w:r>
      </w:hyperlink>
    </w:p>
    <w:p>
      <w:pPr>
        <w:spacing w:after="0" w:line="13" w:lineRule="exact"/>
        <w:rPr>
          <w:sz w:val="20"/>
          <w:szCs w:val="20"/>
          <w:color w:val="auto"/>
        </w:rPr>
      </w:pPr>
    </w:p>
    <w:p>
      <w:pPr>
        <w:ind w:left="1140"/>
        <w:spacing w:after="0"/>
        <w:rPr>
          <w:rFonts w:ascii="Arial" w:cs="Arial" w:eastAsia="Arial" w:hAnsi="Arial"/>
          <w:sz w:val="15"/>
          <w:szCs w:val="15"/>
          <w:u w:val="single" w:color="auto"/>
          <w:color w:val="0000EE"/>
        </w:rPr>
      </w:pPr>
      <w:hyperlink w:anchor="page209">
        <w:r>
          <w:rPr>
            <w:rFonts w:ascii="Arial" w:cs="Arial" w:eastAsia="Arial" w:hAnsi="Arial"/>
            <w:sz w:val="15"/>
            <w:szCs w:val="15"/>
            <w:u w:val="single" w:color="auto"/>
            <w:color w:val="0000EE"/>
          </w:rPr>
          <w:t>Consolidated Statements of Operations and Comprehensive Loss for the years ended December 31, 2014 and 2015</w:t>
        </w:r>
      </w:hyperlink>
    </w:p>
    <w:p>
      <w:pPr>
        <w:spacing w:after="0" w:line="13" w:lineRule="exact"/>
        <w:rPr>
          <w:sz w:val="20"/>
          <w:szCs w:val="20"/>
          <w:color w:val="auto"/>
        </w:rPr>
      </w:pPr>
    </w:p>
    <w:p>
      <w:pPr>
        <w:ind w:left="1300" w:hanging="153"/>
        <w:spacing w:after="0" w:line="257" w:lineRule="auto"/>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Consolidated Statements of Redeemable Convertible Preferred Stock and Stockholders' Deficit for the years ended December 31, 2014 and</w:t>
        </w:r>
      </w:hyperlink>
      <w:r>
        <w:rPr>
          <w:rFonts w:ascii="Arial" w:cs="Arial" w:eastAsia="Arial" w:hAnsi="Arial"/>
          <w:sz w:val="15"/>
          <w:szCs w:val="15"/>
          <w:u w:val="single" w:color="auto"/>
          <w:color w:val="0000EE"/>
        </w:rPr>
        <w:t xml:space="preserve"> </w:t>
      </w:r>
      <w:hyperlink w:anchor="page210">
        <w:r>
          <w:rPr>
            <w:rFonts w:ascii="Arial" w:cs="Arial" w:eastAsia="Arial" w:hAnsi="Arial"/>
            <w:sz w:val="15"/>
            <w:szCs w:val="15"/>
            <w:u w:val="single" w:color="auto"/>
            <w:color w:val="0000EE"/>
          </w:rPr>
          <w:t>2015</w:t>
        </w:r>
      </w:hyperlink>
    </w:p>
    <w:p>
      <w:pPr>
        <w:spacing w:after="0" w:line="1" w:lineRule="exact"/>
        <w:rPr>
          <w:sz w:val="20"/>
          <w:szCs w:val="20"/>
          <w:color w:val="auto"/>
        </w:rPr>
      </w:pPr>
    </w:p>
    <w:p>
      <w:pPr>
        <w:ind w:left="1140" w:right="2980"/>
        <w:spacing w:after="0" w:line="275" w:lineRule="auto"/>
        <w:rPr>
          <w:rFonts w:ascii="Arial" w:cs="Arial" w:eastAsia="Arial" w:hAnsi="Arial"/>
          <w:sz w:val="15"/>
          <w:szCs w:val="15"/>
          <w:u w:val="single" w:color="auto"/>
          <w:color w:val="0000EE"/>
        </w:rPr>
      </w:pPr>
      <w:hyperlink w:anchor="page211">
        <w:r>
          <w:rPr>
            <w:rFonts w:ascii="Arial" w:cs="Arial" w:eastAsia="Arial" w:hAnsi="Arial"/>
            <w:sz w:val="15"/>
            <w:szCs w:val="15"/>
            <w:u w:val="single" w:color="auto"/>
            <w:color w:val="0000EE"/>
          </w:rPr>
          <w:t>Consolidated Statements of Cash Flows for the years ended December 31, 2014 and 2015</w:t>
        </w:r>
      </w:hyperlink>
      <w:r>
        <w:rPr>
          <w:rFonts w:ascii="Arial" w:cs="Arial" w:eastAsia="Arial" w:hAnsi="Arial"/>
          <w:sz w:val="15"/>
          <w:szCs w:val="15"/>
          <w:u w:val="single" w:color="auto"/>
          <w:color w:val="0000EE"/>
        </w:rPr>
        <w:t xml:space="preserve"> </w:t>
      </w:r>
      <w:hyperlink w:anchor="page212">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7">
        <w:r>
          <w:rPr>
            <w:rFonts w:ascii="Arial" w:cs="Arial" w:eastAsia="Arial" w:hAnsi="Arial"/>
            <w:sz w:val="14"/>
            <w:szCs w:val="14"/>
            <w:b w:val="1"/>
            <w:bCs w:val="1"/>
            <w:u w:val="single" w:color="auto"/>
            <w:color w:val="0000EE"/>
          </w:rPr>
          <w:t>F-2</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8">
        <w:r>
          <w:rPr>
            <w:rFonts w:ascii="Arial" w:cs="Arial" w:eastAsia="Arial" w:hAnsi="Arial"/>
            <w:sz w:val="14"/>
            <w:szCs w:val="14"/>
            <w:b w:val="1"/>
            <w:bCs w:val="1"/>
            <w:u w:val="single" w:color="auto"/>
            <w:color w:val="0000EE"/>
          </w:rPr>
          <w:t>F-3</w:t>
        </w:r>
      </w:hyperlink>
    </w:p>
    <w:p>
      <w:pPr>
        <w:spacing w:after="0" w:line="2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09">
        <w:r>
          <w:rPr>
            <w:rFonts w:ascii="Arial" w:cs="Arial" w:eastAsia="Arial" w:hAnsi="Arial"/>
            <w:sz w:val="14"/>
            <w:szCs w:val="14"/>
            <w:b w:val="1"/>
            <w:bCs w:val="1"/>
            <w:u w:val="single" w:color="auto"/>
            <w:color w:val="0000EE"/>
          </w:rPr>
          <w:t>F-4</w:t>
        </w:r>
      </w:hyperlink>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0">
        <w:r>
          <w:rPr>
            <w:rFonts w:ascii="Arial" w:cs="Arial" w:eastAsia="Arial" w:hAnsi="Arial"/>
            <w:sz w:val="14"/>
            <w:szCs w:val="14"/>
            <w:b w:val="1"/>
            <w:bCs w:val="1"/>
            <w:u w:val="single" w:color="auto"/>
            <w:color w:val="0000EE"/>
          </w:rPr>
          <w:t>F-5</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1">
        <w:r>
          <w:rPr>
            <w:rFonts w:ascii="Arial" w:cs="Arial" w:eastAsia="Arial" w:hAnsi="Arial"/>
            <w:sz w:val="14"/>
            <w:szCs w:val="14"/>
            <w:b w:val="1"/>
            <w:bCs w:val="1"/>
            <w:u w:val="single" w:color="auto"/>
            <w:color w:val="0000EE"/>
          </w:rPr>
          <w:t>F-6</w:t>
        </w:r>
      </w:hyperlink>
    </w:p>
    <w:p>
      <w:pPr>
        <w:spacing w:after="0" w:line="2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12">
        <w:r>
          <w:rPr>
            <w:rFonts w:ascii="Arial" w:cs="Arial" w:eastAsia="Arial" w:hAnsi="Arial"/>
            <w:sz w:val="14"/>
            <w:szCs w:val="14"/>
            <w:b w:val="1"/>
            <w:bCs w:val="1"/>
            <w:u w:val="single" w:color="auto"/>
            <w:color w:val="0000EE"/>
          </w:rPr>
          <w:t>F-7</w:t>
        </w:r>
      </w:hyperlink>
    </w:p>
    <w:p>
      <w:pPr>
        <w:spacing w:after="0" w:line="237"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22"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06" w:name="page207"/>
    <w:bookmarkEnd w:id="20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3"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We have audited the accompanying consolidated balance sheets of Selecta Biosciences, Inc. and subsidiaries ("the Company") as of December 31, 2015 and 2014, and the related consolidated statements of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Selecta Biosciences, Inc. and subsidiaries at December 31, 2015 and 2014, and the consolidated results of its operations and its cash flows for each of the two years in the period ended December 31, 2015, in conformity with U.S. generally accepted accounting principles.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recurring losses from operations and negative cash flows from operations and will require additional capital to fund planned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March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Pro forma</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6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21"/>
        </w:trPr>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r>
      <w:tr>
        <w:trPr>
          <w:trHeight w:val="13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11"/>
          </w:tcPr>
          <w:p>
            <w:pPr>
              <w:jc w:val="right"/>
              <w:ind w:right="160"/>
              <w:spacing w:after="0"/>
              <w:rPr>
                <w:sz w:val="20"/>
                <w:szCs w:val="20"/>
                <w:color w:val="auto"/>
              </w:rPr>
            </w:pPr>
            <w:r>
              <w:rPr>
                <w:rFonts w:ascii="Arial" w:cs="Arial" w:eastAsia="Arial" w:hAnsi="Arial"/>
                <w:sz w:val="12"/>
                <w:szCs w:val="12"/>
                <w:b w:val="1"/>
                <w:bCs w:val="1"/>
                <w:color w:val="auto"/>
              </w:rPr>
              <w:t>(in thousands, except share and per</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 data)</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674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current assets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2"/>
                <w:szCs w:val="12"/>
                <w:color w:val="auto"/>
              </w:rPr>
              <w:t>19,112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140" w:type="dxa"/>
            <w:vAlign w:val="bottom"/>
          </w:tcPr>
          <w:p>
            <w:pPr>
              <w:spacing w:after="0"/>
              <w:rPr>
                <w:sz w:val="10"/>
                <w:szCs w:val="10"/>
                <w:color w:val="auto"/>
              </w:rPr>
            </w:pPr>
          </w:p>
        </w:tc>
      </w:tr>
      <w:tr>
        <w:trPr>
          <w:trHeight w:val="255"/>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40" w:type="dxa"/>
            <w:vAlign w:val="bottom"/>
            <w:shd w:val="clear" w:color="auto" w:fill="CCEEFF"/>
          </w:tcPr>
          <w:p>
            <w:pPr>
              <w:spacing w:after="0"/>
              <w:rPr>
                <w:sz w:val="22"/>
                <w:szCs w:val="22"/>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1,106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assets</w:t>
            </w:r>
          </w:p>
        </w:tc>
        <w:tc>
          <w:tcPr>
            <w:tcW w:w="2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line="119" w:lineRule="exact"/>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40" w:type="dxa"/>
            <w:vAlign w:val="bottom"/>
          </w:tcPr>
          <w:p>
            <w:pPr>
              <w:spacing w:after="0"/>
              <w:rPr>
                <w:sz w:val="10"/>
                <w:szCs w:val="1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68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1,853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3,018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140" w:type="dxa"/>
            <w:vAlign w:val="bottom"/>
            <w:shd w:val="clear" w:color="auto" w:fill="CCEEFF"/>
          </w:tcPr>
          <w:p>
            <w:pPr>
              <w:spacing w:after="0"/>
              <w:rPr>
                <w:sz w:val="11"/>
                <w:szCs w:val="11"/>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current liabilities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2"/>
                <w:szCs w:val="12"/>
                <w:color w:val="auto"/>
              </w:rPr>
              <w:t>9,231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140" w:type="dxa"/>
            <w:vAlign w:val="bottom"/>
          </w:tcPr>
          <w:p>
            <w:pPr>
              <w:spacing w:after="0"/>
              <w:rPr>
                <w:sz w:val="10"/>
                <w:szCs w:val="10"/>
                <w:color w:val="auto"/>
              </w:rPr>
            </w:pPr>
          </w:p>
        </w:tc>
      </w:tr>
      <w:tr>
        <w:trPr>
          <w:trHeight w:val="255"/>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274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11,855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11,855</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rPr>
              <w:t>1,364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2,295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2,295</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long-term liabilities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liabilities</w:t>
            </w: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15,950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21,835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21,545</w:t>
            </w:r>
          </w:p>
        </w:tc>
        <w:tc>
          <w:tcPr>
            <w:tcW w:w="140" w:type="dxa"/>
            <w:vAlign w:val="bottom"/>
          </w:tcPr>
          <w:p>
            <w:pPr>
              <w:spacing w:after="0"/>
              <w:rPr>
                <w:sz w:val="10"/>
                <w:szCs w:val="10"/>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Commitments and contingencies (Notes 7 and 12)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255"/>
        </w:trPr>
        <w:tc>
          <w:tcPr>
            <w:tcW w:w="6840" w:type="dxa"/>
            <w:vAlign w:val="bottom"/>
          </w:tcPr>
          <w:p>
            <w:pPr>
              <w:spacing w:after="0"/>
              <w:rPr>
                <w:sz w:val="20"/>
                <w:szCs w:val="20"/>
                <w:color w:val="auto"/>
              </w:rPr>
            </w:pPr>
            <w:r>
              <w:rPr>
                <w:rFonts w:ascii="Arial" w:cs="Arial" w:eastAsia="Arial" w:hAnsi="Arial"/>
                <w:sz w:val="12"/>
                <w:szCs w:val="12"/>
                <w:color w:val="auto"/>
              </w:rPr>
              <w:t>Redeemable convertible preferred stock:</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5"/>
              </w:rPr>
              <w:t>Series A redeemable convertible preferred stock, $0.0001 par value; 2,589,868 shares authorized, issued, and outstanding (liquidation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8"/>
              </w:rPr>
              <w:t>preference of $3,500,151 at December 31, 2014 and $3,650,104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3,493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95"/>
              </w:rPr>
              <w:t>Series B redeemable convertible preferred stock, $0.0001 par value; 7,437,325 shares authorized, issued, and outstanding (liquidation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w w:val="96"/>
              </w:rPr>
              <w:t>preference of $20,568,097 at December 31, 2014 and $21,473,963 at December 31, 2015; none issued and 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20,533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21,448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5"/>
              </w:rPr>
              <w:t>Series C redeemable convertible preferred stock, $0.0001 par value; 5,000,002 shares authorized, issued, and outstanding (liquidation</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6"/>
              </w:rPr>
              <w:t>preference of $19,300,282 at December 31, 2014 and $20,200,282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19,270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20,178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91"/>
              </w:rPr>
              <w:t>Series D redeemable convertible preferred stock, $0.0001 par value; 8,166,662 and 8,166,662 shares authorized at December 31, 2014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840" w:type="dxa"/>
            <w:vAlign w:val="bottom"/>
          </w:tcPr>
          <w:p>
            <w:pPr>
              <w:ind w:left="100"/>
              <w:spacing w:after="0" w:line="128" w:lineRule="exact"/>
              <w:rPr>
                <w:sz w:val="20"/>
                <w:szCs w:val="20"/>
                <w:color w:val="auto"/>
              </w:rPr>
            </w:pPr>
            <w:r>
              <w:rPr>
                <w:rFonts w:ascii="Arial" w:cs="Arial" w:eastAsia="Arial" w:hAnsi="Arial"/>
                <w:sz w:val="12"/>
                <w:szCs w:val="12"/>
                <w:color w:val="auto"/>
                <w:w w:val="90"/>
              </w:rPr>
              <w:t>December 31, 2015, respectively; 8,099,994 and 8,099,994 shares issued and outstanding at December 31, 2014 and December 31, 2015,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840" w:type="dxa"/>
            <w:vAlign w:val="bottom"/>
          </w:tcPr>
          <w:p>
            <w:pPr>
              <w:ind w:left="100"/>
              <w:spacing w:after="0" w:line="128" w:lineRule="exact"/>
              <w:rPr>
                <w:sz w:val="20"/>
                <w:szCs w:val="20"/>
                <w:color w:val="auto"/>
              </w:rPr>
            </w:pPr>
            <w:r>
              <w:rPr>
                <w:rFonts w:ascii="Arial" w:cs="Arial" w:eastAsia="Arial" w:hAnsi="Arial"/>
                <w:sz w:val="12"/>
                <w:szCs w:val="12"/>
                <w:color w:val="auto"/>
                <w:w w:val="95"/>
              </w:rPr>
              <w:t>respectively (liquidation preference of $41,125,871 at December 31, 2014 and $43,312,869 at December 31, 2015; none issued 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40,570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42,902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9"/>
              </w:rPr>
              <w:t>Series SRN redeemable convertible preferred stock, $0.0001 par value; 5,611,112 shares authorized at December 31, 2014 and December 31,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8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3"/>
              </w:rPr>
              <w:t>2105; 2,111,109 and 2,111,109 shares issued and outstanding at December 31, 2014 and December 31, 2015, respectively (liquidation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w w:val="98"/>
              </w:rPr>
              <w:t>preference of $9,499,991 at December 31, 2014 and $9,499,991 at December 31, 2015; none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10,167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12,082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840" w:type="dxa"/>
            <w:vAlign w:val="bottom"/>
          </w:tcPr>
          <w:p>
            <w:pPr>
              <w:spacing w:after="0" w:line="118" w:lineRule="exact"/>
              <w:rPr>
                <w:sz w:val="20"/>
                <w:szCs w:val="20"/>
                <w:color w:val="auto"/>
              </w:rPr>
            </w:pPr>
            <w:r>
              <w:rPr>
                <w:rFonts w:ascii="Arial" w:cs="Arial" w:eastAsia="Arial" w:hAnsi="Arial"/>
                <w:sz w:val="12"/>
                <w:szCs w:val="12"/>
                <w:color w:val="auto"/>
                <w:w w:val="87"/>
              </w:rPr>
              <w:t>Series E redeemable convertible preferred stock, $0.0001 par value; 9,030,654 shares authorized and 8,888,888 shares issued and outstanding at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6"/>
        </w:trPr>
        <w:tc>
          <w:tcPr>
            <w:tcW w:w="6840" w:type="dxa"/>
            <w:vAlign w:val="bottom"/>
          </w:tcPr>
          <w:p>
            <w:pPr>
              <w:ind w:left="100"/>
              <w:spacing w:after="0" w:line="137" w:lineRule="exact"/>
              <w:rPr>
                <w:sz w:val="20"/>
                <w:szCs w:val="20"/>
                <w:color w:val="auto"/>
              </w:rPr>
            </w:pPr>
            <w:r>
              <w:rPr>
                <w:rFonts w:ascii="Arial" w:cs="Arial" w:eastAsia="Arial" w:hAnsi="Arial"/>
                <w:sz w:val="12"/>
                <w:szCs w:val="12"/>
                <w:color w:val="auto"/>
              </w:rPr>
              <w:t>December 31, 2015 (liquidation preference of $40,802,658 at December 31, 2015; none issued and outstanding pro forma)</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37,228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redeemable convertible preferred stock</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94,033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137,482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Stockholders' deficit:</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18"/>
        </w:trPr>
        <w:tc>
          <w:tcPr>
            <w:tcW w:w="68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9"/>
              </w:rPr>
              <w:t>Common stock, $0.0001 par value; 46,000,000 and 62,164,377 shares authorized at December 31, 2014 and December 31, 2015 respectively;</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8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92"/>
              </w:rPr>
              <w:t>8,343,123 and 8,505,810 shares issued, 8,283,596 and 8,476,269 shares outstanding as of December 31, 2014 and December 31, 2015,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84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respectively; 46,621,131 issued and outstanding pro forma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140" w:type="dxa"/>
            <w:vAlign w:val="bottom"/>
            <w:shd w:val="clear" w:color="auto" w:fill="CCEEFF"/>
          </w:tcPr>
          <w:p>
            <w:pPr>
              <w:spacing w:after="0"/>
              <w:rPr>
                <w:sz w:val="11"/>
                <w:szCs w:val="11"/>
                <w:color w:val="auto"/>
              </w:rPr>
            </w:pP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Additional paid in capital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137,768</w:t>
            </w:r>
          </w:p>
        </w:tc>
        <w:tc>
          <w:tcPr>
            <w:tcW w:w="140" w:type="dxa"/>
            <w:vAlign w:val="bottom"/>
          </w:tcPr>
          <w:p>
            <w:pPr>
              <w:spacing w:after="0"/>
              <w:rPr>
                <w:sz w:val="11"/>
                <w:szCs w:val="11"/>
                <w:color w:val="auto"/>
              </w:rPr>
            </w:pPr>
          </w:p>
        </w:tc>
      </w:tr>
      <w:tr>
        <w:trPr>
          <w:trHeight w:val="127"/>
        </w:trPr>
        <w:tc>
          <w:tcPr>
            <w:tcW w:w="68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deficit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(83,880)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(111,508)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(111,508)</w:t>
            </w:r>
          </w:p>
        </w:tc>
      </w:tr>
      <w:tr>
        <w:trPr>
          <w:trHeight w:val="127"/>
        </w:trPr>
        <w:tc>
          <w:tcPr>
            <w:tcW w:w="6840" w:type="dxa"/>
            <w:vAlign w:val="bottom"/>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(3,876)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(4,986)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(4,986)</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684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stockholders' deficit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(87,755)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2"/>
                <w:szCs w:val="12"/>
                <w:color w:val="auto"/>
              </w:rPr>
              <w:t>(116,493)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21,279</w:t>
            </w:r>
          </w:p>
        </w:tc>
        <w:tc>
          <w:tcPr>
            <w:tcW w:w="140" w:type="dxa"/>
            <w:vAlign w:val="bottom"/>
            <w:shd w:val="clear" w:color="auto" w:fill="CCEEFF"/>
          </w:tcPr>
          <w:p>
            <w:pPr>
              <w:spacing w:after="0"/>
              <w:rPr>
                <w:sz w:val="10"/>
                <w:szCs w:val="10"/>
                <w:color w:val="auto"/>
              </w:rPr>
            </w:pPr>
          </w:p>
        </w:tc>
      </w:tr>
      <w:tr>
        <w:trPr>
          <w:trHeight w:val="119"/>
        </w:trPr>
        <w:tc>
          <w:tcPr>
            <w:tcW w:w="6840" w:type="dxa"/>
            <w:vAlign w:val="bottom"/>
          </w:tcPr>
          <w:p>
            <w:pPr>
              <w:spacing w:after="0" w:line="119" w:lineRule="exact"/>
              <w:rPr>
                <w:sz w:val="20"/>
                <w:szCs w:val="20"/>
                <w:color w:val="auto"/>
              </w:rPr>
            </w:pPr>
            <w:r>
              <w:rPr>
                <w:rFonts w:ascii="Arial" w:cs="Arial" w:eastAsia="Arial" w:hAnsi="Arial"/>
                <w:sz w:val="12"/>
                <w:szCs w:val="12"/>
                <w:color w:val="auto"/>
              </w:rPr>
              <w:t>Total liabilities, redeemable convertible preferred stock and stockholders' deficit</w:t>
            </w:r>
          </w:p>
        </w:tc>
        <w:tc>
          <w:tcPr>
            <w:tcW w:w="2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40" w:type="dxa"/>
            <w:vAlign w:val="bottom"/>
          </w:tcPr>
          <w:p>
            <w:pPr>
              <w:spacing w:after="0"/>
              <w:rPr>
                <w:sz w:val="10"/>
                <w:szCs w:val="10"/>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5"/>
              </w:rPr>
              <w:t>Year ended December 31,</w:t>
            </w:r>
          </w:p>
        </w:tc>
      </w:tr>
      <w:tr>
        <w:trPr>
          <w:trHeight w:val="192"/>
        </w:trPr>
        <w:tc>
          <w:tcPr>
            <w:tcW w:w="6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6"/>
                <w:szCs w:val="16"/>
                <w:color w:val="auto"/>
              </w:rPr>
            </w:pPr>
          </w:p>
        </w:tc>
      </w:tr>
      <w:tr>
        <w:trPr>
          <w:trHeight w:val="113"/>
        </w:trPr>
        <w:tc>
          <w:tcPr>
            <w:tcW w:w="6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95"/>
              </w:rPr>
              <w:t>(in thousands, except share and</w:t>
            </w:r>
          </w:p>
        </w:tc>
        <w:tc>
          <w:tcPr>
            <w:tcW w:w="140" w:type="dxa"/>
            <w:vAlign w:val="bottom"/>
          </w:tcPr>
          <w:p>
            <w:pPr>
              <w:spacing w:after="0"/>
              <w:rPr>
                <w:sz w:val="9"/>
                <w:szCs w:val="9"/>
                <w:color w:val="auto"/>
              </w:rPr>
            </w:pPr>
          </w:p>
        </w:tc>
      </w:tr>
      <w:tr>
        <w:trPr>
          <w:trHeight w:val="142"/>
        </w:trPr>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7"/>
              </w:rPr>
              <w:t>per share data)</w:t>
            </w:r>
          </w:p>
        </w:tc>
      </w:tr>
      <w:tr>
        <w:trPr>
          <w:trHeight w:val="185"/>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40" w:type="dxa"/>
            <w:vAlign w:val="bottom"/>
            <w:shd w:val="clear" w:color="auto" w:fill="CCEEFF"/>
          </w:tcPr>
          <w:p>
            <w:pPr>
              <w:spacing w:after="0"/>
              <w:rPr>
                <w:sz w:val="16"/>
                <w:szCs w:val="16"/>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5"/>
                <w:szCs w:val="15"/>
                <w:color w:val="auto"/>
              </w:rPr>
              <w:t>Operating expenses:</w:t>
            </w:r>
          </w:p>
        </w:tc>
        <w:tc>
          <w:tcPr>
            <w:tcW w:w="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62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Research and development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40" w:type="dxa"/>
            <w:vAlign w:val="bottom"/>
            <w:shd w:val="clear" w:color="auto" w:fill="CCEEFF"/>
          </w:tcPr>
          <w:p>
            <w:pPr>
              <w:spacing w:after="0"/>
              <w:rPr>
                <w:sz w:val="16"/>
                <w:szCs w:val="16"/>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General and administrative</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40" w:type="dxa"/>
            <w:vAlign w:val="bottom"/>
          </w:tcPr>
          <w:p>
            <w:pPr>
              <w:spacing w:after="0"/>
              <w:rPr>
                <w:sz w:val="16"/>
                <w:szCs w:val="16"/>
                <w:color w:val="auto"/>
              </w:rPr>
            </w:pPr>
          </w:p>
        </w:tc>
      </w:tr>
      <w:tr>
        <w:trPr>
          <w:trHeight w:val="17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8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40" w:type="dxa"/>
            <w:vAlign w:val="bottom"/>
            <w:shd w:val="clear" w:color="auto" w:fill="CCEEFF"/>
          </w:tcPr>
          <w:p>
            <w:pPr>
              <w:spacing w:after="0"/>
              <w:rPr>
                <w:sz w:val="15"/>
                <w:szCs w:val="15"/>
                <w:color w:val="auto"/>
              </w:rPr>
            </w:pP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Loss from operations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(15,399)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(25,304)</w:t>
            </w:r>
          </w:p>
        </w:tc>
        <w:tc>
          <w:tcPr>
            <w:tcW w:w="140" w:type="dxa"/>
            <w:vAlign w:val="bottom"/>
          </w:tcPr>
          <w:p>
            <w:pPr>
              <w:spacing w:after="0"/>
              <w:rPr>
                <w:sz w:val="15"/>
                <w:szCs w:val="15"/>
                <w:color w:val="auto"/>
              </w:rPr>
            </w:pPr>
          </w:p>
        </w:tc>
      </w:tr>
      <w:tr>
        <w:trPr>
          <w:trHeight w:val="371"/>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24"/>
                <w:szCs w:val="24"/>
                <w:color w:val="auto"/>
              </w:rPr>
            </w:pP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Foreign currency transaction gain,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Pr>
          <w:p>
            <w:pPr>
              <w:spacing w:after="0"/>
              <w:rPr>
                <w:sz w:val="16"/>
                <w:szCs w:val="16"/>
                <w:color w:val="auto"/>
              </w:rPr>
            </w:pPr>
          </w:p>
        </w:tc>
      </w:tr>
      <w:tr>
        <w:trPr>
          <w:trHeight w:val="185"/>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(948)</w:t>
            </w: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Other expense, net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(26)</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(25,174)</w:t>
            </w:r>
          </w:p>
        </w:tc>
      </w:tr>
      <w:tr>
        <w:trPr>
          <w:trHeight w:val="176"/>
        </w:trPr>
        <w:tc>
          <w:tcPr>
            <w:tcW w:w="620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8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62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Foreign currency translation adjustment</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(3,281)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(1,110)</w:t>
            </w: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Comprehensive loss</w:t>
            </w:r>
          </w:p>
        </w:tc>
        <w:tc>
          <w:tcPr>
            <w:tcW w:w="8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(26,284)</w:t>
            </w:r>
          </w:p>
        </w:tc>
        <w:tc>
          <w:tcPr>
            <w:tcW w:w="140" w:type="dxa"/>
            <w:vAlign w:val="bottom"/>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(25,174)</w:t>
            </w:r>
          </w:p>
        </w:tc>
      </w:tr>
      <w:tr>
        <w:trPr>
          <w:trHeight w:val="185"/>
        </w:trPr>
        <w:tc>
          <w:tcPr>
            <w:tcW w:w="6200" w:type="dxa"/>
            <w:vAlign w:val="bottom"/>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(7,335)</w:t>
            </w:r>
          </w:p>
        </w:tc>
      </w:tr>
      <w:tr>
        <w:trPr>
          <w:trHeight w:val="185"/>
        </w:trPr>
        <w:tc>
          <w:tcPr>
            <w:tcW w:w="62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 preferred stock</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620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8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Pr>
          <w:p>
            <w:pPr>
              <w:spacing w:after="0"/>
              <w:rPr>
                <w:sz w:val="15"/>
                <w:szCs w:val="15"/>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(3.88)</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8,153,640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 forma net loss per share attributable to common stockholders (unaudited)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(0.66)</w:t>
            </w: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62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Pro forma weighted average common shares of common stock outstanding (unaudited)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620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38,013,042</w:t>
            </w:r>
          </w:p>
        </w:tc>
        <w:tc>
          <w:tcPr>
            <w:tcW w:w="140" w:type="dxa"/>
            <w:vAlign w:val="bottom"/>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3" w:right="137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ind w:right="680"/>
        <w:spacing w:after="0" w:line="250"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760" w:type="dxa"/>
            <w:vAlign w:val="bottom"/>
            <w:gridSpan w:val="4"/>
          </w:tcPr>
          <w:p>
            <w:pPr>
              <w:jc w:val="center"/>
              <w:ind w:left="201"/>
              <w:spacing w:after="0"/>
              <w:rPr>
                <w:sz w:val="20"/>
                <w:szCs w:val="20"/>
                <w:color w:val="auto"/>
              </w:rPr>
            </w:pPr>
            <w:r>
              <w:rPr>
                <w:rFonts w:ascii="Arial" w:cs="Arial" w:eastAsia="Arial" w:hAnsi="Arial"/>
                <w:sz w:val="12"/>
                <w:szCs w:val="12"/>
                <w:b w:val="1"/>
                <w:bCs w:val="1"/>
                <w:color w:val="auto"/>
              </w:rPr>
              <w:t>Series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B</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C</w:t>
            </w:r>
          </w:p>
        </w:tc>
        <w:tc>
          <w:tcPr>
            <w:tcW w:w="40" w:type="dxa"/>
            <w:vAlign w:val="bottom"/>
          </w:tcPr>
          <w:p>
            <w:pPr>
              <w:spacing w:after="0"/>
              <w:rPr>
                <w:sz w:val="12"/>
                <w:szCs w:val="12"/>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Series D</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Series 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40" w:type="dxa"/>
            <w:vAlign w:val="bottom"/>
            <w:gridSpan w:val="6"/>
            <w:vMerge w:val="restart"/>
          </w:tcPr>
          <w:p>
            <w:pPr>
              <w:jc w:val="center"/>
              <w:ind w:right="20"/>
              <w:spacing w:after="0"/>
              <w:rPr>
                <w:sz w:val="20"/>
                <w:szCs w:val="20"/>
                <w:color w:val="auto"/>
              </w:rPr>
            </w:pPr>
            <w:r>
              <w:rPr>
                <w:rFonts w:ascii="Arial" w:cs="Arial" w:eastAsia="Arial" w:hAnsi="Arial"/>
                <w:sz w:val="12"/>
                <w:szCs w:val="12"/>
                <w:b w:val="1"/>
                <w:bCs w:val="1"/>
                <w:color w:val="auto"/>
              </w:rPr>
              <w:t>redeemable</w:t>
            </w: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convertible</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convertible</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w w:val="97"/>
              </w:rPr>
              <w:t>(in thousands,</w:t>
            </w: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preferred stock</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preferred stock</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12"/>
                <w:szCs w:val="12"/>
                <w:color w:val="auto"/>
              </w:rPr>
            </w:pPr>
          </w:p>
        </w:tc>
        <w:tc>
          <w:tcPr>
            <w:tcW w:w="1040" w:type="dxa"/>
            <w:vAlign w:val="bottom"/>
            <w:gridSpan w:val="4"/>
          </w:tcPr>
          <w:p>
            <w:pPr>
              <w:jc w:val="right"/>
              <w:ind w:right="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Additional</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104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54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40" w:type="dxa"/>
            <w:vAlign w:val="bottom"/>
            <w:gridSpan w:val="11"/>
          </w:tcPr>
          <w:p>
            <w:pPr>
              <w:ind w:left="40"/>
              <w:spacing w:after="0" w:line="129" w:lineRule="exact"/>
              <w:rPr>
                <w:sz w:val="20"/>
                <w:szCs w:val="20"/>
                <w:color w:val="auto"/>
              </w:rPr>
            </w:pPr>
            <w:r>
              <w:rPr>
                <w:rFonts w:ascii="Arial" w:cs="Arial" w:eastAsia="Arial" w:hAnsi="Arial"/>
                <w:sz w:val="12"/>
                <w:szCs w:val="12"/>
                <w:b w:val="1"/>
                <w:bCs w:val="1"/>
                <w:color w:val="auto"/>
              </w:rPr>
              <w:t>paid-In  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Capital</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right w:val="single" w:sz="8" w:color="CCEEFF"/>
            </w:tcBorders>
            <w:gridSpan w:val="9"/>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4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79"/>
              </w:rPr>
              <w:t>3,350</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w w:val="97"/>
              </w:rPr>
              <w:t>19,662</w:t>
            </w:r>
          </w:p>
        </w:tc>
        <w:tc>
          <w:tcPr>
            <w:tcW w:w="52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w w:val="92"/>
              </w:rPr>
              <w:t>18,381</w:t>
            </w:r>
          </w:p>
        </w:tc>
        <w:tc>
          <w:tcPr>
            <w:tcW w:w="56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w w:val="97"/>
              </w:rPr>
              <w:t>4,888,889</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24,366</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777,777</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4,643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w w:val="97"/>
              </w:rPr>
              <w:t>7,906,292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(68,869)</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(595)</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(69,463)</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14,349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Net effect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1"/>
              </w:rPr>
              <w:t>extinguishment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of 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(see Note 8)</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9"/>
              </w:rPr>
              <w:t>(1,459)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1,459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1,333,332</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226,609</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150,695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1,224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143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1,855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183"/>
              <w:spacing w:after="0" w:line="137" w:lineRule="exact"/>
              <w:rPr>
                <w:sz w:val="20"/>
                <w:szCs w:val="20"/>
                <w:color w:val="auto"/>
              </w:rPr>
            </w:pPr>
            <w:r>
              <w:rPr>
                <w:rFonts w:ascii="Arial" w:cs="Arial" w:eastAsia="Arial" w:hAnsi="Arial"/>
                <w:sz w:val="12"/>
                <w:szCs w:val="12"/>
                <w:color w:val="auto"/>
                <w:w w:val="84"/>
              </w:rPr>
              <w:t>(2,820)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(2,131)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79"/>
              </w:rPr>
              <w:t>3,493</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140" w:type="dxa"/>
            <w:vAlign w:val="bottom"/>
            <w:gridSpan w:val="2"/>
          </w:tcPr>
          <w:p>
            <w:pPr>
              <w:ind w:left="40"/>
              <w:spacing w:after="0" w:line="137"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w w:val="97"/>
              </w:rPr>
              <w:t>20,533</w:t>
            </w:r>
          </w:p>
        </w:tc>
        <w:tc>
          <w:tcPr>
            <w:tcW w:w="52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160" w:type="dxa"/>
            <w:vAlign w:val="bottom"/>
            <w:gridSpan w:val="2"/>
          </w:tcPr>
          <w:p>
            <w:pPr>
              <w:ind w:left="40"/>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w w:val="92"/>
              </w:rPr>
              <w:t>19,270</w:t>
            </w:r>
          </w:p>
        </w:tc>
        <w:tc>
          <w:tcPr>
            <w:tcW w:w="560" w:type="dxa"/>
            <w:vAlign w:val="bottom"/>
            <w:gridSpan w:val="3"/>
          </w:tcPr>
          <w:p>
            <w:pPr>
              <w:jc w:val="right"/>
              <w:ind w:right="20"/>
              <w:spacing w:after="0" w:line="137" w:lineRule="exact"/>
              <w:rPr>
                <w:sz w:val="20"/>
                <w:szCs w:val="20"/>
                <w:color w:val="auto"/>
              </w:rPr>
            </w:pPr>
            <w:r>
              <w:rPr>
                <w:rFonts w:ascii="Arial" w:cs="Arial" w:eastAsia="Arial" w:hAnsi="Arial"/>
                <w:sz w:val="12"/>
                <w:szCs w:val="12"/>
                <w:color w:val="auto"/>
                <w:w w:val="97"/>
              </w:rPr>
              <w:t>8,099,994</w:t>
            </w:r>
          </w:p>
        </w:tc>
        <w:tc>
          <w:tcPr>
            <w:tcW w:w="12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40,570</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w w:val="89"/>
              </w:rPr>
              <w:t>2,111,109</w:t>
            </w:r>
          </w:p>
        </w:tc>
        <w:tc>
          <w:tcPr>
            <w:tcW w:w="12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w w:val="92"/>
              </w:rPr>
              <w:t>10,167</w:t>
            </w:r>
          </w:p>
        </w:tc>
        <w:tc>
          <w:tcPr>
            <w:tcW w:w="640" w:type="dxa"/>
            <w:vAlign w:val="bottom"/>
            <w:gridSpan w:val="3"/>
          </w:tcPr>
          <w:p>
            <w:pPr>
              <w:jc w:val="right"/>
              <w:spacing w:after="0" w:line="137" w:lineRule="exact"/>
              <w:rPr>
                <w:sz w:val="20"/>
                <w:szCs w:val="20"/>
                <w:color w:val="auto"/>
              </w:rPr>
            </w:pPr>
            <w:r>
              <w:rPr>
                <w:rFonts w:ascii="Arial" w:cs="Arial" w:eastAsia="Arial" w:hAnsi="Arial"/>
                <w:sz w:val="12"/>
                <w:szCs w:val="12"/>
                <w:color w:val="auto"/>
              </w:rPr>
              <w:t>— $</w:t>
            </w: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w w:val="97"/>
              </w:rPr>
              <w:t>8,283,596</w:t>
            </w:r>
          </w:p>
        </w:tc>
        <w:tc>
          <w:tcPr>
            <w:tcW w:w="24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(83,880)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(3,876)</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(87,755)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$217,140</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  8,888,888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left="223"/>
              <w:spacing w:after="0" w:line="137" w:lineRule="exact"/>
              <w:rPr>
                <w:sz w:val="20"/>
                <w:szCs w:val="20"/>
                <w:color w:val="auto"/>
              </w:rPr>
            </w:pPr>
            <w:r>
              <w:rPr>
                <w:rFonts w:ascii="Arial" w:cs="Arial" w:eastAsia="Arial" w:hAnsi="Arial"/>
                <w:sz w:val="12"/>
                <w:szCs w:val="12"/>
                <w:color w:val="auto"/>
                <w:w w:val="86"/>
              </w:rPr>
              <w:t>3,647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3,647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29,986</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1"/>
              </w:rPr>
              <w:t>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162,687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440"/>
              <w:spacing w:after="0"/>
              <w:rPr>
                <w:sz w:val="20"/>
                <w:szCs w:val="20"/>
                <w:color w:val="auto"/>
              </w:rPr>
            </w:pPr>
            <w:r>
              <w:rPr>
                <w:rFonts w:ascii="Arial" w:cs="Arial" w:eastAsia="Arial" w:hAnsi="Arial"/>
                <w:sz w:val="10"/>
                <w:szCs w:val="10"/>
                <w:color w:val="auto"/>
                <w:w w:val="71"/>
              </w:rPr>
              <w:t>86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center"/>
              <w:ind w:left="223"/>
              <w:spacing w:after="0" w:line="137" w:lineRule="exact"/>
              <w:rPr>
                <w:sz w:val="20"/>
                <w:szCs w:val="20"/>
                <w:color w:val="auto"/>
              </w:rPr>
            </w:pPr>
            <w:r>
              <w:rPr>
                <w:rFonts w:ascii="Arial" w:cs="Arial" w:eastAsia="Arial" w:hAnsi="Arial"/>
                <w:sz w:val="12"/>
                <w:szCs w:val="12"/>
                <w:color w:val="auto"/>
                <w:w w:val="86"/>
              </w:rPr>
              <w:t>1,125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151</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915</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908</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2,332</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1,915</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1,114</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left="183"/>
              <w:spacing w:after="0" w:line="137" w:lineRule="exact"/>
              <w:rPr>
                <w:sz w:val="20"/>
                <w:szCs w:val="20"/>
                <w:color w:val="auto"/>
              </w:rPr>
            </w:pPr>
            <w:r>
              <w:rPr>
                <w:rFonts w:ascii="Arial" w:cs="Arial" w:eastAsia="Arial" w:hAnsi="Arial"/>
                <w:sz w:val="12"/>
                <w:szCs w:val="12"/>
                <w:color w:val="auto"/>
                <w:w w:val="84"/>
              </w:rPr>
              <w:t>(4,881)</w:t>
            </w:r>
          </w:p>
        </w:tc>
        <w:tc>
          <w:tcPr>
            <w:tcW w:w="12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(2,454)</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(7,335)</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(1,110)</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27"/>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ind w:left="44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(25,174)</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(25,174)</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2015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89"/>
              </w:rPr>
              <w:t>2,589,868</w:t>
            </w:r>
          </w:p>
        </w:tc>
        <w:tc>
          <w:tcPr>
            <w:tcW w:w="2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79"/>
              </w:rPr>
              <w:t>3,644</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7,437,325</w:t>
            </w:r>
          </w:p>
        </w:tc>
        <w:tc>
          <w:tcPr>
            <w:tcW w:w="14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21,448</w:t>
            </w:r>
          </w:p>
        </w:tc>
        <w:tc>
          <w:tcPr>
            <w:tcW w:w="5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w w:val="93"/>
              </w:rPr>
              <w:t>5,000,002</w:t>
            </w:r>
          </w:p>
        </w:tc>
        <w:tc>
          <w:tcPr>
            <w:tcW w:w="160" w:type="dxa"/>
            <w:vAlign w:val="bottom"/>
            <w:gridSpan w:val="2"/>
            <w:shd w:val="clear" w:color="auto" w:fill="CCEEFF"/>
          </w:tcPr>
          <w:p>
            <w:pPr>
              <w:ind w:left="40"/>
              <w:spacing w:after="0" w:line="137" w:lineRule="exact"/>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92"/>
              </w:rPr>
              <w:t>20,178</w:t>
            </w:r>
          </w:p>
        </w:tc>
        <w:tc>
          <w:tcPr>
            <w:tcW w:w="560" w:type="dxa"/>
            <w:vAlign w:val="bottom"/>
            <w:gridSpan w:val="3"/>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97"/>
              </w:rPr>
              <w:t>8,099,994</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42,902</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w w:val="89"/>
              </w:rPr>
              <w:t>2,111,109</w:t>
            </w:r>
          </w:p>
        </w:tc>
        <w:tc>
          <w:tcPr>
            <w:tcW w:w="12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12,082</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w w:val="89"/>
              </w:rPr>
              <w:t>8,888,888</w:t>
            </w:r>
          </w:p>
        </w:tc>
        <w:tc>
          <w:tcPr>
            <w:tcW w:w="14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37,228</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w w:val="97"/>
              </w:rPr>
              <w:t>8,476,269</w:t>
            </w:r>
          </w:p>
        </w:tc>
        <w:tc>
          <w:tcPr>
            <w:tcW w:w="24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ind w:left="440"/>
              <w:spacing w:after="0" w:line="137"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(111,508)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(4,986)</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(116,493)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sectPr>
      </w:pPr>
    </w:p>
    <w:p>
      <w:pPr>
        <w:spacing w:after="0" w:line="264"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520"/>
          </w:cols>
          <w:pgMar w:left="240" w:top="132" w:right="139" w:bottom="1440" w:gutter="0" w:footer="0" w:header="0"/>
          <w:type w:val="continuous"/>
        </w:sectPr>
      </w:pPr>
    </w:p>
    <w:bookmarkStart w:id="210" w:name="page211"/>
    <w:bookmarkEnd w:id="21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4"/>
        </w:trPr>
        <w:tc>
          <w:tcPr>
            <w:tcW w:w="5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5"/>
          </w:tcPr>
          <w:p>
            <w:pPr>
              <w:jc w:val="center"/>
              <w:ind w:right="85"/>
              <w:spacing w:after="0" w:line="13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Net loss</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(12,880)</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(25,174)</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Depreciation</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864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1,044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Stock-based compensation expense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Non-cash interest expense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 in fair value of redeemable convertible preferred stock warrant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85"/>
        </w:trPr>
        <w:tc>
          <w:tcPr>
            <w:tcW w:w="5960" w:type="dxa"/>
            <w:vAlign w:val="bottom"/>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Accounts receivable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Prepaid expenses and other assets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(404)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(1,011)</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Restricted cash and other deposits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Deferred revenue</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5"/>
        </w:trPr>
        <w:tc>
          <w:tcPr>
            <w:tcW w:w="5960" w:type="dxa"/>
            <w:vAlign w:val="bottom"/>
          </w:tcPr>
          <w:p>
            <w:pPr>
              <w:ind w:left="260"/>
              <w:spacing w:after="0"/>
              <w:rPr>
                <w:sz w:val="20"/>
                <w:szCs w:val="20"/>
                <w:color w:val="auto"/>
              </w:rPr>
            </w:pPr>
            <w:r>
              <w:rPr>
                <w:rFonts w:ascii="Arial" w:cs="Arial" w:eastAsia="Arial" w:hAnsi="Arial"/>
                <w:sz w:val="15"/>
                <w:szCs w:val="15"/>
                <w:color w:val="auto"/>
              </w:rPr>
              <w:t>Contingently repayable grant funding</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expenses and other liabilities</w:t>
            </w:r>
          </w:p>
        </w:tc>
        <w:tc>
          <w:tcPr>
            <w:tcW w:w="1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1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(12,686)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(22,463)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Purchase of short term government obligations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(3,516)</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(1,163)</w:t>
            </w: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5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1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Net proceeds from issuance of preferred stock and warrants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20,140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32,669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convertible note, net of issuance costs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Principle payments on loan payable</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(2,336)</w:t>
            </w: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Deferred issuance costs</w:t>
            </w: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Proceeds from loans payable, net of issuance costs</w:t>
            </w: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4,494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6,674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w:t>
            </w:r>
          </w:p>
        </w:tc>
        <w:tc>
          <w:tcPr>
            <w:tcW w:w="1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1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24,771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(3,323)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(1,019)</w:t>
            </w: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Net increase in cash and cash equivalents</w:t>
            </w:r>
          </w:p>
        </w:tc>
        <w:tc>
          <w:tcPr>
            <w:tcW w:w="1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8,535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156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Arial" w:cs="Arial" w:eastAsia="Arial" w:hAnsi="Arial"/>
                <w:sz w:val="15"/>
                <w:szCs w:val="15"/>
                <w:color w:val="auto"/>
              </w:rPr>
              <w:t>Cash and cash equivalents at end of year</w:t>
            </w:r>
          </w:p>
        </w:tc>
        <w:tc>
          <w:tcPr>
            <w:tcW w:w="15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Cash paid during the year for:</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Interest</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Supplemental Noncash Financing Activities:</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20"/>
                <w:szCs w:val="20"/>
                <w:color w:val="auto"/>
              </w:rPr>
            </w:pPr>
            <w:r>
              <w:rPr>
                <w:rFonts w:ascii="Arial" w:cs="Arial" w:eastAsia="Arial" w:hAnsi="Arial"/>
                <w:sz w:val="15"/>
                <w:szCs w:val="15"/>
                <w:color w:val="auto"/>
              </w:rPr>
              <w:t>Venture debt termination fee liability</w:t>
            </w:r>
          </w:p>
        </w:tc>
        <w:tc>
          <w:tcPr>
            <w:tcW w:w="17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Issuance of preferred warrants in connection with venture loans</w:t>
            </w: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137</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5"/>
                <w:szCs w:val="15"/>
                <w:color w:val="auto"/>
              </w:rPr>
              <w:t>Accrued dividends and accretion of preferred stock to redemption value</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4,951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7,335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Conversion of bridge loans into Series E preferred</w:t>
            </w:r>
          </w:p>
        </w:tc>
        <w:tc>
          <w:tcPr>
            <w:tcW w:w="170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7,288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3" w:right="137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amounts are in millions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180"/>
        <w:spacing w:after="0" w:line="306" w:lineRule="auto"/>
        <w:rPr>
          <w:sz w:val="20"/>
          <w:szCs w:val="20"/>
          <w:color w:val="auto"/>
        </w:rPr>
      </w:pPr>
      <w:r>
        <w:rPr>
          <w:rFonts w:ascii="Arial" w:cs="Arial" w:eastAsia="Arial" w:hAnsi="Arial"/>
          <w:sz w:val="13"/>
          <w:szCs w:val="13"/>
          <w:color w:val="auto"/>
        </w:rPr>
        <w:t>The Company has incurred losses since inception and negative cash flows from operating activities. As of December 31, 2014 and December 31, 2015, the Company had an accumulated deficit of $83.9 million and $111.5 million, respectively. The Company has financed its operations to date through issuances of redeemable convertible preferred stock (collectively, "Preferred Stock"), debt, research grants and a research collaboration. During the year ended December 31, 2015, the Company raised an additional $39.8 million, net of issuance costs, through the issuance of convertible notes (Note 8) and Series E redeemable convertible preferred stock ("Series E Preferred") (Note 9) and $6.8 million through the issuance of additional venture debt ("Debt") (Note 8). The Company's cash and cash equivalents as of December 31, 2014 and December 31, 2015 included $5.3 million and $3.0 million, respectively,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43" w:lineRule="exact"/>
        <w:rPr>
          <w:sz w:val="20"/>
          <w:szCs w:val="20"/>
          <w:color w:val="auto"/>
        </w:rPr>
      </w:pPr>
    </w:p>
    <w:p>
      <w:pPr>
        <w:jc w:val="both"/>
        <w:ind w:right="40"/>
        <w:spacing w:after="0" w:line="330" w:lineRule="auto"/>
        <w:rPr>
          <w:sz w:val="20"/>
          <w:szCs w:val="20"/>
          <w:color w:val="auto"/>
        </w:rPr>
      </w:pPr>
      <w:r>
        <w:rPr>
          <w:rFonts w:ascii="Arial" w:cs="Arial" w:eastAsia="Arial" w:hAnsi="Arial"/>
          <w:sz w:val="13"/>
          <w:szCs w:val="13"/>
          <w:color w:val="auto"/>
        </w:rPr>
        <w:t>These factors raise substantial doubt about the Company's ability to continue as a going concern. 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2" w:name="page213"/>
    <w:bookmarkEnd w:id="212"/>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The unaudited pro forma consolidated balance sheet information at December 31, 2015 has been prepared to reflect the automatic conversion of all shares of Preferred Stock outstanding at December 31, 2015 into 35,935,400 shares of common stock and cashless exercise of warrants for the purchase of 2,209,451 shares of common stock as if a proposed initial public offering had occurred on December 31, 2015. For purposes of pro forma basic and diluted net loss per share attributable to common stockholders, all shares of Preferred Stock and those warrants which will automatically be converted or exercised upon the filing of a registration statement on Form S-1 or closing of an initial public offering, and the preferred stock warrants which will convert into common stock warrants upon the closing of an initial public offering, have been treated as if they have been converted or exercised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45" w:lineRule="exact"/>
        <w:rPr>
          <w:sz w:val="20"/>
          <w:szCs w:val="20"/>
          <w:color w:val="auto"/>
        </w:rPr>
      </w:pPr>
    </w:p>
    <w:p>
      <w:pPr>
        <w:ind w:left="7" w:right="8160" w:hanging="7"/>
        <w:spacing w:after="0" w:line="505" w:lineRule="auto"/>
        <w:tabs>
          <w:tab w:leader="none" w:pos="175"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right="100"/>
        <w:spacing w:after="0" w:line="319"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ind w:left="7"/>
        <w:spacing w:after="0" w:line="310" w:lineRule="auto"/>
        <w:rPr>
          <w:sz w:val="20"/>
          <w:szCs w:val="20"/>
          <w:color w:val="auto"/>
        </w:rPr>
      </w:pPr>
      <w:r>
        <w:rPr>
          <w:rFonts w:ascii="Arial" w:cs="Arial" w:eastAsia="Arial" w:hAnsi="Arial"/>
          <w:sz w:val="13"/>
          <w:szCs w:val="13"/>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w:t>
      </w:r>
      <w:r>
        <w:rPr>
          <w:rFonts w:ascii="Arial" w:cs="Arial" w:eastAsia="Arial" w:hAnsi="Arial"/>
          <w:sz w:val="13"/>
          <w:szCs w:val="13"/>
          <w:b w:val="1"/>
          <w:bCs w:val="1"/>
          <w:color w:val="auto"/>
        </w:rPr>
        <w:t>-</w:t>
      </w:r>
      <w:r>
        <w:rPr>
          <w:rFonts w:ascii="Arial" w:cs="Arial" w:eastAsia="Arial" w:hAnsi="Arial"/>
          <w:sz w:val="13"/>
          <w:szCs w:val="13"/>
          <w:color w:val="auto"/>
        </w:rPr>
        <w: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w:t>
      </w:r>
      <w:r>
        <w:rPr>
          <w:rFonts w:ascii="Arial" w:cs="Arial" w:eastAsia="Arial" w:hAnsi="Arial"/>
          <w:sz w:val="13"/>
          <w:szCs w:val="13"/>
          <w:b w:val="1"/>
          <w:bCs w:val="1"/>
          <w:color w:val="auto"/>
        </w:rPr>
        <w:t>-</w:t>
      </w:r>
      <w:r>
        <w:rPr>
          <w:rFonts w:ascii="Arial" w:cs="Arial" w:eastAsia="Arial" w:hAnsi="Arial"/>
          <w:sz w:val="13"/>
          <w:szCs w:val="13"/>
          <w:color w:val="auto"/>
        </w:rPr>
        <w:t>based compensation, income taxes, collectability of accounts receivable, useful lives of long</w:t>
      </w:r>
      <w:r>
        <w:rPr>
          <w:rFonts w:ascii="Arial" w:cs="Arial" w:eastAsia="Arial" w:hAnsi="Arial"/>
          <w:sz w:val="13"/>
          <w:szCs w:val="13"/>
          <w:b w:val="1"/>
          <w:bCs w:val="1"/>
          <w:color w:val="auto"/>
        </w:rPr>
        <w:t>-</w:t>
      </w:r>
      <w:r>
        <w:rPr>
          <w:rFonts w:ascii="Arial" w:cs="Arial" w:eastAsia="Arial" w:hAnsi="Arial"/>
          <w:sz w:val="13"/>
          <w:szCs w:val="13"/>
          <w:color w:val="auto"/>
        </w:rPr>
        <w:t>lived assets, accrued expenses, and accounting for project development. The Company assesses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above estimates on an ongoing basis; however, actual results could materially differ from those estimates.</w:t>
      </w:r>
    </w:p>
    <w:p>
      <w:pPr>
        <w:spacing w:after="0" w:line="198"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The Company's management makes significant estimates and assumptions in determining the fair value of its common stock. The Company utilizes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2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2015, there were no realized gains or losses on sales of investments, and no investments were adjusted for other than temporary declines in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As an integral part of operating our Russia subsidiary, we also maintain cash in Russian bank accounts in denominations of both rubles and U.S. dollars. As of December 31, 2015, we maintained approximately $3.8 million in Russian bank accounts, of which $3.0 million was held in U.S. dollars.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Company has minimal credit risk as the majority of accounts receivable relates to amounts due under a government sponsored grant, collaboration with large pharmaceutical companies or grants from well-known and supported non-profit organizations. The Company did not have any off balance sheet arrangements as of December 31, 2014 and 2015.</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Company's financial instruments consist mainly of cash equivalents, short-term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8" w:lineRule="exact"/>
        <w:rPr>
          <w:sz w:val="20"/>
          <w:szCs w:val="20"/>
          <w:color w:val="auto"/>
        </w:rPr>
      </w:pPr>
    </w:p>
    <w:p>
      <w:pPr>
        <w:ind w:left="460"/>
        <w:spacing w:after="0" w:line="28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2014 and 2015, the Company's Preferred Stock Warrants were the only financial instruments classified as Level 3.</w:t>
      </w:r>
    </w:p>
    <w:p>
      <w:pPr>
        <w:spacing w:after="0" w:line="162" w:lineRule="exact"/>
        <w:rPr>
          <w:sz w:val="20"/>
          <w:szCs w:val="20"/>
          <w:color w:val="auto"/>
        </w:rPr>
      </w:pPr>
    </w:p>
    <w:p>
      <w:pPr>
        <w:ind w:right="340"/>
        <w:spacing w:after="0" w:line="270" w:lineRule="auto"/>
        <w:rPr>
          <w:sz w:val="20"/>
          <w:szCs w:val="20"/>
          <w:color w:val="auto"/>
        </w:rPr>
      </w:pPr>
      <w:r>
        <w:rPr>
          <w:rFonts w:ascii="Arial" w:cs="Arial" w:eastAsia="Arial" w:hAnsi="Arial"/>
          <w:sz w:val="15"/>
          <w:szCs w:val="15"/>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5" w:name="page216"/>
    <w:bookmarkEnd w:id="215"/>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2014 and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left="7" w:right="100"/>
        <w:spacing w:after="0" w:line="319"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left="7" w:right="60"/>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recognized any impairment charges through December 31, 2015.</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Debt issuance costs</w:t>
      </w:r>
    </w:p>
    <w:p>
      <w:pPr>
        <w:spacing w:after="0" w:line="195" w:lineRule="exact"/>
        <w:rPr>
          <w:sz w:val="20"/>
          <w:szCs w:val="20"/>
          <w:color w:val="auto"/>
        </w:rPr>
      </w:pPr>
    </w:p>
    <w:p>
      <w:pPr>
        <w:ind w:left="7" w:right="40"/>
        <w:spacing w:after="0" w:line="319" w:lineRule="auto"/>
        <w:rPr>
          <w:sz w:val="20"/>
          <w:szCs w:val="20"/>
          <w:color w:val="auto"/>
        </w:rPr>
      </w:pPr>
      <w:r>
        <w:rPr>
          <w:rFonts w:ascii="Arial" w:cs="Arial" w:eastAsia="Arial" w:hAnsi="Arial"/>
          <w:sz w:val="14"/>
          <w:szCs w:val="14"/>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320"/>
        <w:spacing w:after="0" w:line="319"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40" w:lineRule="exact"/>
        <w:rPr>
          <w:sz w:val="20"/>
          <w:szCs w:val="20"/>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49"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At the inception of each agreement that includes milestone payments, the Company evaluates whether each milestone is substantive and at risk to both parties on the basis of the contingent nature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600"/>
        <w:spacing w:after="0" w:line="270" w:lineRule="auto"/>
        <w:rPr>
          <w:sz w:val="20"/>
          <w:szCs w:val="20"/>
          <w:color w:val="auto"/>
        </w:rPr>
      </w:pPr>
      <w:r>
        <w:rPr>
          <w:rFonts w:ascii="Arial" w:cs="Arial" w:eastAsia="Arial" w:hAnsi="Arial"/>
          <w:sz w:val="15"/>
          <w:szCs w:val="15"/>
          <w:color w:val="auto"/>
        </w:rPr>
        <w:t>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80"/>
        <w:spacing w:after="0" w:line="319"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 the Company has not incurred interest and penalties related to uncertain tax positions. Should such costs be incurred, they would be classified as a component of income tax expense.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49"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financial statements is based on awards that are ultimately expected to vest.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Comprehensive loss consists of both: (i) all components of net loss and (ii) all components of comprehensive loss other than net loss, referred to as other comprehensive loss. For all periods presented, other comprehensive loss is comprised solely of foreign currency translation adjustments.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 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Net losses are not allocated to preferred stockholders as they do not have an obligation to share in the Company's net losses.</w:t>
      </w:r>
    </w:p>
    <w:p>
      <w:pPr>
        <w:spacing w:after="0" w:line="162"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 xml:space="preserve">The Company accounts for its contingent liabilities in accordance with ASC No. 450, </w:t>
      </w:r>
      <w:r>
        <w:rPr>
          <w:rFonts w:ascii="Arial" w:cs="Arial" w:eastAsia="Arial" w:hAnsi="Arial"/>
          <w:sz w:val="15"/>
          <w:szCs w:val="15"/>
          <w:i w:val="1"/>
          <w:iCs w:val="1"/>
          <w:color w:val="auto"/>
        </w:rPr>
        <w:t>Contingencies</w:t>
      </w:r>
      <w:r>
        <w:rPr>
          <w:rFonts w:ascii="Arial" w:cs="Arial" w:eastAsia="Arial" w:hAnsi="Arial"/>
          <w:sz w:val="15"/>
          <w:szCs w:val="15"/>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2014 and 2015, the Company was not a party to any ligation that could have a material adverse effect on the Company's business,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0" w:name="page221"/>
    <w:bookmarkEnd w:id="22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totaled approximately $1.5 million through December 31, 2015. Such costs are recorded as Other assets on the Consolidated Balance Sheet and will be used as an offset against the proceeds received in the offering. If the proposed initial public offering were no longer probable of occurring, the deferred costs would be expensed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December 31, 2015,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 currently in the process of evaluating the effect the adoption of ASU 2014-09 may have on its financial statements.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 xml:space="preserve">In February 2016, FASB issued ASU No.2016-02,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fiscal years, and is to be applied at the beginning of the earliest period presented using a modified retrospective approach.</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basic and diluted net loss per share (in thousands, except share and per-share data):</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Net (loss)</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(25,174)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Less: accretion on preferred stock</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(7,335)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20" w:type="dxa"/>
            <w:vAlign w:val="bottom"/>
          </w:tcPr>
          <w:p>
            <w:pPr>
              <w:ind w:left="14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20" w:type="dxa"/>
            <w:vAlign w:val="bottom"/>
            <w:gridSpan w:val="2"/>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(32,509)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1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8,153,640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8,386,644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40" w:type="dxa"/>
            <w:vAlign w:val="bottom"/>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(2.01)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0"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(3.88)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Year ended December 31,</w:t>
            </w:r>
          </w:p>
        </w:tc>
      </w:tr>
      <w:tr>
        <w:trPr>
          <w:trHeight w:val="154"/>
        </w:trPr>
        <w:tc>
          <w:tcPr>
            <w:tcW w:w="20" w:type="dxa"/>
            <w:vAlign w:val="bottom"/>
          </w:tcPr>
          <w:p>
            <w:pPr>
              <w:spacing w:after="0"/>
              <w:rPr>
                <w:sz w:val="13"/>
                <w:szCs w:val="13"/>
                <w:color w:val="auto"/>
              </w:rPr>
            </w:pPr>
          </w:p>
        </w:tc>
        <w:tc>
          <w:tcPr>
            <w:tcW w:w="71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25,238,298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35,935,400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4,458,628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6,120,579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5"/>
                <w:szCs w:val="15"/>
                <w:color w:val="auto"/>
              </w:rPr>
              <w:t>Stock warrants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color w:val="auto"/>
              </w:rPr>
              <w:t>Redeemable convertible preferred stock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66,668</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104,646</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7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29,763,594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44,698,036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The unaudited pro forma basic and diluted net loss per share attributable to common stockholders for the year ended December 31, 2014 and 2015 has been computed using the weighted average common shares outstanding after giving pro forma effect to the automatic conversion of all shares of Preferred Stock into shares of common stock, the automatic conversion of all Preferred Stock warrants into common stock warrants, and the automatic net exercise of warrants to purchase common stock upon the filing of a registration statement on Form S-1 as if such conversions or exercises had occurred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beginning of 2015 or the date of original issuance, if later. The following table sets forth the computation of the pro forma net loss per share (in thousands, except share and per share data):</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7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Year ended</w:t>
            </w:r>
          </w:p>
        </w:tc>
      </w:tr>
      <w:tr>
        <w:trPr>
          <w:trHeight w:val="139"/>
        </w:trPr>
        <w:tc>
          <w:tcPr>
            <w:tcW w:w="7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7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24"/>
        </w:trPr>
        <w:tc>
          <w:tcPr>
            <w:tcW w:w="7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8"/>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7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160"/>
              <w:spacing w:after="0"/>
              <w:rPr>
                <w:sz w:val="20"/>
                <w:szCs w:val="20"/>
                <w:color w:val="auto"/>
              </w:rPr>
            </w:pPr>
            <w:r>
              <w:rPr>
                <w:rFonts w:ascii="Arial" w:cs="Arial" w:eastAsia="Arial" w:hAnsi="Arial"/>
                <w:sz w:val="15"/>
                <w:szCs w:val="15"/>
                <w:color w:val="auto"/>
              </w:rPr>
              <w:t>Net loss attributable to common stockholders</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(32,509)</w:t>
            </w:r>
          </w:p>
        </w:tc>
      </w:tr>
      <w:tr>
        <w:trPr>
          <w:trHeight w:val="185"/>
        </w:trPr>
        <w:tc>
          <w:tcPr>
            <w:tcW w:w="76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Less: accrued dividends and accretion on preferred stock</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300"/>
              <w:spacing w:after="0"/>
              <w:rPr>
                <w:sz w:val="20"/>
                <w:szCs w:val="20"/>
                <w:color w:val="auto"/>
              </w:rPr>
            </w:pPr>
            <w:r>
              <w:rPr>
                <w:rFonts w:ascii="Arial" w:cs="Arial" w:eastAsia="Arial" w:hAnsi="Arial"/>
                <w:sz w:val="15"/>
                <w:szCs w:val="15"/>
                <w:color w:val="auto"/>
              </w:rPr>
              <w:t>Change in fair value of preferred stock warrants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(83)</w:t>
            </w: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loss attributable to common stockholders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(25,257)</w:t>
            </w:r>
          </w:p>
        </w:tc>
      </w:tr>
      <w:tr>
        <w:trPr>
          <w:trHeight w:val="176"/>
        </w:trPr>
        <w:tc>
          <w:tcPr>
            <w:tcW w:w="7660" w:type="dxa"/>
            <w:vAlign w:val="bottom"/>
          </w:tcPr>
          <w:p>
            <w:pPr>
              <w:ind w:left="160"/>
              <w:spacing w:after="0"/>
              <w:rPr>
                <w:sz w:val="20"/>
                <w:szCs w:val="20"/>
                <w:color w:val="auto"/>
              </w:rPr>
            </w:pPr>
            <w:r>
              <w:rPr>
                <w:rFonts w:ascii="Arial" w:cs="Arial" w:eastAsia="Arial" w:hAnsi="Arial"/>
                <w:sz w:val="15"/>
                <w:szCs w:val="15"/>
                <w:b w:val="1"/>
                <w:bCs w:val="1"/>
                <w:color w:val="auto"/>
              </w:rPr>
              <w:t>Denominator:</w:t>
            </w: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Weighted-average common shares outstanding—basic and diluted</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8,386,644</w:t>
            </w:r>
          </w:p>
        </w:tc>
        <w:tc>
          <w:tcPr>
            <w:tcW w:w="140" w:type="dxa"/>
            <w:vAlign w:val="bottom"/>
            <w:shd w:val="clear" w:color="auto" w:fill="CCEEFF"/>
          </w:tcPr>
          <w:p>
            <w:pPr>
              <w:spacing w:after="0"/>
              <w:rPr>
                <w:sz w:val="16"/>
                <w:szCs w:val="16"/>
                <w:color w:val="auto"/>
              </w:rPr>
            </w:pPr>
          </w:p>
        </w:tc>
      </w:tr>
      <w:tr>
        <w:trPr>
          <w:trHeight w:val="185"/>
        </w:trPr>
        <w:tc>
          <w:tcPr>
            <w:tcW w:w="7660" w:type="dxa"/>
            <w:vAlign w:val="bottom"/>
          </w:tcPr>
          <w:p>
            <w:pPr>
              <w:ind w:left="160"/>
              <w:spacing w:after="0"/>
              <w:rPr>
                <w:sz w:val="20"/>
                <w:szCs w:val="20"/>
                <w:color w:val="auto"/>
              </w:rPr>
            </w:pPr>
            <w:r>
              <w:rPr>
                <w:rFonts w:ascii="Arial" w:cs="Arial" w:eastAsia="Arial" w:hAnsi="Arial"/>
                <w:sz w:val="15"/>
                <w:szCs w:val="15"/>
                <w:color w:val="auto"/>
              </w:rPr>
              <w:t>Adjustment for assumed conversion of preferred stock</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28,874,580</w:t>
            </w:r>
          </w:p>
        </w:tc>
        <w:tc>
          <w:tcPr>
            <w:tcW w:w="140" w:type="dxa"/>
            <w:vAlign w:val="bottom"/>
          </w:tcPr>
          <w:p>
            <w:pPr>
              <w:spacing w:after="0"/>
              <w:rPr>
                <w:sz w:val="16"/>
                <w:szCs w:val="16"/>
                <w:color w:val="auto"/>
              </w:rPr>
            </w:pPr>
          </w:p>
        </w:tc>
      </w:tr>
      <w:tr>
        <w:trPr>
          <w:trHeight w:val="185"/>
        </w:trPr>
        <w:tc>
          <w:tcPr>
            <w:tcW w:w="76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Adjustment for assumed effect of cashless conversion of common stock warrants issued with Series E preferred stock</w:t>
            </w:r>
          </w:p>
        </w:tc>
        <w:tc>
          <w:tcPr>
            <w:tcW w:w="4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751,818</w:t>
            </w:r>
          </w:p>
        </w:tc>
        <w:tc>
          <w:tcPr>
            <w:tcW w:w="140" w:type="dxa"/>
            <w:vAlign w:val="bottom"/>
            <w:shd w:val="clear" w:color="auto" w:fill="CCEEFF"/>
          </w:tcPr>
          <w:p>
            <w:pPr>
              <w:spacing w:after="0"/>
              <w:rPr>
                <w:sz w:val="16"/>
                <w:szCs w:val="16"/>
                <w:color w:val="auto"/>
              </w:rPr>
            </w:pPr>
          </w:p>
        </w:tc>
      </w:tr>
      <w:tr>
        <w:trPr>
          <w:trHeight w:val="177"/>
        </w:trPr>
        <w:tc>
          <w:tcPr>
            <w:tcW w:w="7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38,013,042</w:t>
            </w:r>
          </w:p>
        </w:tc>
        <w:tc>
          <w:tcPr>
            <w:tcW w:w="140" w:type="dxa"/>
            <w:vAlign w:val="bottom"/>
          </w:tcPr>
          <w:p>
            <w:pPr>
              <w:spacing w:after="0"/>
              <w:rPr>
                <w:sz w:val="15"/>
                <w:szCs w:val="15"/>
                <w:color w:val="auto"/>
              </w:rPr>
            </w:pP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7660" w:type="dxa"/>
            <w:vAlign w:val="bottom"/>
            <w:shd w:val="clear" w:color="auto" w:fill="CCEEFF"/>
          </w:tcPr>
          <w:p>
            <w:pPr>
              <w:ind w:left="160"/>
              <w:spacing w:after="0" w:line="160" w:lineRule="exact"/>
              <w:rPr>
                <w:sz w:val="20"/>
                <w:szCs w:val="20"/>
                <w:color w:val="auto"/>
              </w:rPr>
            </w:pPr>
            <w:r>
              <w:rPr>
                <w:rFonts w:ascii="Arial" w:cs="Arial" w:eastAsia="Arial" w:hAnsi="Arial"/>
                <w:sz w:val="15"/>
                <w:szCs w:val="15"/>
                <w:color w:val="auto"/>
              </w:rPr>
              <w:t>Net loss per share attributable to common stockholders—basic and diluted</w:t>
            </w:r>
          </w:p>
        </w:tc>
        <w:tc>
          <w:tcPr>
            <w:tcW w:w="52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(0.66)</w:t>
            </w:r>
          </w:p>
        </w:tc>
      </w:tr>
      <w:tr>
        <w:trPr>
          <w:trHeight w:val="20"/>
        </w:trPr>
        <w:tc>
          <w:tcPr>
            <w:tcW w:w="7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tables below present information about the Company's financial assets and liabilities that are measured and carried at fair value as of December 31, 2014 and 2015 (in thousands) and indicate the level within the fair value hierarchy where each measurement is classified.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8"/>
              </w:rPr>
              <w:t>December 31, 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rPr>
              <w:t>(level 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8"/>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left w:val="single" w:sz="8" w:color="CCEEFF"/>
            </w:tcBorders>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w w:val="98"/>
              </w:rPr>
              <w:t>(level 1)</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290</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maturity date for US Treasury obligations, included in cash equivalents is 34 days and 106 for those included within investments. Fair value of US Treasury obligations approximates amortized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3" w:right="43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In July 2015, the Company issued warrants for the purchase of 315,198 shares of common stock at an exercise price of $4.50 in connection with the issuance of convertible notes. These warrants expire three years from date of issuance. In August 2015, the Company issued warrants for the purchase of 2,222,213 shares of common stock at an exercise price of $0.01 in connection with the issuance of the Series E Preferred. Common stock warrants are classified as permanent equity which are initially recorded at issuance date fair value and are not subsequently re-measured. The warrants to purchase common stock issued at the same time as the Series E Preferred will automatically exercise on a cashless basis upon the filing of a registration statement on Form S-1. These warrants expire four years from date of issuance.</w:t>
      </w:r>
    </w:p>
    <w:p>
      <w:pPr>
        <w:spacing w:after="0" w:line="149" w:lineRule="exact"/>
        <w:rPr>
          <w:sz w:val="20"/>
          <w:szCs w:val="20"/>
          <w:color w:val="auto"/>
        </w:rPr>
      </w:pPr>
    </w:p>
    <w:p>
      <w:pPr>
        <w:jc w:val="both"/>
        <w:ind w:right="320"/>
        <w:spacing w:after="0" w:line="270"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In December 2015, in conjunction with the execution of a loan and security agreement (Note 8), the Company issued warrants to the lenders for the purchase of up to 37,978 shares of the Company's Series E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 summary of the activities of the Company's Series D and Series E Preferred stock warrant liability which represents a recurring measurement that is classified within Level 3 of the fair value hierarchy wherein fair value is estimated using significant unobservable inputs: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9"/>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Year ended</w:t>
            </w:r>
          </w:p>
        </w:tc>
      </w:tr>
      <w:tr>
        <w:trPr>
          <w:trHeight w:val="13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7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97"/>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0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(83)</w:t>
            </w:r>
          </w:p>
        </w:tc>
      </w:tr>
      <w:tr>
        <w:trPr>
          <w:trHeight w:val="177"/>
        </w:trPr>
        <w:tc>
          <w:tcPr>
            <w:tcW w:w="7120" w:type="dxa"/>
            <w:vAlign w:val="bottom"/>
            <w:gridSpan w:val="2"/>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for the years ending:</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5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6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2.15%</w:t>
            </w: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68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6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9.20</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5"/>
                <w:szCs w:val="15"/>
                <w:color w:val="auto"/>
              </w:rPr>
              <w:t>Expected volatility</w:t>
            </w:r>
          </w:p>
        </w:tc>
        <w:tc>
          <w:tcPr>
            <w:tcW w:w="2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92.53%</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85.83%</w:t>
            </w:r>
          </w:p>
        </w:tc>
      </w:tr>
      <w:tr>
        <w:trPr>
          <w:trHeight w:val="185"/>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68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4.18</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4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E Preferred at an exercise price of $4.50 per share was estimated using Black-Scholes with the following assumptions as of December 31, 2015:</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December 31,</w:t>
            </w:r>
          </w:p>
        </w:tc>
      </w:tr>
      <w:tr>
        <w:trPr>
          <w:trHeight w:val="167"/>
        </w:trPr>
        <w:tc>
          <w:tcPr>
            <w:tcW w:w="20" w:type="dxa"/>
            <w:vAlign w:val="bottom"/>
          </w:tcPr>
          <w:p>
            <w:pPr>
              <w:spacing w:after="0"/>
              <w:rPr>
                <w:sz w:val="14"/>
                <w:szCs w:val="14"/>
                <w:color w:val="auto"/>
              </w:rPr>
            </w:pPr>
          </w:p>
        </w:tc>
        <w:tc>
          <w:tcPr>
            <w:tcW w:w="5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3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r>
      <w:tr>
        <w:trPr>
          <w:trHeight w:val="185"/>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3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3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Arial" w:cs="Arial" w:eastAsia="Arial" w:hAnsi="Arial"/>
                <w:sz w:val="15"/>
                <w:szCs w:val="15"/>
                <w:color w:val="auto"/>
              </w:rPr>
              <w:t>Expected volatility</w:t>
            </w:r>
          </w:p>
        </w:tc>
        <w:tc>
          <w:tcPr>
            <w:tcW w:w="3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82.22%</w:t>
            </w:r>
          </w:p>
        </w:tc>
      </w:tr>
      <w:tr>
        <w:trPr>
          <w:trHeight w:val="185"/>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316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 volatilities from guideline companies, since there is no active market for the Company's common stock. The fair value on the date of measurement of the Series D Preferred and the Series E Preferred, the underlying instruments, was estimated by management with the assistance of a third party valuation specialist.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P,P&amp;E—Construction in process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144</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property and equipment</w:t>
            </w:r>
          </w:p>
        </w:tc>
        <w:tc>
          <w:tcPr>
            <w:tcW w:w="27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5"/>
                <w:szCs w:val="15"/>
                <w:color w:val="auto"/>
              </w:rPr>
              <w:t>(2,778)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(2,927)</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and equipment, net</w:t>
            </w:r>
          </w:p>
        </w:tc>
        <w:tc>
          <w:tcPr>
            <w:tcW w:w="27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for the years ended December 31, 2014 and 2015 was $0.9 million and $1.0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5" w:name="page226"/>
    <w:bookmarkEnd w:id="22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Legal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405</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tcPr>
          <w:p>
            <w:pPr>
              <w:spacing w:after="0"/>
              <w:rPr>
                <w:sz w:val="20"/>
                <w:szCs w:val="20"/>
                <w:color w:val="auto"/>
              </w:rPr>
            </w:pPr>
            <w:r>
              <w:rPr>
                <w:rFonts w:ascii="Arial" w:cs="Arial" w:eastAsia="Arial" w:hAnsi="Arial"/>
                <w:sz w:val="15"/>
                <w:szCs w:val="15"/>
                <w:color w:val="auto"/>
              </w:rPr>
              <w:t>Accrued R&amp;D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1,649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40" w:type="dxa"/>
            <w:vAlign w:val="bottom"/>
            <w:shd w:val="clear" w:color="auto" w:fill="CCEEFF"/>
          </w:tcPr>
          <w:p>
            <w:pPr>
              <w:spacing w:after="0"/>
              <w:rPr>
                <w:sz w:val="16"/>
                <w:szCs w:val="16"/>
                <w:color w:val="auto"/>
              </w:rPr>
            </w:pPr>
          </w:p>
        </w:tc>
      </w:tr>
      <w:tr>
        <w:trPr>
          <w:trHeight w:val="177"/>
        </w:trPr>
        <w:tc>
          <w:tcPr>
            <w:tcW w:w="7740" w:type="dxa"/>
            <w:vAlign w:val="bottom"/>
            <w:gridSpan w:val="2"/>
          </w:tcPr>
          <w:p>
            <w:pPr>
              <w:spacing w:after="0"/>
              <w:rPr>
                <w:sz w:val="20"/>
                <w:szCs w:val="20"/>
                <w:color w:val="auto"/>
              </w:rPr>
            </w:pPr>
            <w:r>
              <w:rPr>
                <w:rFonts w:ascii="Arial" w:cs="Arial" w:eastAsia="Arial" w:hAnsi="Arial"/>
                <w:sz w:val="15"/>
                <w:szCs w:val="15"/>
                <w:color w:val="auto"/>
              </w:rPr>
              <w:t>Accrued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4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straight-line basis.</w:t>
      </w:r>
    </w:p>
    <w:p>
      <w:pPr>
        <w:spacing w:after="0" w:line="159" w:lineRule="exact"/>
        <w:rPr>
          <w:sz w:val="20"/>
          <w:szCs w:val="20"/>
          <w:color w:val="auto"/>
        </w:rPr>
      </w:pPr>
    </w:p>
    <w:p>
      <w:pPr>
        <w:jc w:val="both"/>
        <w:ind w:right="80"/>
        <w:spacing w:after="0" w:line="282" w:lineRule="auto"/>
        <w:rPr>
          <w:sz w:val="20"/>
          <w:szCs w:val="20"/>
          <w:color w:val="auto"/>
        </w:rPr>
      </w:pPr>
      <w:r>
        <w:rPr>
          <w:rFonts w:ascii="Arial" w:cs="Arial" w:eastAsia="Arial" w:hAnsi="Arial"/>
          <w:sz w:val="15"/>
          <w:szCs w:val="15"/>
          <w:color w:val="auto"/>
        </w:rPr>
        <w:t>Deferred rent and lease incentive liability totaled $0.5 million and $0.5 million as of December 31, 2014 and 2015, respectively. Included in that amount, the current portion of deferred rent and lease incentive liability is classified as accrued expenses and was $0.2 million and $0.4 million at December 31, 2014 and 2015, respectively.</w:t>
      </w:r>
    </w:p>
    <w:p>
      <w:pPr>
        <w:spacing w:after="0" w:line="151"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$0.7 million and $0.2 million for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Rent expense, net of sublease payments, for the years ended December 31, 2014 and 2015 was $0.6 million and $1.1 million respectively. As of December 31, 2015, future minimum lease payments for non-cancellable leases were $1.2 million in 2016, and $0.3 million in 2017.</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3"/>
          <w:szCs w:val="13"/>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43"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December 31, 2015, the outstanding principal balance under the Term Loans was $12.0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630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According to ASC 470-50-40, the refinancing and modification of the prior debt in a non-troubled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13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8.1% per annum. The monthly payments for the Term Loans are initially interest only through December 2016.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Additionally, with the refinancing of the Term Loans at December 31, 2015, the Company granted the lenders 37,978 shares of the Company's Series E Preferred. The initial grant date fair value of the warrants of $0.1 million, $0.1 million and $0.1 million respectively, was recorded as a loan discount.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Term Loan discounts are amortized as additional interest expense over the term of the loans. Interest expense for the years ended December 31, 2014 and 2015 totaled $0.6 million and $0.6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8" w:name="page229"/>
    <w:bookmarkEnd w:id="228"/>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5"/>
                <w:szCs w:val="15"/>
                <w:color w:val="auto"/>
              </w:rPr>
              <w:t>Future minimum payments on the Term Loans as of December 31, 2015 are as follows (in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2016</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Total debt payments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Less: Debt discount and deferred charges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 of issuance costs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Loans payable, net of current portion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Convertible notes</w:t>
      </w:r>
    </w:p>
    <w:p>
      <w:pPr>
        <w:spacing w:after="0" w:line="198"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$4.50. On July 24, 2015, the Company issued warrants to the convertible note holders to purchase up to 315,198 shares of the Company's common stock at an exercise price of $4.50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404,888 shares of the Company's common stock (Note 9). The difference between the carrying value and accrued interest of the convertible notes that were converted and the combined fair value of the Series E Preferred shares and common stock warrants issued were negligible. Interest expense incurred on the convertible notes totaled $0.3 million for the period ending December 31, 2015.</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The Company issued Preferred Stock with a $0.0001 par value to investors for cash or as settlement for outstanding debt under convertible notes. As of December 31, 2014 and 2015, the Company had 28,804,969 and 37,835,623 authorized shares of Preferred Stock, respectively.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of December 31, 2015, the Company had issued and outstanding Preferred Stock of (i) 2,589,868 shares of Series A redeemable convertible preferred stock ("Series A Preferred"),</w:t>
      </w:r>
    </w:p>
    <w:p>
      <w:pPr>
        <w:spacing w:after="0" w:line="41" w:lineRule="exact"/>
        <w:rPr>
          <w:sz w:val="20"/>
          <w:szCs w:val="20"/>
          <w:color w:val="auto"/>
        </w:rPr>
      </w:pPr>
    </w:p>
    <w:p>
      <w:pPr>
        <w:ind w:left="7" w:hanging="7"/>
        <w:spacing w:after="0" w:line="266" w:lineRule="auto"/>
        <w:tabs>
          <w:tab w:leader="none" w:pos="22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63"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In April 2014 and August 2014, the Company issued an additional 3,211,105 shares of Series D Preferred at $4.50 per share for total net proceeds of $14,349,239. In July 2014, the Company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7"/>
          </w:cols>
          <w:pgMar w:left="233" w:top="132" w:right="35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$4.30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 acquisitions, voluntary dissolution or liquidation, merger, consolidation, recapitalization, and number of directors, must be approved by a majority vote of Senior Preferred stockholders voting as a single class on an as-converted basis.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Holders of all series of Preferred Stock are entitled to receive dividends when and if declared by the Company's board of directors. In the event of liquidation, dissolution, or winding up of business, Senior Preferred stockholders are entitled to receive unpaid accrued dividends, whether or not declared by the board of directors. Senior Preferred dividends are to be calculated daily and accrued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100"/>
        <w:spacing w:after="0" w:line="297" w:lineRule="auto"/>
        <w:rPr>
          <w:sz w:val="20"/>
          <w:szCs w:val="20"/>
          <w:color w:val="auto"/>
        </w:rPr>
      </w:pPr>
      <w:r>
        <w:rPr>
          <w:rFonts w:ascii="Arial" w:cs="Arial" w:eastAsia="Arial" w:hAnsi="Arial"/>
          <w:sz w:val="14"/>
          <w:szCs w:val="14"/>
          <w:color w:val="auto"/>
        </w:rPr>
        <w:t>cumulative basis (adjusted for stock split, stock dividends, or other recapitalizations) at the rate of: $0.0579 per share for Series A Preferred, $0.1218 per share for Series B Preferred, $0.18 per share for Series C Preferred, $0.27 per share for Series D Preferred, and $0.27 per share for Series E Preferred. Dividends accumulated on Preferred Stock totaled $3.8 million and $4.9 million during the years ended December 31, 2014 and 2015, respectively. Series SRN Preferred stockholders are not entitled to receive accrued dividends.</w:t>
      </w:r>
    </w:p>
    <w:p>
      <w:pPr>
        <w:spacing w:after="0" w:line="144"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(1:1 conversion ratio), plus any declared but unpaid dividends (excluding accrued dividends).</w:t>
      </w:r>
    </w:p>
    <w:p>
      <w:pPr>
        <w:spacing w:after="0" w:line="15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(1:1.0465 conversion ratio), plus any declared but unpaid dividends (excluding accrued dividends).</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Series SRN Preferred are convertible into common stock at the stockholders' option only upon a deemed liquidation event or an initial public offering ("IPO") (whether or not a firm commitment underwritten IPO for an aggregate offering price of at least $30.0 million, referred to as a qualified IPO), at the original issuance price of $4.50 per share divided by $4.30 per share (1:1.0465 conversion ratio), plus any declared but unpaid dividends. Upon the occurrence of a special conversion event (as defined in the certificate of incorporation), Series SRN Preferred are convertible at a special conversion price of $3.60 per share (1:1.25 conversion ratio), plus any declared but unpaid dividends.</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their shares of Series E Preferred into common stock at the original Series E Preferred issuance price of $4.50 per share divided by the then effective conversion price (currently the original issuance price of $4.50) multiplied by 1.15 (1:1.15 conversion ratio), or (2) receive a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(1:1 conversion ratio), plus any declared but unpaid dividends (excluding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All series of Preferred Stock are automatically converted at the then effective conversion price upon the completion of a qualified IPO. Currently, the effective conversion price is $0.9653 per share for Series A Preferred, $2.0303 per share for Series B Preferred, $3.00 per share for Series C Preferred, $4.30 per share for Series D Preferred, and $4.30 per share of Series SRN Preferred. The Series E Preferred effective conversion price upon a qualified IPO is determined based on the number of common stock shares issuable calculated as the highest of: (a) $5.175 (Series E Preferred liquidation price) divided by the IPO price per share paid by the underwriters; (b) each shares of Series E Preferred converting into 1.15 shares of common stock, or (c) $4.50 divided by the then effective Series E Preferred conversion price (currently $4.50 per share).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(1:1 conversion ratio, except Series D Preferred which is 1:1.0465). Series E Preferred are automatically convertible as a single class upon a majority vote of Series E Preferred stockholders at the then effective conversion price (currently $4.50 per share) times 1.15 (1:1.15 conversion ratio). Series SRN Preferred are automatically convertible as a single class upon (a) the sale of a majority of the Company's outstanding capital stock, (b) an IPO (whether or not a qualified IPO), or (c) an agreement among the majority of Series SRN Preferred stockholders, at the then effective conversion price (currently $4.30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Upon liquidation, dissolution, or winding up of business, including deemed liquidation events, Series E Preferred stockholders can elect to (1) convert into common stock at the original Series E Preferred issuance price of $4.50 per share divided by the then effective conversion price (currently the original issuance price of $4.50) multiplied by 1.15 (1:1.15 conversion ratio), or (2) receive liquidation preference at 1.15 times the per-share original issuance price, or $5.175, plus any unpaid accrued dividends (whether or not declared), and any additional declared but unpaid dividends. Series E Preferred shares have preferences in priority to Tier II Preferred, Series SRN Preferred, and common stock. If assets available for distribution are insufficient to satisfy the Series E Preferred liquidation payment amounts in full, assets available for distribution will be allocated among Series E Preferred shares ratably and in proportion to the full preferential amount of shareholding.</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 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amounts in full, assets available for distribution will be allocated among Series SRN Preferred shares ratably and in proportion to the full preferential amount of shareholding.</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 if they had been converted into common stock. This option does not apply to any holders of Preferred Stock who converted their shareholdings prior to or independent of the liquidation or deemed liquidation event.</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199"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0"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2"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unless dividends are first declared and paid to the holders of Preferred Stock in accordance with their respective terms. Through December 31, 2015, no dividends have been declared or paid on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202"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660" w:type="dxa"/>
            <w:vAlign w:val="bottom"/>
            <w:gridSpan w:val="4"/>
          </w:tcPr>
          <w:p>
            <w:pPr>
              <w:ind w:left="820"/>
              <w:spacing w:after="0"/>
              <w:rPr>
                <w:sz w:val="20"/>
                <w:szCs w:val="20"/>
                <w:color w:val="auto"/>
              </w:rPr>
            </w:pPr>
            <w:r>
              <w:rPr>
                <w:rFonts w:ascii="Arial" w:cs="Arial" w:eastAsia="Arial" w:hAnsi="Arial"/>
                <w:sz w:val="12"/>
                <w:szCs w:val="12"/>
                <w:b w:val="1"/>
                <w:bCs w:val="1"/>
                <w:color w:val="auto"/>
              </w:rPr>
              <w:t>Periods ending</w:t>
            </w:r>
          </w:p>
        </w:tc>
      </w:tr>
      <w:tr>
        <w:trPr>
          <w:trHeight w:val="154"/>
        </w:trPr>
        <w:tc>
          <w:tcPr>
            <w:tcW w:w="20" w:type="dxa"/>
            <w:vAlign w:val="bottom"/>
          </w:tcPr>
          <w:p>
            <w:pPr>
              <w:spacing w:after="0"/>
              <w:rPr>
                <w:sz w:val="13"/>
                <w:szCs w:val="13"/>
                <w:color w:val="auto"/>
              </w:rPr>
            </w:pPr>
          </w:p>
        </w:tc>
        <w:tc>
          <w:tcPr>
            <w:tcW w:w="646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2,589,868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200" w:type="dxa"/>
            <w:vAlign w:val="bottom"/>
          </w:tcPr>
          <w:p>
            <w:pPr>
              <w:jc w:val="right"/>
              <w:spacing w:after="0"/>
              <w:rPr>
                <w:sz w:val="20"/>
                <w:szCs w:val="20"/>
                <w:color w:val="auto"/>
              </w:rPr>
            </w:pPr>
            <w:r>
              <w:rPr>
                <w:rFonts w:ascii="Arial" w:cs="Arial" w:eastAsia="Arial" w:hAnsi="Arial"/>
                <w:sz w:val="15"/>
                <w:szCs w:val="15"/>
                <w:color w:val="auto"/>
              </w:rPr>
              <w:t>7,437,325</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7,437,325</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5,000,002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D Preferred</w:t>
            </w:r>
          </w:p>
        </w:tc>
        <w:tc>
          <w:tcPr>
            <w:tcW w:w="1200" w:type="dxa"/>
            <w:vAlign w:val="bottom"/>
          </w:tcPr>
          <w:p>
            <w:pPr>
              <w:jc w:val="right"/>
              <w:spacing w:after="0"/>
              <w:rPr>
                <w:sz w:val="20"/>
                <w:szCs w:val="20"/>
                <w:color w:val="auto"/>
              </w:rPr>
            </w:pPr>
            <w:r>
              <w:rPr>
                <w:rFonts w:ascii="Arial" w:cs="Arial" w:eastAsia="Arial" w:hAnsi="Arial"/>
                <w:sz w:val="15"/>
                <w:szCs w:val="15"/>
                <w:color w:val="auto"/>
              </w:rPr>
              <w:t>8,166,662</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8,546,507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5,611,112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7,013,890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Conversion of Series E Preferred with warrants</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10,385,253</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warrants</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2,537,411</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200" w:type="dxa"/>
            <w:vAlign w:val="bottom"/>
          </w:tcPr>
          <w:p>
            <w:pPr>
              <w:jc w:val="right"/>
              <w:spacing w:after="0"/>
              <w:rPr>
                <w:sz w:val="20"/>
                <w:szCs w:val="20"/>
                <w:color w:val="auto"/>
              </w:rPr>
            </w:pPr>
            <w:r>
              <w:rPr>
                <w:rFonts w:ascii="Arial" w:cs="Arial" w:eastAsia="Arial" w:hAnsi="Arial"/>
                <w:sz w:val="15"/>
                <w:szCs w:val="15"/>
                <w:color w:val="auto"/>
              </w:rPr>
              <w:t>6,024</w:t>
            </w:r>
          </w:p>
        </w:tc>
        <w:tc>
          <w:tcPr>
            <w:tcW w:w="1320" w:type="dxa"/>
            <w:vAlign w:val="bottom"/>
            <w:gridSpan w:val="2"/>
          </w:tcPr>
          <w:p>
            <w:pPr>
              <w:jc w:val="right"/>
              <w:spacing w:after="0"/>
              <w:rPr>
                <w:sz w:val="20"/>
                <w:szCs w:val="20"/>
                <w:color w:val="auto"/>
              </w:rPr>
            </w:pPr>
            <w:r>
              <w:rPr>
                <w:rFonts w:ascii="Arial" w:cs="Arial" w:eastAsia="Arial" w:hAnsi="Arial"/>
                <w:sz w:val="15"/>
                <w:szCs w:val="15"/>
                <w:color w:val="auto"/>
              </w:rPr>
              <w:t>390,136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common 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4,458,628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6,120,579</w:t>
            </w:r>
          </w:p>
        </w:tc>
        <w:tc>
          <w:tcPr>
            <w:tcW w:w="140" w:type="dxa"/>
            <w:vAlign w:val="bottom"/>
            <w:shd w:val="clear" w:color="auto" w:fill="CCEEFF"/>
          </w:tcPr>
          <w:p>
            <w:pPr>
              <w:spacing w:after="0"/>
              <w:rPr>
                <w:sz w:val="16"/>
                <w:szCs w:val="16"/>
                <w:color w:val="auto"/>
              </w:rPr>
            </w:pPr>
          </w:p>
        </w:tc>
      </w:tr>
      <w:tr>
        <w:trPr>
          <w:trHeight w:val="177"/>
        </w:trPr>
        <w:tc>
          <w:tcPr>
            <w:tcW w:w="6480" w:type="dxa"/>
            <w:vAlign w:val="bottom"/>
            <w:gridSpan w:val="2"/>
          </w:tcPr>
          <w:p>
            <w:pPr>
              <w:spacing w:after="0"/>
              <w:rPr>
                <w:sz w:val="20"/>
                <w:szCs w:val="20"/>
                <w:color w:val="auto"/>
              </w:rPr>
            </w:pPr>
            <w:r>
              <w:rPr>
                <w:rFonts w:ascii="Arial" w:cs="Arial" w:eastAsia="Arial" w:hAnsi="Arial"/>
                <w:sz w:val="15"/>
                <w:szCs w:val="15"/>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33,269,621</w:t>
            </w:r>
          </w:p>
        </w:tc>
        <w:tc>
          <w:tcPr>
            <w:tcW w:w="1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50,020,971</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jc w:val="both"/>
        <w:ind w:right="240"/>
        <w:spacing w:after="0" w:line="330" w:lineRule="auto"/>
        <w:rPr>
          <w:sz w:val="20"/>
          <w:szCs w:val="20"/>
          <w:color w:val="auto"/>
        </w:rPr>
      </w:pPr>
      <w:r>
        <w:rPr>
          <w:rFonts w:ascii="Arial" w:cs="Arial" w:eastAsia="Arial" w:hAnsi="Arial"/>
          <w:sz w:val="13"/>
          <w:szCs w:val="13"/>
          <w:color w:val="auto"/>
        </w:rPr>
        <w:t>The Company maintains the 2008 Equity Incentive Plan (the "Plan") for employees, consultants, advisors, and directors. The Plan provides for the granting of incentive and non-qualified stock option and restricted stock awards as determined by the Board. As of December 31, 2015, a total of 8,282,309 shares of common stock are authorized for grants under the Plan with 390,136 shares available for future grant. All stock options granted under the 2008 Plan may be exercised into restricted stock subject to forfeiture provisions upon termination.</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2014 and 2015 are as follows:</w:t>
      </w:r>
    </w:p>
    <w:p>
      <w:pPr>
        <w:spacing w:after="0" w:line="194" w:lineRule="exact"/>
        <w:rPr>
          <w:sz w:val="20"/>
          <w:szCs w:val="20"/>
          <w:color w:val="auto"/>
        </w:rPr>
      </w:pPr>
    </w:p>
    <w:p>
      <w:pPr>
        <w:jc w:val="center"/>
        <w:ind w:left="7520"/>
        <w:spacing w:after="0"/>
        <w:rPr>
          <w:sz w:val="20"/>
          <w:szCs w:val="20"/>
          <w:color w:val="auto"/>
        </w:rPr>
      </w:pPr>
      <w:r>
        <w:rPr>
          <w:rFonts w:ascii="Arial" w:cs="Arial" w:eastAsia="Arial" w:hAnsi="Arial"/>
          <w:sz w:val="12"/>
          <w:szCs w:val="12"/>
          <w:b w:val="1"/>
          <w:bCs w:val="1"/>
          <w:color w:val="auto"/>
        </w:rPr>
        <w:t>Year ended</w:t>
      </w:r>
    </w:p>
    <w:p>
      <w:pPr>
        <w:jc w:val="center"/>
        <w:ind w:left="7520"/>
        <w:spacing w:after="0" w:line="222" w:lineRule="auto"/>
        <w:rPr>
          <w:sz w:val="20"/>
          <w:szCs w:val="20"/>
          <w:color w:val="auto"/>
        </w:rPr>
      </w:pPr>
      <w:r>
        <w:rPr>
          <w:rFonts w:ascii="Arial" w:cs="Arial" w:eastAsia="Arial" w:hAnsi="Arial"/>
          <w:sz w:val="12"/>
          <w:szCs w:val="12"/>
          <w:b w:val="1"/>
          <w:bCs w:val="1"/>
          <w:color w:val="auto"/>
        </w:rPr>
        <w:t>December 31,</w:t>
      </w: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2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w:t>
            </w:r>
          </w:p>
        </w:tc>
      </w:tr>
      <w:tr>
        <w:trPr>
          <w:trHeight w:val="185"/>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2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Expected volatility</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100.81%</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79.80%</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fair value of common stock</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The resulting weighted average grant date fair value of stock options granted to employees during the years ended December 31, 2014 and 2015 was $1.76 and $1.29, respectively. The aggregate intrinsic value of stock options exercised during the years ended December 2014 and 2015 was $0.3 million and $0.3 million, respectively. As of December 31, 2014 and December 31, 2015, total unrecognized compensation expense related to unvested employee stock options was $1.6 million and $2.3 million, respectively, which is expected to be recognized over a weighted average period of 2.3 years and 3.1 years,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Year ended</w:t>
            </w:r>
          </w:p>
        </w:tc>
      </w:tr>
      <w:tr>
        <w:trPr>
          <w:trHeight w:val="138"/>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December 31,</w:t>
            </w:r>
          </w:p>
        </w:tc>
      </w:tr>
      <w:tr>
        <w:trPr>
          <w:trHeight w:val="154"/>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2014</w:t>
            </w:r>
          </w:p>
        </w:tc>
        <w:tc>
          <w:tcPr>
            <w:tcW w:w="4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185"/>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68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5.87</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tcPr>
          <w:p>
            <w:pPr>
              <w:jc w:val="right"/>
              <w:spacing w:after="0"/>
              <w:rPr>
                <w:sz w:val="20"/>
                <w:szCs w:val="20"/>
                <w:color w:val="auto"/>
              </w:rPr>
            </w:pPr>
            <w:r>
              <w:rPr>
                <w:rFonts w:ascii="Arial" w:cs="Arial" w:eastAsia="Arial" w:hAnsi="Arial"/>
                <w:sz w:val="15"/>
                <w:szCs w:val="15"/>
                <w:color w:val="auto"/>
              </w:rPr>
              <w:t>98.25%</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98.18%</w:t>
            </w:r>
          </w:p>
        </w:tc>
      </w:tr>
    </w:tbl>
    <w:p>
      <w:pPr>
        <w:spacing w:after="0" w:line="173" w:lineRule="exact"/>
        <w:rPr>
          <w:sz w:val="20"/>
          <w:szCs w:val="20"/>
          <w:color w:val="auto"/>
        </w:rPr>
      </w:pPr>
    </w:p>
    <w:p>
      <w:pPr>
        <w:ind w:right="400"/>
        <w:spacing w:after="0" w:line="319" w:lineRule="auto"/>
        <w:rPr>
          <w:sz w:val="20"/>
          <w:szCs w:val="20"/>
          <w:color w:val="auto"/>
        </w:rPr>
      </w:pPr>
      <w:r>
        <w:rPr>
          <w:rFonts w:ascii="Arial" w:cs="Arial" w:eastAsia="Arial" w:hAnsi="Arial"/>
          <w:sz w:val="14"/>
          <w:szCs w:val="14"/>
          <w:color w:val="auto"/>
        </w:rPr>
        <w:t>The unvested options held by non-employees are revalued using the Company's estimate of fair value on each vesting and reporting date through the remaining vesting period. Non-employee stock-based compensation expense of $0.5 million and $0.4 million was recorded for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under the Plan for the year ended December 31,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w w:val="99"/>
              </w:rPr>
              <w:t>Weighted-</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jc w:val="center"/>
              <w:ind w:left="182"/>
              <w:spacing w:after="0"/>
              <w:rPr>
                <w:sz w:val="20"/>
                <w:szCs w:val="20"/>
                <w:color w:val="auto"/>
              </w:rPr>
            </w:pPr>
            <w:r>
              <w:rPr>
                <w:rFonts w:ascii="Arial" w:cs="Arial" w:eastAsia="Arial" w:hAnsi="Arial"/>
                <w:sz w:val="12"/>
                <w:szCs w:val="12"/>
                <w:b w:val="1"/>
                <w:bCs w:val="1"/>
                <w:color w:val="auto"/>
              </w:rPr>
              <w:t>exercise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contractual term</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options</w:t>
            </w:r>
          </w:p>
        </w:tc>
        <w:tc>
          <w:tcPr>
            <w:tcW w:w="860" w:type="dxa"/>
            <w:vAlign w:val="bottom"/>
          </w:tcPr>
          <w:p>
            <w:pPr>
              <w:jc w:val="right"/>
              <w:ind w:right="122"/>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40" w:type="dxa"/>
            <w:vAlign w:val="bottom"/>
          </w:tcPr>
          <w:p>
            <w:pPr>
              <w:jc w:val="right"/>
              <w:ind w:right="262"/>
              <w:spacing w:after="0"/>
              <w:rPr>
                <w:sz w:val="20"/>
                <w:szCs w:val="20"/>
                <w:color w:val="auto"/>
              </w:rPr>
            </w:pPr>
            <w:r>
              <w:rPr>
                <w:rFonts w:ascii="Arial" w:cs="Arial" w:eastAsia="Arial" w:hAnsi="Arial"/>
                <w:sz w:val="12"/>
                <w:szCs w:val="12"/>
                <w:b w:val="1"/>
                <w:bCs w:val="1"/>
                <w:color w:val="auto"/>
              </w:rPr>
              <w:t>(in years)</w:t>
            </w: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Employee</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3,120,647</w:t>
            </w:r>
          </w:p>
        </w:tc>
        <w:tc>
          <w:tcPr>
            <w:tcW w:w="100" w:type="dxa"/>
            <w:vAlign w:val="bottom"/>
          </w:tcPr>
          <w:p>
            <w:pPr>
              <w:spacing w:after="0"/>
              <w:rPr>
                <w:sz w:val="11"/>
                <w:szCs w:val="11"/>
                <w:color w:val="auto"/>
              </w:rPr>
            </w:pP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0.83</w:t>
            </w:r>
          </w:p>
        </w:tc>
        <w:tc>
          <w:tcPr>
            <w:tcW w:w="1140" w:type="dxa"/>
            <w:vAlign w:val="bottom"/>
          </w:tcPr>
          <w:p>
            <w:pPr>
              <w:jc w:val="right"/>
              <w:ind w:right="2"/>
              <w:spacing w:after="0" w:line="128" w:lineRule="exact"/>
              <w:rPr>
                <w:sz w:val="20"/>
                <w:szCs w:val="20"/>
                <w:color w:val="auto"/>
              </w:rPr>
            </w:pPr>
            <w:r>
              <w:rPr>
                <w:rFonts w:ascii="Arial" w:cs="Arial" w:eastAsia="Arial" w:hAnsi="Arial"/>
                <w:sz w:val="12"/>
                <w:szCs w:val="12"/>
                <w:color w:val="auto"/>
              </w:rPr>
              <w:t>6.99</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4,895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1,894,750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2.03</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(81,361)</w:t>
            </w: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0.31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(70,112)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1.62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4,863,924</w:t>
            </w:r>
          </w:p>
        </w:tc>
        <w:tc>
          <w:tcPr>
            <w:tcW w:w="100" w:type="dxa"/>
            <w:vAlign w:val="bottom"/>
          </w:tcPr>
          <w:p>
            <w:pPr>
              <w:spacing w:after="0"/>
              <w:rPr>
                <w:sz w:val="10"/>
                <w:szCs w:val="10"/>
                <w:color w:val="auto"/>
              </w:rPr>
            </w:pPr>
          </w:p>
        </w:tc>
        <w:tc>
          <w:tcPr>
            <w:tcW w:w="860" w:type="dxa"/>
            <w:vAlign w:val="bottom"/>
          </w:tcPr>
          <w:p>
            <w:pPr>
              <w:jc w:val="right"/>
              <w:ind w:right="702"/>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1.29</w:t>
            </w:r>
          </w:p>
        </w:tc>
        <w:tc>
          <w:tcPr>
            <w:tcW w:w="1140" w:type="dxa"/>
            <w:vAlign w:val="bottom"/>
          </w:tcPr>
          <w:p>
            <w:pPr>
              <w:jc w:val="right"/>
              <w:ind w:right="2"/>
              <w:spacing w:after="0" w:line="119" w:lineRule="exact"/>
              <w:rPr>
                <w:sz w:val="20"/>
                <w:szCs w:val="20"/>
                <w:color w:val="auto"/>
              </w:rPr>
            </w:pPr>
            <w:r>
              <w:rPr>
                <w:rFonts w:ascii="Arial" w:cs="Arial" w:eastAsia="Arial" w:hAnsi="Arial"/>
                <w:sz w:val="12"/>
                <w:szCs w:val="12"/>
                <w:color w:val="auto"/>
              </w:rPr>
              <w:t>7.41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3,130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2,607,017</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2"/>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0.67</w:t>
            </w:r>
          </w:p>
        </w:tc>
        <w:tc>
          <w:tcPr>
            <w:tcW w:w="1140" w:type="dxa"/>
            <w:vAlign w:val="bottom"/>
            <w:shd w:val="clear" w:color="auto" w:fill="CCEEFF"/>
          </w:tcPr>
          <w:p>
            <w:pPr>
              <w:jc w:val="right"/>
              <w:ind w:right="2"/>
              <w:spacing w:after="0" w:line="103" w:lineRule="exact"/>
              <w:rPr>
                <w:sz w:val="20"/>
                <w:szCs w:val="20"/>
                <w:color w:val="auto"/>
              </w:rPr>
            </w:pPr>
            <w:r>
              <w:rPr>
                <w:rFonts w:ascii="Arial" w:cs="Arial" w:eastAsia="Arial" w:hAnsi="Arial"/>
                <w:sz w:val="10"/>
                <w:szCs w:val="10"/>
                <w:color w:val="auto"/>
              </w:rPr>
              <w:t>5.71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2,946</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1.24</w:t>
            </w: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7.26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4,568,385</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Non-Employee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1,337,981</w:t>
            </w:r>
          </w:p>
        </w:tc>
        <w:tc>
          <w:tcPr>
            <w:tcW w:w="100" w:type="dxa"/>
            <w:vAlign w:val="bottom"/>
          </w:tcPr>
          <w:p>
            <w:pPr>
              <w:spacing w:after="0"/>
              <w:rPr>
                <w:sz w:val="11"/>
                <w:szCs w:val="11"/>
                <w:color w:val="auto"/>
              </w:rPr>
            </w:pP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0.75</w:t>
            </w:r>
          </w:p>
        </w:tc>
        <w:tc>
          <w:tcPr>
            <w:tcW w:w="1140" w:type="dxa"/>
            <w:vAlign w:val="bottom"/>
          </w:tcPr>
          <w:p>
            <w:pPr>
              <w:jc w:val="right"/>
              <w:ind w:right="2"/>
              <w:spacing w:after="0" w:line="128" w:lineRule="exact"/>
              <w:rPr>
                <w:sz w:val="20"/>
                <w:szCs w:val="20"/>
                <w:color w:val="auto"/>
              </w:rPr>
            </w:pPr>
            <w:r>
              <w:rPr>
                <w:rFonts w:ascii="Arial" w:cs="Arial" w:eastAsia="Arial" w:hAnsi="Arial"/>
                <w:sz w:val="12"/>
                <w:szCs w:val="12"/>
                <w:color w:val="auto"/>
              </w:rPr>
              <w:t>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(81,326)</w:t>
            </w:r>
          </w:p>
        </w:tc>
        <w:tc>
          <w:tcPr>
            <w:tcW w:w="860" w:type="dxa"/>
            <w:vAlign w:val="bottom"/>
          </w:tcPr>
          <w:p>
            <w:pPr>
              <w:jc w:val="right"/>
              <w:ind w:right="702"/>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0.75</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1,256,655</w:t>
            </w:r>
          </w:p>
        </w:tc>
        <w:tc>
          <w:tcPr>
            <w:tcW w:w="100" w:type="dxa"/>
            <w:vAlign w:val="bottom"/>
          </w:tcPr>
          <w:p>
            <w:pPr>
              <w:spacing w:after="0"/>
              <w:rPr>
                <w:sz w:val="10"/>
                <w:szCs w:val="10"/>
                <w:color w:val="auto"/>
              </w:rPr>
            </w:pPr>
          </w:p>
        </w:tc>
        <w:tc>
          <w:tcPr>
            <w:tcW w:w="860" w:type="dxa"/>
            <w:vAlign w:val="bottom"/>
          </w:tcPr>
          <w:p>
            <w:pPr>
              <w:jc w:val="right"/>
              <w:ind w:right="702"/>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0.75</w:t>
            </w:r>
          </w:p>
        </w:tc>
        <w:tc>
          <w:tcPr>
            <w:tcW w:w="1140" w:type="dxa"/>
            <w:vAlign w:val="bottom"/>
          </w:tcPr>
          <w:p>
            <w:pPr>
              <w:jc w:val="right"/>
              <w:ind w:right="2"/>
              <w:spacing w:after="0" w:line="119" w:lineRule="exact"/>
              <w:rPr>
                <w:sz w:val="20"/>
                <w:szCs w:val="20"/>
                <w:color w:val="auto"/>
              </w:rPr>
            </w:pPr>
            <w:r>
              <w:rPr>
                <w:rFonts w:ascii="Arial" w:cs="Arial" w:eastAsia="Arial" w:hAnsi="Arial"/>
                <w:sz w:val="12"/>
                <w:szCs w:val="12"/>
                <w:color w:val="auto"/>
              </w:rPr>
              <w:t>5.50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1,211,655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2"/>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0.69</w:t>
            </w:r>
          </w:p>
        </w:tc>
        <w:tc>
          <w:tcPr>
            <w:tcW w:w="1140" w:type="dxa"/>
            <w:vAlign w:val="bottom"/>
            <w:shd w:val="clear" w:color="auto" w:fill="CCEEFF"/>
          </w:tcPr>
          <w:p>
            <w:pPr>
              <w:jc w:val="right"/>
              <w:ind w:right="2"/>
              <w:spacing w:after="0" w:line="103" w:lineRule="exact"/>
              <w:rPr>
                <w:sz w:val="20"/>
                <w:szCs w:val="20"/>
                <w:color w:val="auto"/>
              </w:rPr>
            </w:pPr>
            <w:r>
              <w:rPr>
                <w:rFonts w:ascii="Arial" w:cs="Arial" w:eastAsia="Arial" w:hAnsi="Arial"/>
                <w:sz w:val="10"/>
                <w:szCs w:val="10"/>
                <w:color w:val="auto"/>
              </w:rPr>
              <w:t>5.40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0.75</w:t>
            </w:r>
          </w:p>
        </w:tc>
        <w:tc>
          <w:tcPr>
            <w:tcW w:w="1140" w:type="dxa"/>
            <w:vAlign w:val="bottom"/>
            <w:vMerge w:val="restart"/>
          </w:tcPr>
          <w:p>
            <w:pPr>
              <w:jc w:val="right"/>
              <w:ind w:right="2"/>
              <w:spacing w:after="0"/>
              <w:rPr>
                <w:sz w:val="20"/>
                <w:szCs w:val="20"/>
                <w:color w:val="auto"/>
              </w:rPr>
            </w:pPr>
            <w:r>
              <w:rPr>
                <w:rFonts w:ascii="Arial" w:cs="Arial" w:eastAsia="Arial" w:hAnsi="Arial"/>
                <w:sz w:val="12"/>
                <w:szCs w:val="12"/>
                <w:color w:val="auto"/>
              </w:rPr>
              <w:t>5.50</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1,288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1,256,655</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As of December 31, 2014 and December 31, 2015, total unrecognized compensation expense related to unvested non-employee stock options was $0.4 million and $0.1 million, respectively, which is expected to be recognized over a weighted average period of 0.8 years and 2.2 years,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ind w:right="100"/>
        <w:spacing w:after="0" w:line="313" w:lineRule="auto"/>
        <w:rPr>
          <w:sz w:val="20"/>
          <w:szCs w:val="20"/>
          <w:color w:val="auto"/>
        </w:rPr>
      </w:pPr>
      <w:r>
        <w:rPr>
          <w:rFonts w:ascii="Arial" w:cs="Arial" w:eastAsia="Arial" w:hAnsi="Arial"/>
          <w:sz w:val="13"/>
          <w:szCs w:val="13"/>
          <w:color w:val="auto"/>
        </w:rPr>
        <w:t>During the year ended December 31, 2013, the Company issued 118,239 shares of restricted common stock to employees upon the early exercise of stock options. During the year ended December 31, 2014, the Company issued 10,000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both December 31, 2014 and 2015, the remaining liability was less than $0.1 million.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Total fair value of restricted shares that vested during the years ended December 31, 2014 and 2015, was $0.1 million and less than $0.1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6" w:name="page237"/>
    <w:bookmarkEnd w:id="236"/>
    <w:p>
      <w:pPr>
        <w:ind w:left="7"/>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summarizes the restricted stock award activity of the Plan during the year ended December 31, 2014 and 2015:</w:t>
      </w:r>
    </w:p>
    <w:p>
      <w:pPr>
        <w:spacing w:after="0" w:line="230"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60" w:type="dxa"/>
            <w:vAlign w:val="bottom"/>
            <w:gridSpan w:val="5"/>
          </w:tcPr>
          <w:p>
            <w:pPr>
              <w:jc w:val="right"/>
              <w:ind w:right="311"/>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2"/>
                <w:szCs w:val="12"/>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December 31, 2015</w:t>
            </w:r>
          </w:p>
        </w:tc>
      </w:tr>
      <w:tr>
        <w:trPr>
          <w:trHeight w:val="121"/>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1"/>
              <w:spacing w:after="0" w:line="121" w:lineRule="exact"/>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1"/>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r>
      <w:tr>
        <w:trPr>
          <w:trHeight w:val="13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average</w:t>
            </w:r>
          </w:p>
        </w:tc>
      </w:tr>
      <w:tr>
        <w:trPr>
          <w:trHeight w:val="13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1"/>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exercise</w:t>
            </w: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1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price</w:t>
            </w:r>
          </w:p>
        </w:tc>
      </w:tr>
      <w:tr>
        <w:trPr>
          <w:trHeight w:val="182"/>
        </w:trPr>
        <w:tc>
          <w:tcPr>
            <w:tcW w:w="20" w:type="dxa"/>
            <w:vAlign w:val="bottom"/>
          </w:tcPr>
          <w:p>
            <w:pPr>
              <w:spacing w:after="0"/>
              <w:rPr>
                <w:sz w:val="15"/>
                <w:szCs w:val="15"/>
                <w:color w:val="auto"/>
              </w:rPr>
            </w:pPr>
          </w:p>
        </w:tc>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276,136</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0.40</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59,527</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200" w:type="dxa"/>
            <w:vAlign w:val="bottom"/>
          </w:tcPr>
          <w:p>
            <w:pPr>
              <w:ind w:left="140"/>
              <w:spacing w:after="0"/>
              <w:rPr>
                <w:sz w:val="20"/>
                <w:szCs w:val="20"/>
                <w:color w:val="auto"/>
              </w:rPr>
            </w:pPr>
            <w:r>
              <w:rPr>
                <w:rFonts w:ascii="Arial" w:cs="Arial" w:eastAsia="Arial" w:hAnsi="Arial"/>
                <w:sz w:val="15"/>
                <w:szCs w:val="15"/>
                <w:color w:val="auto"/>
              </w:rPr>
              <w:t>Issued</w:t>
            </w:r>
          </w:p>
        </w:tc>
        <w:tc>
          <w:tcPr>
            <w:tcW w:w="70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0.16</w:t>
            </w:r>
          </w:p>
        </w:tc>
        <w:tc>
          <w:tcPr>
            <w:tcW w:w="1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Vested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(226,609)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(29,987)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140" w:type="dxa"/>
            <w:vAlign w:val="bottom"/>
            <w:shd w:val="clear" w:color="auto" w:fill="CCEEFF"/>
          </w:tcPr>
          <w:p>
            <w:pPr>
              <w:spacing w:after="0"/>
              <w:rPr>
                <w:sz w:val="16"/>
                <w:szCs w:val="16"/>
                <w:color w:val="auto"/>
              </w:rPr>
            </w:pPr>
          </w:p>
        </w:tc>
      </w:tr>
      <w:tr>
        <w:trPr>
          <w:trHeight w:val="177"/>
        </w:trPr>
        <w:tc>
          <w:tcPr>
            <w:tcW w:w="5220" w:type="dxa"/>
            <w:vAlign w:val="bottom"/>
            <w:gridSpan w:val="2"/>
          </w:tcPr>
          <w:p>
            <w:pPr>
              <w:spacing w:after="0"/>
              <w:rPr>
                <w:sz w:val="20"/>
                <w:szCs w:val="20"/>
                <w:color w:val="auto"/>
              </w:rPr>
            </w:pPr>
            <w:r>
              <w:rPr>
                <w:rFonts w:ascii="Arial" w:cs="Arial" w:eastAsia="Arial" w:hAnsi="Arial"/>
                <w:sz w:val="15"/>
                <w:szCs w:val="15"/>
                <w:color w:val="auto"/>
              </w:rPr>
              <w:t>Unvested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59,527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0.71</w:t>
            </w:r>
          </w:p>
        </w:tc>
        <w:tc>
          <w:tcPr>
            <w:tcW w:w="1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29,540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0.71</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As of both December 31, 2014 and 2015, total unrecognized compensation expense related to restricted stock awards was less than $0.1 million, which the Company expects to recognize over a weighted average period of approximately 2.0 years and 1.0 year, respectively.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During the years ended December 31, 2014 and 2015, the Company recorded stock-based compensation expense as follows (in thousands):</w:t>
      </w:r>
    </w:p>
    <w:p>
      <w:pPr>
        <w:spacing w:after="0" w:line="195" w:lineRule="exact"/>
        <w:rPr>
          <w:sz w:val="20"/>
          <w:szCs w:val="20"/>
          <w:color w:val="auto"/>
        </w:rPr>
      </w:pPr>
    </w:p>
    <w:tbl>
      <w:tblPr>
        <w:tblLayout w:type="fixed"/>
        <w:tblInd w:w="1147"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160" w:hanging="7"/>
        <w:spacing w:after="0" w:line="541" w:lineRule="auto"/>
        <w:tabs>
          <w:tab w:leader="none" w:pos="259"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160"/>
        <w:spacing w:after="0" w:line="362"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1" w:lineRule="exact"/>
        <w:rPr>
          <w:sz w:val="20"/>
          <w:szCs w:val="20"/>
          <w:color w:val="auto"/>
        </w:rPr>
      </w:pPr>
    </w:p>
    <w:p>
      <w:pPr>
        <w:ind w:left="7" w:right="480"/>
        <w:spacing w:after="0" w:line="319"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the Company for expenses incurred within certain approved limits.</w:t>
      </w:r>
    </w:p>
    <w:p>
      <w:pPr>
        <w:spacing w:after="0" w:line="15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 $3.0 million for each indication, which has been received for the food allergy indication. For each indication, the Company is also eligible for (i) a $5.0 million development candidate milestone payable to the Company at the start of preclinical development, (ii) further development milestones up to an aggregate of $127.0 million, (iii) sales milestones of up to an aggregate of $170.0 million, and (iv) tiered royalties on annual net sales of licensed products at percentages ranging from mid-single to low double digits.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62"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$2.1 million and $2.1 million of revenue during the years ended December 31, 2014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research and collaboration agreements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has entered into other research and collaboration agreements in 2014 and 2015 for which the Company did not recognize any revenue for the period ended December 31, 2014 and recognized revenue in the amount of $0.3 million for the period ended December 31,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42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The Company has two grants through the Department of Health and Human Services, National Institutes of Health ("NIH"). The first grant, for an aggregate amount of $8.1 million, was awarded in May 2014 to support research in the development of a next generation vaccine for smoking cessation and relapse prevention. The Company recognized $0.6 million and $2.4 million of revenue for the periods ending December 31, 2014 and 2015, respectively, under the arrangement.</w:t>
      </w:r>
    </w:p>
    <w:p>
      <w:pPr>
        <w:spacing w:after="0" w:line="159" w:lineRule="exact"/>
        <w:rPr>
          <w:sz w:val="20"/>
          <w:szCs w:val="20"/>
          <w:color w:val="auto"/>
        </w:rPr>
      </w:pPr>
    </w:p>
    <w:p>
      <w:pPr>
        <w:jc w:val="both"/>
        <w:ind w:right="40"/>
        <w:spacing w:after="0" w:line="282" w:lineRule="auto"/>
        <w:rPr>
          <w:sz w:val="20"/>
          <w:szCs w:val="20"/>
          <w:color w:val="auto"/>
        </w:rPr>
      </w:pPr>
      <w:r>
        <w:rPr>
          <w:rFonts w:ascii="Arial" w:cs="Arial" w:eastAsia="Arial" w:hAnsi="Arial"/>
          <w:sz w:val="15"/>
          <w:szCs w:val="15"/>
          <w:color w:val="auto"/>
        </w:rPr>
        <w:t>The second grant is for an aggregate amount of $0.2 million, which was awarded in September 2015 for the development of nanoparticles for immune tolerance to factor VIII. The company recognized revenue in the amount of $0.1 million for the year ended December 31, 2015.</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5"/>
          <w:szCs w:val="15"/>
          <w:color w:val="auto"/>
        </w:rPr>
        <w:t>The Company had two contracts in effect with JDRF during 2014, and only one of those contracts was in effect during 2015. The first contract was a continuation and completion of a 2011 grant for $0.8 million. The Company recognized the remaining $0.2 million of revenue during the year ended December 31, 2014 under this contract. The second JDRF grant is a joint grant with Sanofi entered into in September 2014 for $0.4 million to conduct Type 1 Diabetes research. The Company recognized less than $0.1 million and $0.2 million of revenue related to this contract during the years ended December 31, 2014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8"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recognized for the years ending December 31, 2014 and 2015 was $0.2 million and $0.6 million, respectively. Revenue is recognized on a proportional performance basis as it relates to employee time expended on the research, along reimbursement for external costs directly related to, and approved, by the grant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9" w:name="page240"/>
    <w:bookmarkEnd w:id="23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 million,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 million, to cover the potential penalty. The amount is classified as restricted cash in the consolidated balance sheets for the years ended December 31, 2014 and 2015. In 2014, the Company terminated its plan to conduct the clinical trial in Russia subjecting the Company to the penalty obligation.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The first audit period expired on December 31, 2015, and as a result $0.4 million of revenue was recognized for the year ending December 31, 2015. The remaining amount of unrecognized revenue is classified contingent repayable grant funding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received $1.0 million in 2014 and no additional funds have been received for the year ending December 31, 2015 from Skolkovo.</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Series B Preferred and Series D Preferred financings (as described in Note 9), the Company's landlord (the "Landlord") purchased 49,254 shares of Series B Preferred at</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9). The Landlord paid the same price as the price paid by other investors in each of these Preferred Stock purchases.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The Company incurred expenses for consulting services provided by its founders totaling $0.3 million during each of the years ended December 31, 2014 and 2015.</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may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was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4"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Company's SVP technology with any such compound in such country. The Company has paid to 3SBio an aggregate of $1.0 million in upfront and milestone-based payments under the 3SBio License.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the Company's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5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 the years ended December 31, 2014 and 2015,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46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Research tax credits/others</w:t>
            </w:r>
          </w:p>
        </w:tc>
        <w:tc>
          <w:tcPr>
            <w:tcW w:w="46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Other</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(7.8)</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tax effects of temporary differences that give rise to the Company's net deferred tax assets as of December 31 are as follows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r>
      <w:tr>
        <w:trPr>
          <w:trHeight w:val="136"/>
        </w:trPr>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jc w:val="right"/>
              <w:ind w:right="286"/>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22,444</w:t>
            </w: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31,958</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2,283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1,582</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40" w:type="dxa"/>
            <w:vAlign w:val="bottom"/>
            <w:shd w:val="clear" w:color="auto" w:fill="CCEEFF"/>
          </w:tcPr>
          <w:p>
            <w:pPr>
              <w:spacing w:after="0"/>
              <w:rPr>
                <w:sz w:val="16"/>
                <w:szCs w:val="16"/>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 w:type="dxa"/>
            <w:vAlign w:val="bottom"/>
            <w:shd w:val="clear" w:color="auto" w:fill="CCEEFF"/>
          </w:tcPr>
          <w:p>
            <w:pPr>
              <w:spacing w:after="0"/>
              <w:rPr>
                <w:sz w:val="16"/>
                <w:szCs w:val="16"/>
                <w:color w:val="auto"/>
              </w:rPr>
            </w:pPr>
          </w:p>
        </w:tc>
      </w:tr>
      <w:tr>
        <w:trPr>
          <w:trHeight w:val="177"/>
        </w:trPr>
        <w:tc>
          <w:tcPr>
            <w:tcW w:w="7460" w:type="dxa"/>
            <w:vAlign w:val="bottom"/>
          </w:tcPr>
          <w:p>
            <w:pPr>
              <w:ind w:left="160"/>
              <w:spacing w:after="0"/>
              <w:rPr>
                <w:sz w:val="20"/>
                <w:szCs w:val="20"/>
                <w:color w:val="auto"/>
              </w:rPr>
            </w:pPr>
            <w:r>
              <w:rPr>
                <w:rFonts w:ascii="Arial" w:cs="Arial" w:eastAsia="Arial" w:hAnsi="Arial"/>
                <w:sz w:val="15"/>
                <w:szCs w:val="15"/>
                <w:color w:val="auto"/>
              </w:rPr>
              <w:t>Gross 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30,221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40,522</w:t>
            </w:r>
          </w:p>
        </w:tc>
        <w:tc>
          <w:tcPr>
            <w:tcW w:w="140" w:type="dxa"/>
            <w:vAlign w:val="bottom"/>
          </w:tcPr>
          <w:p>
            <w:pPr>
              <w:spacing w:after="0"/>
              <w:rPr>
                <w:sz w:val="15"/>
                <w:szCs w:val="15"/>
                <w:color w:val="auto"/>
              </w:rPr>
            </w:pPr>
          </w:p>
        </w:tc>
      </w:tr>
      <w:tr>
        <w:trPr>
          <w:trHeight w:val="371"/>
        </w:trPr>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Depreciation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(388)</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(197)</w:t>
            </w: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r>
      <w:tr>
        <w:trPr>
          <w:trHeight w:val="185"/>
        </w:trPr>
        <w:tc>
          <w:tcPr>
            <w:tcW w:w="746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(1,352)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(1,728)</w:t>
            </w: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(2,022)</w:t>
            </w:r>
          </w:p>
        </w:tc>
      </w:tr>
      <w:tr>
        <w:trPr>
          <w:trHeight w:val="185"/>
        </w:trPr>
        <w:tc>
          <w:tcPr>
            <w:tcW w:w="7460" w:type="dxa"/>
            <w:vAlign w:val="bottom"/>
          </w:tcPr>
          <w:p>
            <w:pPr>
              <w:ind w:left="16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38,500</w:t>
            </w:r>
          </w:p>
        </w:tc>
        <w:tc>
          <w:tcPr>
            <w:tcW w:w="140" w:type="dxa"/>
            <w:vAlign w:val="bottom"/>
          </w:tcPr>
          <w:p>
            <w:pPr>
              <w:spacing w:after="0"/>
              <w:rPr>
                <w:sz w:val="16"/>
                <w:szCs w:val="16"/>
                <w:color w:val="auto"/>
              </w:rPr>
            </w:pPr>
          </w:p>
        </w:tc>
      </w:tr>
      <w:tr>
        <w:trPr>
          <w:trHeight w:val="185"/>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(28,422)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(38,500)</w:t>
            </w:r>
          </w:p>
        </w:tc>
      </w:tr>
      <w:tr>
        <w:trPr>
          <w:trHeight w:val="177"/>
        </w:trPr>
        <w:tc>
          <w:tcPr>
            <w:tcW w:w="746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$4.3 million and $10.1 million for the years ended December 31, 2014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2015.</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At December 31, 2015, the Company had federal and state net operating loss carryforwards of $82.4 million and $76.3 million, which will expire at various times through 2035. Included in the net operating loss above is approximately $237,000 related to excess stock option deductions. The Company also has federal and state research and development tax credit carryforwards of $1.6 million and $1.1 million available to reduce future tax liabilities, which will expire at various times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43" w:name="page244"/>
    <w:bookmarkEnd w:id="243"/>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w:t>
      </w:r>
    </w:p>
    <w:p>
      <w:pPr>
        <w:spacing w:after="0" w:line="177"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5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Company applies ASC 740, Income Taxes to uncertain tax positions. As of the adoption date on January 1, 2009 and through December 31, 2015, the Company had no unrecognized tax benefits or related interest and penalties accrued.</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 of operations and comprehensive loss. As of December 31, 2015, the Company had no accrued interest related to uncertain tax positions.</w:t>
      </w:r>
    </w:p>
    <w:p>
      <w:pPr>
        <w:spacing w:after="0" w:line="15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ind w:right="20"/>
        <w:spacing w:after="0" w:line="330" w:lineRule="auto"/>
        <w:rPr>
          <w:sz w:val="20"/>
          <w:szCs w:val="20"/>
          <w:color w:val="auto"/>
        </w:rPr>
      </w:pPr>
      <w:r>
        <w:rPr>
          <w:rFonts w:ascii="Arial" w:cs="Arial" w:eastAsia="Arial" w:hAnsi="Arial"/>
          <w:sz w:val="13"/>
          <w:szCs w:val="13"/>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 contributions pursuant to the 401(k) Plan's matching formula. All matching contributions vest ratably over 4 years and participant contributions vest immediately.</w:t>
      </w:r>
    </w:p>
    <w:p>
      <w:pPr>
        <w:spacing w:after="0" w:line="125"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Contributions by the Company totaled $0.1 million and $0.1 million for the years ended December 31, 2014 and 2015, respectively have been recorded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130175</wp:posOffset>
            </wp:positionV>
            <wp:extent cx="4699635" cy="11766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699635"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(25 days after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1385" cy="203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3" w:right="339" w:bottom="1440" w:gutter="0" w:footer="0" w:header="0"/>
        </w:sectPr>
      </w:pPr>
    </w:p>
    <w:bookmarkStart w:id="245" w:name="page246"/>
    <w:bookmarkEnd w:id="24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0910" cy="7620"/>
                    </a:xfrm>
                    <a:prstGeom prst="rect">
                      <a:avLst/>
                    </a:prstGeom>
                    <a:noFill/>
                  </pic:spPr>
                </pic:pic>
              </a:graphicData>
            </a:graphic>
          </wp:anchor>
        </w:drawing>
        <w:t>Part II</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Initial listing fee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Blue Sky fees and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Transfer Agent's fees and expenses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85"/>
        </w:trPr>
        <w:tc>
          <w:tcPr>
            <w:tcW w:w="8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840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7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26630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46" w:name="page247"/>
    <w:bookmarkEnd w:id="246"/>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47" w:name="page248"/>
    <w:bookmarkEnd w:id="247"/>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2"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8"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Since December 31, 2012, the registrant granted stock options to purchase an aggregate of 4,195,558 shares of its common stock with exercise prices ranging between $0.71 and $2.40 per share, including stock options that were exercised prior to vesting in exchange for 118,239 shares of restricted stock, and 10,000 shares of restricted common stock to employees, non-employees, and directors in connection with services provided to the registrant by such parties.</w:t>
      </w:r>
    </w:p>
    <w:p>
      <w:pPr>
        <w:spacing w:after="0" w:line="159"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On July 24, 2015, the registrant issued warrants to purchase up to 315,198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2,222,213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On December 31, 2015, the registrant issued warrants to purchase up to an aggregate of 37,978 shares of Series E Preferred Stock to Oxford and Pacific Western Bank pursuant to Section 4(a)(2) of the Securities Act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(d)  Promissory Notes.</w:t>
      </w:r>
    </w:p>
    <w:p>
      <w:pPr>
        <w:spacing w:after="0" w:line="19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On August 9, 2013, the registrant issued an aggregate of $3.0 million in principal amount of secured promissory notes to Oxford and Square 1 Bank pursuant to Section 4(a)(2)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48" w:name="page249"/>
    <w:bookmarkEnd w:id="248"/>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On July 25, 2014, the registrant issued an aggregate of $4.5 million in principal amount of secured promissory notes to Oxford and Square 1 Bank pursuant to Section 4(a)(2) of the Securities Act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On April 10, 2015 and June 23, 2015, the registrant issued an aggregate of $7.0 million in principal amount of convertible promissory notes to accredited investors pursuant to Section 4(a)</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 of the Securities Act as a transaction not involving a public offering.</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Underwriting Agreement</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stockholders party thereto</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Square One Bank</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option agreement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100" w:hanging="754"/>
        <w:spacing w:after="0" w:line="314" w:lineRule="auto"/>
        <w:rPr>
          <w:sz w:val="20"/>
          <w:szCs w:val="20"/>
          <w:color w:val="auto"/>
        </w:rPr>
      </w:pPr>
      <w:r>
        <w:rPr>
          <w:rFonts w:ascii="Arial" w:cs="Arial" w:eastAsia="Arial" w:hAnsi="Arial"/>
          <w:sz w:val="15"/>
          <w:szCs w:val="15"/>
          <w:color w:val="auto"/>
        </w:rPr>
        <w:t>10.6(a)†** Exclusive Patent License Agreement, dated as of November 25, 2008,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29" w:right="379" w:bottom="1440" w:gutter="0" w:footer="0" w:header="0"/>
        </w:sectPr>
      </w:pPr>
    </w:p>
    <w:bookmarkStart w:id="249" w:name="page250"/>
    <w:bookmarkEnd w:id="249"/>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9" w:right="219" w:bottom="1440" w:gutter="0" w:footer="0" w:header="0"/>
          <w:type w:val="continuous"/>
        </w:sectPr>
      </w:pPr>
    </w:p>
    <w:p>
      <w:pPr>
        <w:ind w:left="2020" w:right="1780" w:hanging="762"/>
        <w:spacing w:after="0" w:line="270" w:lineRule="auto"/>
        <w:rPr>
          <w:sz w:val="20"/>
          <w:szCs w:val="20"/>
          <w:color w:val="auto"/>
        </w:rPr>
      </w:pPr>
      <w:r>
        <w:rPr>
          <w:rFonts w:ascii="Arial" w:cs="Arial" w:eastAsia="Arial" w:hAnsi="Arial"/>
          <w:sz w:val="15"/>
          <w:szCs w:val="15"/>
          <w:color w:val="auto"/>
        </w:rPr>
        <w:t>10.6(b)†** First Amendment to Exclusive Patent License Agreement, dated as of January 12, 2010, by and between the Registrant and the Massachusetts Institute of Technology</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10.6(c)†**  Letter Agreement, dated as of November 27, 2012, by and among the Registrant, Massachusetts Institute of Technology and Sanofi</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10.6(d)†**  Letter Amendment, dated as of November 27, 2012, by and between the Registrant and the Massachusetts Institute of Technology</w:t>
      </w:r>
    </w:p>
    <w:p>
      <w:pPr>
        <w:spacing w:after="0" w:line="221" w:lineRule="exact"/>
        <w:rPr>
          <w:sz w:val="20"/>
          <w:szCs w:val="20"/>
          <w:color w:val="auto"/>
        </w:rPr>
      </w:pPr>
    </w:p>
    <w:p>
      <w:pPr>
        <w:ind w:left="2020" w:right="1640" w:hanging="754"/>
        <w:spacing w:after="0" w:line="314" w:lineRule="auto"/>
        <w:rPr>
          <w:sz w:val="20"/>
          <w:szCs w:val="20"/>
          <w:color w:val="auto"/>
        </w:rPr>
      </w:pPr>
      <w:r>
        <w:rPr>
          <w:rFonts w:ascii="Arial" w:cs="Arial" w:eastAsia="Arial" w:hAnsi="Arial"/>
          <w:sz w:val="15"/>
          <w:szCs w:val="15"/>
          <w:color w:val="auto"/>
        </w:rPr>
        <w:t>10.6(e)†** Second Amendment to Exclusive Patent License Agreement, dated as of August 29, 2013,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10.7(a)†**  License and Research Collaboration Agreement, dated as of November 27, 2012, by and between the Registrant and Sanofi</w:t>
      </w:r>
    </w:p>
    <w:p>
      <w:pPr>
        <w:spacing w:after="0" w:line="221"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10.7(b)†**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10.8†**  License Agreement, dated as of May 12, 2014, by and between the Registrant and Shenyang Sunshine Pharmaceutical Co., Ltd.</w:t>
      </w:r>
    </w:p>
    <w:p>
      <w:pPr>
        <w:spacing w:after="0" w:line="221" w:lineRule="exact"/>
        <w:rPr>
          <w:sz w:val="20"/>
          <w:szCs w:val="20"/>
          <w:color w:val="auto"/>
        </w:rPr>
      </w:pPr>
    </w:p>
    <w:p>
      <w:pPr>
        <w:ind w:left="2020" w:right="2200" w:hanging="587"/>
        <w:spacing w:after="0" w:line="314" w:lineRule="auto"/>
        <w:rPr>
          <w:sz w:val="20"/>
          <w:szCs w:val="20"/>
          <w:color w:val="auto"/>
        </w:rPr>
      </w:pPr>
      <w:r>
        <w:rPr>
          <w:rFonts w:ascii="Arial" w:cs="Arial" w:eastAsia="Arial" w:hAnsi="Arial"/>
          <w:sz w:val="15"/>
          <w:szCs w:val="15"/>
          <w:color w:val="auto"/>
        </w:rPr>
        <w:t>10.9†**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62"/>
        <w:spacing w:after="0" w:line="314" w:lineRule="auto"/>
        <w:rPr>
          <w:sz w:val="20"/>
          <w:szCs w:val="20"/>
          <w:color w:val="auto"/>
        </w:rPr>
      </w:pPr>
      <w:r>
        <w:rPr>
          <w:rFonts w:ascii="Arial" w:cs="Arial" w:eastAsia="Arial" w:hAnsi="Arial"/>
          <w:sz w:val="15"/>
          <w:szCs w:val="15"/>
          <w:color w:val="auto"/>
        </w:rPr>
        <w:t>10.10†** Patent Cross-License Agreement, dated as of December 18, 2008, by and between the Registrant and BIND Therapeutics, Inc. (formerly BIND Biosciences, Inc.)</w:t>
      </w:r>
    </w:p>
    <w:p>
      <w:pPr>
        <w:spacing w:after="0" w:line="128" w:lineRule="exact"/>
        <w:rPr>
          <w:sz w:val="20"/>
          <w:szCs w:val="20"/>
          <w:color w:val="auto"/>
        </w:rPr>
      </w:pPr>
    </w:p>
    <w:tbl>
      <w:tblPr>
        <w:tblLayout w:type="fixed"/>
        <w:tblInd w:w="1360" w:type="dxa"/>
        <w:tblCellMar>
          <w:top w:w="0" w:type="dxa"/>
          <w:left w:w="0" w:type="dxa"/>
          <w:bottom w:w="0" w:type="dxa"/>
          <w:right w:w="0" w:type="dxa"/>
        </w:tblCellMar>
      </w:tblPr>
      <w:tr>
        <w:trPr>
          <w:trHeight w:val="208"/>
        </w:trPr>
        <w:tc>
          <w:tcPr>
            <w:tcW w:w="580" w:type="dxa"/>
            <w:vAlign w:val="bottom"/>
          </w:tcPr>
          <w:p>
            <w:pPr>
              <w:spacing w:after="0"/>
              <w:rPr>
                <w:sz w:val="20"/>
                <w:szCs w:val="20"/>
                <w:color w:val="auto"/>
              </w:rPr>
            </w:pPr>
            <w:r>
              <w:rPr>
                <w:rFonts w:ascii="Arial" w:cs="Arial" w:eastAsia="Arial" w:hAnsi="Arial"/>
                <w:sz w:val="15"/>
                <w:szCs w:val="15"/>
                <w:color w:val="auto"/>
              </w:rPr>
              <w:t>10.11*</w:t>
            </w:r>
          </w:p>
        </w:tc>
        <w:tc>
          <w:tcPr>
            <w:tcW w:w="8180" w:type="dxa"/>
            <w:vAlign w:val="bottom"/>
          </w:tcPr>
          <w:p>
            <w:pPr>
              <w:ind w:left="80"/>
              <w:spacing w:after="0"/>
              <w:rPr>
                <w:sz w:val="20"/>
                <w:szCs w:val="20"/>
                <w:color w:val="auto"/>
              </w:rPr>
            </w:pPr>
            <w:r>
              <w:rPr>
                <w:rFonts w:ascii="Arial" w:cs="Arial" w:eastAsia="Arial" w:hAnsi="Arial"/>
                <w:sz w:val="15"/>
                <w:szCs w:val="15"/>
                <w:color w:val="auto"/>
                <w:w w:val="88"/>
              </w:rPr>
              <w:t>Lease, dated as of September 30, 2008, as amended by the First Amendment, dated as of July 12, 2011, the Second Amendment, dated</w:t>
            </w:r>
          </w:p>
        </w:tc>
      </w:tr>
      <w:tr>
        <w:trPr>
          <w:trHeight w:val="185"/>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w w:val="93"/>
              </w:rPr>
              <w:t>as of October 11, 2011 and the Third Amendment, dated as of April 6, 2015, by and between the Registrant and ARE-480 Arsenal</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Street, LLC</w:t>
            </w:r>
          </w:p>
        </w:tc>
      </w:tr>
      <w:tr>
        <w:trPr>
          <w:trHeight w:val="389"/>
        </w:trPr>
        <w:tc>
          <w:tcPr>
            <w:tcW w:w="580" w:type="dxa"/>
            <w:vAlign w:val="bottom"/>
          </w:tcPr>
          <w:p>
            <w:pPr>
              <w:spacing w:after="0"/>
              <w:rPr>
                <w:sz w:val="20"/>
                <w:szCs w:val="20"/>
                <w:color w:val="auto"/>
              </w:rPr>
            </w:pPr>
            <w:r>
              <w:rPr>
                <w:rFonts w:ascii="Arial" w:cs="Arial" w:eastAsia="Arial" w:hAnsi="Arial"/>
                <w:sz w:val="15"/>
                <w:szCs w:val="15"/>
                <w:color w:val="auto"/>
              </w:rPr>
              <w:t>10.12**</w:t>
            </w:r>
          </w:p>
        </w:tc>
        <w:tc>
          <w:tcPr>
            <w:tcW w:w="8180" w:type="dxa"/>
            <w:vAlign w:val="bottom"/>
          </w:tcPr>
          <w:p>
            <w:pPr>
              <w:ind w:left="80"/>
              <w:spacing w:after="0"/>
              <w:rPr>
                <w:sz w:val="20"/>
                <w:szCs w:val="20"/>
                <w:color w:val="auto"/>
              </w:rPr>
            </w:pPr>
            <w:r>
              <w:rPr>
                <w:rFonts w:ascii="Arial" w:cs="Arial" w:eastAsia="Arial" w:hAnsi="Arial"/>
                <w:sz w:val="15"/>
                <w:szCs w:val="15"/>
                <w:color w:val="auto"/>
                <w:w w:val="95"/>
              </w:rPr>
              <w:t>Consulting Agreement, dated as of March 10, 2008, as amended by the First Amendment to Consulting Agreement, dated as of</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580" w:type="dxa"/>
            <w:vAlign w:val="bottom"/>
          </w:tcPr>
          <w:p>
            <w:pPr>
              <w:spacing w:after="0"/>
              <w:rPr>
                <w:sz w:val="20"/>
                <w:szCs w:val="20"/>
                <w:color w:val="auto"/>
              </w:rPr>
            </w:pPr>
            <w:r>
              <w:rPr>
                <w:rFonts w:ascii="Arial" w:cs="Arial" w:eastAsia="Arial" w:hAnsi="Arial"/>
                <w:sz w:val="15"/>
                <w:szCs w:val="15"/>
                <w:color w:val="auto"/>
              </w:rPr>
              <w:t>10.13**</w:t>
            </w:r>
          </w:p>
        </w:tc>
        <w:tc>
          <w:tcPr>
            <w:tcW w:w="8180" w:type="dxa"/>
            <w:vAlign w:val="bottom"/>
          </w:tcPr>
          <w:p>
            <w:pPr>
              <w:ind w:left="80"/>
              <w:spacing w:after="0"/>
              <w:rPr>
                <w:sz w:val="20"/>
                <w:szCs w:val="20"/>
                <w:color w:val="auto"/>
              </w:rPr>
            </w:pPr>
            <w:r>
              <w:rPr>
                <w:rFonts w:ascii="Arial" w:cs="Arial" w:eastAsia="Arial" w:hAnsi="Arial"/>
                <w:sz w:val="15"/>
                <w:szCs w:val="15"/>
                <w:color w:val="auto"/>
                <w:w w:val="95"/>
              </w:rPr>
              <w:t>Consulting Agreement, dated as of March 10, 2008, as amended by the First Amendment to Consulting Agreement, dated as of</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89"/>
        </w:trPr>
        <w:tc>
          <w:tcPr>
            <w:tcW w:w="580" w:type="dxa"/>
            <w:vAlign w:val="bottom"/>
          </w:tcPr>
          <w:p>
            <w:pPr>
              <w:spacing w:after="0"/>
              <w:rPr>
                <w:sz w:val="20"/>
                <w:szCs w:val="20"/>
                <w:color w:val="auto"/>
              </w:rPr>
            </w:pPr>
            <w:r>
              <w:rPr>
                <w:rFonts w:ascii="Arial" w:cs="Arial" w:eastAsia="Arial" w:hAnsi="Arial"/>
                <w:sz w:val="15"/>
                <w:szCs w:val="15"/>
                <w:color w:val="auto"/>
              </w:rPr>
              <w:t>10.14</w:t>
            </w:r>
          </w:p>
        </w:tc>
        <w:tc>
          <w:tcPr>
            <w:tcW w:w="8180" w:type="dxa"/>
            <w:vAlign w:val="bottom"/>
          </w:tcPr>
          <w:p>
            <w:pPr>
              <w:ind w:left="80"/>
              <w:spacing w:after="0"/>
              <w:rPr>
                <w:sz w:val="20"/>
                <w:szCs w:val="20"/>
                <w:color w:val="auto"/>
              </w:rPr>
            </w:pPr>
            <w:r>
              <w:rPr>
                <w:rFonts w:ascii="Arial" w:cs="Arial" w:eastAsia="Arial" w:hAnsi="Arial"/>
                <w:sz w:val="15"/>
                <w:szCs w:val="15"/>
                <w:color w:val="auto"/>
                <w:w w:val="95"/>
              </w:rPr>
              <w:t>Consulting Agreement, dated as of March 10, 2008, as amended by the First Amendment to Consulting Agreement, dated as of</w:t>
            </w:r>
          </w:p>
        </w:tc>
      </w:tr>
      <w:tr>
        <w:trPr>
          <w:trHeight w:val="190"/>
        </w:trPr>
        <w:tc>
          <w:tcPr>
            <w:tcW w:w="580" w:type="dxa"/>
            <w:vAlign w:val="bottom"/>
          </w:tcPr>
          <w:p>
            <w:pPr>
              <w:spacing w:after="0"/>
              <w:rPr>
                <w:sz w:val="16"/>
                <w:szCs w:val="16"/>
                <w:color w:val="auto"/>
              </w:rPr>
            </w:pPr>
          </w:p>
        </w:tc>
        <w:tc>
          <w:tcPr>
            <w:tcW w:w="818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Ulrich von Andrian</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10.15**</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10.16**</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10.17**</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580" w:type="dxa"/>
            <w:vAlign w:val="bottom"/>
          </w:tcPr>
          <w:p>
            <w:pPr>
              <w:spacing w:after="0"/>
              <w:rPr>
                <w:sz w:val="20"/>
                <w:szCs w:val="20"/>
                <w:color w:val="auto"/>
              </w:rPr>
            </w:pPr>
            <w:r>
              <w:rPr>
                <w:rFonts w:ascii="Arial" w:cs="Arial" w:eastAsia="Arial" w:hAnsi="Arial"/>
                <w:sz w:val="15"/>
                <w:szCs w:val="15"/>
                <w:color w:val="auto"/>
              </w:rPr>
              <w:t>10.18**</w:t>
            </w:r>
          </w:p>
        </w:tc>
        <w:tc>
          <w:tcPr>
            <w:tcW w:w="8180" w:type="dxa"/>
            <w:vAlign w:val="bottom"/>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250" w:name="page251"/>
    <w:bookmarkEnd w:id="250"/>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10.19**</w:t>
            </w:r>
          </w:p>
        </w:tc>
        <w:tc>
          <w:tcPr>
            <w:tcW w:w="83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10.20**</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10.21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10.23**</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7" w:hanging="463"/>
        <w:spacing w:after="0"/>
        <w:tabs>
          <w:tab w:leader="none" w:pos="1607"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7" w:hanging="463"/>
        <w:spacing w:after="0"/>
        <w:tabs>
          <w:tab w:leader="none" w:pos="1607" w:val="left"/>
        </w:tabs>
        <w:numPr>
          <w:ilvl w:val="1"/>
          <w:numId w:val="136"/>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176" w:lineRule="exact"/>
        <w:rPr>
          <w:rFonts w:ascii="Arial" w:cs="Arial" w:eastAsia="Arial" w:hAnsi="Arial"/>
          <w:sz w:val="12"/>
          <w:szCs w:val="12"/>
          <w:color w:val="auto"/>
        </w:rPr>
      </w:pPr>
    </w:p>
    <w:p>
      <w:pPr>
        <w:ind w:left="7" w:right="160" w:hanging="7"/>
        <w:spacing w:after="0" w:line="282" w:lineRule="auto"/>
        <w:tabs>
          <w:tab w:leader="none" w:pos="296" w:val="left"/>
        </w:tabs>
        <w:numPr>
          <w:ilvl w:val="0"/>
          <w:numId w:val="136"/>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47"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2"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1" w:lineRule="exact"/>
        <w:rPr>
          <w:sz w:val="20"/>
          <w:szCs w:val="20"/>
          <w:color w:val="auto"/>
        </w:rPr>
      </w:pPr>
    </w:p>
    <w:p>
      <w:pPr>
        <w:ind w:left="7" w:right="20"/>
        <w:spacing w:after="0" w:line="310" w:lineRule="auto"/>
        <w:rPr>
          <w:sz w:val="20"/>
          <w:szCs w:val="20"/>
          <w:color w:val="auto"/>
        </w:rPr>
      </w:pPr>
      <w:r>
        <w:rPr>
          <w:rFonts w:ascii="Arial" w:cs="Arial" w:eastAsia="Arial" w:hAnsi="Arial"/>
          <w:sz w:val="13"/>
          <w:szCs w:val="13"/>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28" w:right="279" w:bottom="1440" w:gutter="0" w:footer="0" w:header="0"/>
        </w:sectPr>
      </w:pPr>
    </w:p>
    <w:bookmarkStart w:id="251" w:name="page252"/>
    <w:bookmarkEnd w:id="251"/>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0" w:right="160" w:hanging="464"/>
        <w:spacing w:after="0" w:line="270" w:lineRule="auto"/>
        <w:tabs>
          <w:tab w:leader="none" w:pos="92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2" w:lineRule="exact"/>
        <w:rPr>
          <w:rFonts w:ascii="Arial" w:cs="Arial" w:eastAsia="Arial" w:hAnsi="Arial"/>
          <w:sz w:val="15"/>
          <w:szCs w:val="15"/>
          <w:color w:val="auto"/>
        </w:rPr>
      </w:pPr>
    </w:p>
    <w:p>
      <w:pPr>
        <w:ind w:left="920" w:right="400" w:hanging="464"/>
        <w:spacing w:after="0" w:line="362" w:lineRule="auto"/>
        <w:tabs>
          <w:tab w:leader="none" w:pos="9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52" w:name="page253"/>
    <w:bookmarkEnd w:id="25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Act, the registrant has duly caused this registration statement to be signed on its behalf by the undersigned, thereunto duly authorized, in the</w:t>
      </w:r>
    </w:p>
    <w:p>
      <w:pPr>
        <w:spacing w:after="0" w:line="41" w:lineRule="exact"/>
        <w:rPr>
          <w:sz w:val="20"/>
          <w:szCs w:val="20"/>
          <w:color w:val="auto"/>
        </w:rPr>
      </w:pPr>
    </w:p>
    <w:p>
      <w:pPr>
        <w:spacing w:after="0"/>
        <w:tabs>
          <w:tab w:leader="none" w:pos="4360" w:val="left"/>
          <w:tab w:leader="none" w:pos="5760" w:val="left"/>
        </w:tabs>
        <w:rPr>
          <w:sz w:val="20"/>
          <w:szCs w:val="20"/>
          <w:color w:val="auto"/>
        </w:rPr>
      </w:pPr>
      <w:r>
        <w:rPr>
          <w:rFonts w:ascii="Arial" w:cs="Arial" w:eastAsia="Arial" w:hAnsi="Arial"/>
          <w:sz w:val="15"/>
          <w:szCs w:val="15"/>
          <w:color w:val="auto"/>
        </w:rPr>
        <w:t>City of Watertown, Commonwealth of Massachusetts, on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3"/>
          <w:szCs w:val="13"/>
          <w:color w:val="auto"/>
        </w:rPr>
        <w:t>, 2016.</w:t>
      </w:r>
    </w:p>
    <w:p>
      <w:pPr>
        <w:spacing w:after="0" w:line="200" w:lineRule="exact"/>
        <w:rPr>
          <w:sz w:val="20"/>
          <w:szCs w:val="20"/>
          <w:color w:val="auto"/>
        </w:rPr>
      </w:pPr>
    </w:p>
    <w:p>
      <w:pPr>
        <w:spacing w:after="0" w:line="202"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64135</wp:posOffset>
            </wp:positionV>
            <wp:extent cx="335343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5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253" w:name="page254"/>
    <w:bookmarkEnd w:id="253"/>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 and power of attorney</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the undersigned officers and directors of Selecta Biosciences, Inc., hereby severally constitute and appoint Werner Cautreels, Ph.D. and David Siewers,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7"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184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83184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President, Chief Executive Officer and Director (principal executive officer)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89"/>
              </w:rPr>
              <w:t>Werner Cautreels, Ph.D.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Chief Financial Officer (principal financial officer and principal accounting</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8"/>
        </w:trPr>
        <w:tc>
          <w:tcPr>
            <w:tcW w:w="2720" w:type="dxa"/>
            <w:vAlign w:val="bottom"/>
            <w:tcBorders>
              <w:bottom w:val="single" w:sz="8" w:color="auto"/>
            </w:tcBorders>
          </w:tcPr>
          <w:p>
            <w:pPr>
              <w:spacing w:after="0"/>
              <w:rPr>
                <w:sz w:val="7"/>
                <w:szCs w:val="7"/>
                <w:color w:val="auto"/>
              </w:rPr>
            </w:pPr>
          </w:p>
        </w:tc>
        <w:tc>
          <w:tcPr>
            <w:tcW w:w="5360" w:type="dxa"/>
            <w:vAlign w:val="bottom"/>
            <w:vMerge w:val="restart"/>
          </w:tcPr>
          <w:p>
            <w:pPr>
              <w:ind w:left="120"/>
              <w:spacing w:after="0" w:line="162" w:lineRule="exact"/>
              <w:rPr>
                <w:sz w:val="20"/>
                <w:szCs w:val="20"/>
                <w:color w:val="auto"/>
              </w:rPr>
            </w:pPr>
            <w:r>
              <w:rPr>
                <w:rFonts w:ascii="Arial" w:cs="Arial" w:eastAsia="Arial" w:hAnsi="Arial"/>
                <w:sz w:val="15"/>
                <w:szCs w:val="15"/>
                <w:color w:val="auto"/>
              </w:rPr>
              <w:t>officer)</w:t>
            </w: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536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1"/>
              </w:rPr>
              <w:t>David Siewers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Omid Farokhzad, M.D.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Carl Gordon, Ph.D.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1"/>
              </w:rPr>
              <w:t>Peter Barton Hutt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4"/>
              </w:rPr>
              <w:t>Edwin M. Kania, Jr.</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25"/>
              <w:spacing w:after="0"/>
              <w:rPr>
                <w:sz w:val="20"/>
                <w:szCs w:val="20"/>
                <w:color w:val="auto"/>
              </w:rPr>
            </w:pPr>
            <w:r>
              <w:rPr>
                <w:rFonts w:ascii="Arial" w:cs="Arial" w:eastAsia="Arial" w:hAnsi="Arial"/>
                <w:sz w:val="15"/>
                <w:szCs w:val="15"/>
                <w:color w:val="auto"/>
                <w:w w:val="90"/>
              </w:rPr>
              <w:t>Robert Langer, Sc.D.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72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jc w:val="right"/>
              <w:spacing w:after="0"/>
              <w:rPr>
                <w:sz w:val="20"/>
                <w:szCs w:val="20"/>
                <w:color w:val="auto"/>
              </w:rPr>
            </w:pPr>
            <w:r>
              <w:rPr>
                <w:rFonts w:ascii="Arial" w:cs="Arial" w:eastAsia="Arial" w:hAnsi="Arial"/>
                <w:sz w:val="15"/>
                <w:szCs w:val="15"/>
                <w:color w:val="auto"/>
              </w:rPr>
              <w:t>, 2016</w:t>
            </w:r>
          </w:p>
        </w:tc>
        <w:tc>
          <w:tcPr>
            <w:tcW w:w="0" w:type="dxa"/>
            <w:vAlign w:val="bottom"/>
          </w:tcPr>
          <w:p>
            <w:pPr>
              <w:spacing w:after="0"/>
              <w:rPr>
                <w:sz w:val="1"/>
                <w:szCs w:val="1"/>
                <w:color w:val="auto"/>
              </w:rPr>
            </w:pPr>
          </w:p>
        </w:tc>
      </w:tr>
      <w:tr>
        <w:trPr>
          <w:trHeight w:val="83"/>
        </w:trPr>
        <w:tc>
          <w:tcPr>
            <w:tcW w:w="272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8080" w:type="dxa"/>
            <w:vAlign w:val="bottom"/>
            <w:gridSpan w:val="2"/>
          </w:tcPr>
          <w:p>
            <w:pPr>
              <w:jc w:val="center"/>
              <w:ind w:right="5305"/>
              <w:spacing w:after="0"/>
              <w:rPr>
                <w:sz w:val="20"/>
                <w:szCs w:val="20"/>
                <w:color w:val="auto"/>
              </w:rPr>
            </w:pPr>
            <w:r>
              <w:rPr>
                <w:rFonts w:ascii="Arial" w:cs="Arial" w:eastAsia="Arial" w:hAnsi="Arial"/>
                <w:sz w:val="15"/>
                <w:szCs w:val="15"/>
                <w:color w:val="auto"/>
                <w:w w:val="92"/>
              </w:rPr>
              <w:t>Amir Nashat, Sc.D.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54" w:name="page255"/>
    <w:bookmarkEnd w:id="254"/>
    <w:p>
      <w:pPr>
        <w:spacing w:after="0"/>
        <w:rPr>
          <w:sz w:val="20"/>
          <w:szCs w:val="20"/>
          <w:color w:val="auto"/>
        </w:rPr>
      </w:pPr>
      <w:r>
        <w:rPr>
          <w:rFonts w:ascii="Arial" w:cs="Arial" w:eastAsia="Arial" w:hAnsi="Arial"/>
          <w:sz w:val="15"/>
          <w:szCs w:val="15"/>
          <w:b w:val="1"/>
          <w:bCs w:val="1"/>
          <w:color w:val="auto"/>
        </w:rPr>
        <w:t>Signatures and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p>
      <w:pPr>
        <w:ind w:left="1140"/>
        <w:spacing w:after="0"/>
        <w:tabs>
          <w:tab w:leader="none" w:pos="6240" w:val="left"/>
          <w:tab w:leader="none" w:pos="94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184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83184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r>
        <w:trPr>
          <w:trHeight w:val="83"/>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3"/>
              </w:rPr>
              <w:t>Aymeric Sallin, M.S.</w:t>
            </w:r>
          </w:p>
        </w:tc>
        <w:tc>
          <w:tcPr>
            <w:tcW w:w="3080" w:type="dxa"/>
            <w:vAlign w:val="bottom"/>
          </w:tcPr>
          <w:p>
            <w:pPr>
              <w:spacing w:after="0"/>
              <w:rPr>
                <w:sz w:val="21"/>
                <w:szCs w:val="21"/>
                <w:color w:val="auto"/>
              </w:rPr>
            </w:pPr>
          </w:p>
        </w:tc>
      </w:tr>
      <w:tr>
        <w:trPr>
          <w:trHeight w:val="394"/>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r>
        <w:trPr>
          <w:trHeight w:val="83"/>
        </w:trPr>
        <w:tc>
          <w:tcPr>
            <w:tcW w:w="27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3080" w:type="dxa"/>
            <w:vAlign w:val="bottom"/>
          </w:tcPr>
          <w:p>
            <w:pPr>
              <w:spacing w:after="0"/>
              <w:rPr>
                <w:sz w:val="7"/>
                <w:szCs w:val="7"/>
                <w:color w:val="auto"/>
              </w:rPr>
            </w:pPr>
          </w:p>
        </w:tc>
      </w:tr>
      <w:tr>
        <w:trPr>
          <w:trHeight w:val="244"/>
        </w:trPr>
        <w:tc>
          <w:tcPr>
            <w:tcW w:w="6040" w:type="dxa"/>
            <w:vAlign w:val="bottom"/>
            <w:gridSpan w:val="2"/>
          </w:tcPr>
          <w:p>
            <w:pPr>
              <w:jc w:val="center"/>
              <w:ind w:right="3265"/>
              <w:spacing w:after="0"/>
              <w:rPr>
                <w:sz w:val="20"/>
                <w:szCs w:val="20"/>
                <w:color w:val="auto"/>
              </w:rPr>
            </w:pPr>
            <w:r>
              <w:rPr>
                <w:rFonts w:ascii="Arial" w:cs="Arial" w:eastAsia="Arial" w:hAnsi="Arial"/>
                <w:sz w:val="15"/>
                <w:szCs w:val="15"/>
                <w:color w:val="auto"/>
                <w:w w:val="91"/>
              </w:rPr>
              <w:t>George Siber, M.D.</w:t>
            </w:r>
          </w:p>
        </w:tc>
        <w:tc>
          <w:tcPr>
            <w:tcW w:w="3080" w:type="dxa"/>
            <w:vAlign w:val="bottom"/>
          </w:tcPr>
          <w:p>
            <w:pPr>
              <w:spacing w:after="0"/>
              <w:rPr>
                <w:sz w:val="21"/>
                <w:szCs w:val="21"/>
                <w:color w:val="auto"/>
              </w:rPr>
            </w:pPr>
          </w:p>
        </w:tc>
      </w:tr>
      <w:tr>
        <w:trPr>
          <w:trHeight w:val="394"/>
        </w:trPr>
        <w:tc>
          <w:tcPr>
            <w:tcW w:w="272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52705</wp:posOffset>
            </wp:positionV>
            <wp:extent cx="172847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28470" cy="7620"/>
                    </a:xfrm>
                    <a:prstGeom prst="rect">
                      <a:avLst/>
                    </a:prstGeom>
                    <a:noFill/>
                  </pic:spPr>
                </pic:pic>
              </a:graphicData>
            </a:graphic>
          </wp:anchor>
        </w:drawing>
      </w:r>
    </w:p>
    <w:p>
      <w:pPr>
        <w:spacing w:after="0" w:line="137"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Leysan Shaydullina,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60"/>
          </w:cols>
          <w:pgMar w:left="240" w:top="128" w:right="1399" w:bottom="1440" w:gutter="0" w:footer="0" w:header="0"/>
        </w:sectPr>
      </w:pPr>
    </w:p>
    <w:bookmarkStart w:id="255" w:name="page256"/>
    <w:bookmarkEnd w:id="25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0910" cy="6985"/>
                    </a:xfrm>
                    <a:prstGeom prst="rect">
                      <a:avLst/>
                    </a:prstGeom>
                    <a:noFill/>
                  </pic:spPr>
                </pic:pic>
              </a:graphicData>
            </a:graphic>
          </wp:anchor>
        </w:drawing>
        <w:t>Exhibit index</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Underwriting Agreement</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stockholders party thereto</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w:t>
            </w:r>
          </w:p>
        </w:tc>
      </w:tr>
      <w:tr>
        <w:trPr>
          <w:trHeight w:val="389"/>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option agreement thereunder</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00" w:hanging="754"/>
        <w:spacing w:after="0" w:line="314" w:lineRule="auto"/>
        <w:rPr>
          <w:sz w:val="20"/>
          <w:szCs w:val="20"/>
          <w:color w:val="auto"/>
        </w:rPr>
      </w:pPr>
      <w:r>
        <w:rPr>
          <w:rFonts w:ascii="Arial" w:cs="Arial" w:eastAsia="Arial" w:hAnsi="Arial"/>
          <w:sz w:val="15"/>
          <w:szCs w:val="15"/>
          <w:color w:val="auto"/>
        </w:rPr>
        <w:t>10.6(a)†** Exclusive Patent License Agreement, dated as of November 25, 2008, by and between the Registrant and the Massachusetts Institute of Technology</w:t>
      </w:r>
    </w:p>
    <w:p>
      <w:pPr>
        <w:spacing w:after="0" w:line="128" w:lineRule="exact"/>
        <w:rPr>
          <w:sz w:val="20"/>
          <w:szCs w:val="20"/>
          <w:color w:val="auto"/>
        </w:rPr>
      </w:pPr>
    </w:p>
    <w:p>
      <w:pPr>
        <w:ind w:left="2020" w:right="620" w:hanging="762"/>
        <w:spacing w:after="0" w:line="314" w:lineRule="auto"/>
        <w:rPr>
          <w:sz w:val="20"/>
          <w:szCs w:val="20"/>
          <w:color w:val="auto"/>
        </w:rPr>
      </w:pPr>
      <w:r>
        <w:rPr>
          <w:rFonts w:ascii="Arial" w:cs="Arial" w:eastAsia="Arial" w:hAnsi="Arial"/>
          <w:sz w:val="15"/>
          <w:szCs w:val="15"/>
          <w:color w:val="auto"/>
        </w:rPr>
        <w:t>10.6(b)†** First Amendment to Exclusive Patent License Agreement, dated as of January 12, 2010,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10.6(c)†**  Letter Agreement, dated as of November 27, 2012, by and among the Registrant, Massachusetts Institute of Technology and Sanofi</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10.6(d)†**  Letter Amendment, dated as of November 27, 2012, by and between the Registrant and the Massachusetts Institute of Technology</w:t>
      </w:r>
    </w:p>
    <w:p>
      <w:pPr>
        <w:spacing w:after="0" w:line="233" w:lineRule="exact"/>
        <w:rPr>
          <w:sz w:val="20"/>
          <w:szCs w:val="20"/>
          <w:color w:val="auto"/>
        </w:rPr>
      </w:pPr>
    </w:p>
    <w:p>
      <w:pPr>
        <w:ind w:left="2020" w:right="480" w:hanging="754"/>
        <w:spacing w:after="0" w:line="314" w:lineRule="auto"/>
        <w:rPr>
          <w:sz w:val="20"/>
          <w:szCs w:val="20"/>
          <w:color w:val="auto"/>
        </w:rPr>
      </w:pPr>
      <w:r>
        <w:rPr>
          <w:rFonts w:ascii="Arial" w:cs="Arial" w:eastAsia="Arial" w:hAnsi="Arial"/>
          <w:sz w:val="15"/>
          <w:szCs w:val="15"/>
          <w:color w:val="auto"/>
        </w:rPr>
        <w:t>10.6(e)†** Second Amendment to Exclusive Patent License Agreement, dated as of August 29, 2013,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271385" cy="203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8091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4" w:right="219"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10.7(a)†**  License and Research Collaboration Agreement, dated as of November 27, 2012, by and between the Registrant and Sanofi</w:t>
      </w:r>
    </w:p>
    <w:p>
      <w:pPr>
        <w:spacing w:after="0" w:line="190"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10.7(b)†**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10.8†**  License Agreement, dated as of May 12, 2014, by and between the Registrant and Shenyang Sunshine Pharmaceutical Co., Ltd.</w:t>
      </w:r>
    </w:p>
    <w:p>
      <w:pPr>
        <w:spacing w:after="0" w:line="221" w:lineRule="exact"/>
        <w:rPr>
          <w:sz w:val="20"/>
          <w:szCs w:val="20"/>
          <w:color w:val="auto"/>
        </w:rPr>
      </w:pPr>
    </w:p>
    <w:p>
      <w:pPr>
        <w:ind w:left="2020" w:right="2200" w:hanging="587"/>
        <w:spacing w:after="0" w:line="314" w:lineRule="auto"/>
        <w:rPr>
          <w:sz w:val="20"/>
          <w:szCs w:val="20"/>
          <w:color w:val="auto"/>
        </w:rPr>
      </w:pPr>
      <w:r>
        <w:rPr>
          <w:rFonts w:ascii="Arial" w:cs="Arial" w:eastAsia="Arial" w:hAnsi="Arial"/>
          <w:sz w:val="15"/>
          <w:szCs w:val="15"/>
          <w:color w:val="auto"/>
        </w:rPr>
        <w:t>10.9†**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62"/>
        <w:spacing w:after="0" w:line="314" w:lineRule="auto"/>
        <w:rPr>
          <w:sz w:val="20"/>
          <w:szCs w:val="20"/>
          <w:color w:val="auto"/>
        </w:rPr>
      </w:pPr>
      <w:r>
        <w:rPr>
          <w:rFonts w:ascii="Arial" w:cs="Arial" w:eastAsia="Arial" w:hAnsi="Arial"/>
          <w:sz w:val="15"/>
          <w:szCs w:val="15"/>
          <w:color w:val="auto"/>
        </w:rPr>
        <w:t>10.10†** Patent Cross-License Agreement, dated as of December 18, 2008, by and between the Registrant and BIND Therapeutics, Inc. (formerly BIND Biosciences,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ind w:left="1360"/>
              <w:spacing w:after="0"/>
              <w:rPr>
                <w:sz w:val="20"/>
                <w:szCs w:val="20"/>
                <w:color w:val="auto"/>
              </w:rPr>
            </w:pPr>
            <w:r>
              <w:rPr>
                <w:rFonts w:ascii="Arial" w:cs="Arial" w:eastAsia="Arial" w:hAnsi="Arial"/>
                <w:sz w:val="15"/>
                <w:szCs w:val="15"/>
                <w:color w:val="auto"/>
              </w:rPr>
              <w:t>10.11*</w:t>
            </w:r>
          </w:p>
        </w:tc>
        <w:tc>
          <w:tcPr>
            <w:tcW w:w="9500" w:type="dxa"/>
            <w:vAlign w:val="bottom"/>
          </w:tcPr>
          <w:p>
            <w:pPr>
              <w:ind w:left="80"/>
              <w:spacing w:after="0"/>
              <w:rPr>
                <w:sz w:val="20"/>
                <w:szCs w:val="20"/>
                <w:color w:val="auto"/>
              </w:rPr>
            </w:pPr>
            <w:r>
              <w:rPr>
                <w:rFonts w:ascii="Arial" w:cs="Arial" w:eastAsia="Arial" w:hAnsi="Arial"/>
                <w:sz w:val="15"/>
                <w:szCs w:val="15"/>
                <w:color w:val="auto"/>
              </w:rPr>
              <w:t>Lease, dated as of September 30, 2008, as amended by the First Amendment, dated as of July 12, 2011, the Second Amendment, dated</w:t>
            </w:r>
          </w:p>
        </w:tc>
      </w:tr>
      <w:tr>
        <w:trPr>
          <w:trHeight w:val="185"/>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as of October 11, 2011 and the Third Amendment, dated as of April 6, 2015, by and between the Registrant and ARE-480 Arsenal</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Street, LLC</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10.12**</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10.13**</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89"/>
        </w:trPr>
        <w:tc>
          <w:tcPr>
            <w:tcW w:w="1940" w:type="dxa"/>
            <w:vAlign w:val="bottom"/>
          </w:tcPr>
          <w:p>
            <w:pPr>
              <w:ind w:left="1360"/>
              <w:spacing w:after="0"/>
              <w:rPr>
                <w:sz w:val="20"/>
                <w:szCs w:val="20"/>
                <w:color w:val="auto"/>
              </w:rPr>
            </w:pPr>
            <w:r>
              <w:rPr>
                <w:rFonts w:ascii="Arial" w:cs="Arial" w:eastAsia="Arial" w:hAnsi="Arial"/>
                <w:sz w:val="15"/>
                <w:szCs w:val="15"/>
                <w:color w:val="auto"/>
              </w:rPr>
              <w:t>10.14</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Ulrich von Andrian</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10.15**</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10.16**</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10.17**</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10.18**</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10.19**</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10.20**</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10.21</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1940" w:type="dxa"/>
            <w:vAlign w:val="bottom"/>
          </w:tcPr>
          <w:p>
            <w:pPr>
              <w:ind w:left="1360"/>
              <w:spacing w:after="0"/>
              <w:rPr>
                <w:sz w:val="20"/>
                <w:szCs w:val="20"/>
                <w:color w:val="auto"/>
              </w:rPr>
            </w:pPr>
            <w:r>
              <w:rPr>
                <w:rFonts w:ascii="Arial" w:cs="Arial" w:eastAsia="Arial" w:hAnsi="Arial"/>
                <w:sz w:val="15"/>
                <w:szCs w:val="15"/>
                <w:color w:val="auto"/>
              </w:rPr>
              <w:t>10.22**</w:t>
            </w:r>
          </w:p>
        </w:tc>
        <w:tc>
          <w:tcPr>
            <w:tcW w:w="9500" w:type="dxa"/>
            <w:vAlign w:val="bottom"/>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102"/>
        </w:trPr>
        <w:tc>
          <w:tcPr>
            <w:tcW w:w="1940" w:type="dxa"/>
            <w:vAlign w:val="bottom"/>
            <w:tcBorders>
              <w:bottom w:val="single" w:sz="8" w:color="808080"/>
            </w:tcBorders>
          </w:tcPr>
          <w:p>
            <w:pPr>
              <w:spacing w:after="0"/>
              <w:rPr>
                <w:sz w:val="8"/>
                <w:szCs w:val="8"/>
                <w:color w:val="auto"/>
              </w:rPr>
            </w:pPr>
          </w:p>
        </w:tc>
        <w:tc>
          <w:tcPr>
            <w:tcW w:w="95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57" w:name="page258"/>
    <w:bookmarkEnd w:id="257"/>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70"/>
        </w:trPr>
        <w:tc>
          <w:tcPr>
            <w:tcW w:w="20" w:type="dxa"/>
            <w:vAlign w:val="bottom"/>
          </w:tcPr>
          <w:p>
            <w:pPr>
              <w:spacing w:after="0"/>
              <w:rPr>
                <w:sz w:val="14"/>
                <w:szCs w:val="14"/>
                <w:color w:val="auto"/>
              </w:rPr>
            </w:pPr>
          </w:p>
        </w:tc>
        <w:tc>
          <w:tcPr>
            <w:tcW w:w="780" w:type="dxa"/>
            <w:vAlign w:val="bottom"/>
            <w:tcBorders>
              <w:top w:val="single" w:sz="8" w:color="auto"/>
            </w:tcBorders>
          </w:tcPr>
          <w:p>
            <w:pPr>
              <w:jc w:val="right"/>
              <w:ind w:right="25"/>
              <w:spacing w:after="0" w:line="170" w:lineRule="exact"/>
              <w:rPr>
                <w:sz w:val="20"/>
                <w:szCs w:val="20"/>
                <w:color w:val="auto"/>
              </w:rPr>
            </w:pPr>
            <w:r>
              <w:rPr>
                <w:rFonts w:ascii="Arial" w:cs="Arial" w:eastAsia="Arial" w:hAnsi="Arial"/>
                <w:sz w:val="15"/>
                <w:szCs w:val="15"/>
                <w:color w:val="auto"/>
              </w:rPr>
              <w:t>10.23**</w:t>
            </w:r>
          </w:p>
        </w:tc>
        <w:tc>
          <w:tcPr>
            <w:tcW w:w="8340" w:type="dxa"/>
            <w:vAlign w:val="bottom"/>
            <w:tcBorders>
              <w:top w:val="single" w:sz="8" w:color="auto"/>
            </w:tcBorders>
            <w:gridSpan w:val="2"/>
          </w:tcPr>
          <w:p>
            <w:pPr>
              <w:ind w:left="80"/>
              <w:spacing w:after="0" w:line="170" w:lineRule="exact"/>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Consulting Agreement, dated as of July 22, 2009, by and between the Registrant and George R. Siber, M.D.</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8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05" w:lineRule="exact"/>
        <w:rPr>
          <w:rFonts w:ascii="Arial" w:cs="Arial" w:eastAsia="Arial" w:hAnsi="Arial"/>
          <w:sz w:val="12"/>
          <w:szCs w:val="12"/>
          <w:color w:val="auto"/>
        </w:rPr>
      </w:pPr>
    </w:p>
    <w:p>
      <w:pPr>
        <w:ind w:left="114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Previously filed.</w:t>
      </w:r>
    </w:p>
    <w:p>
      <w:pPr>
        <w:spacing w:after="0" w:line="105" w:lineRule="exact"/>
        <w:rPr>
          <w:sz w:val="20"/>
          <w:szCs w:val="20"/>
          <w:color w:val="auto"/>
        </w:rPr>
      </w:pPr>
    </w:p>
    <w:p>
      <w:pPr>
        <w:ind w:left="1600" w:hanging="463"/>
        <w:spacing w:after="0"/>
        <w:tabs>
          <w:tab w:leader="none" w:pos="1600" w:val="left"/>
        </w:tabs>
        <w:numPr>
          <w:ilvl w:val="0"/>
          <w:numId w:val="139"/>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1385" cy="203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258" w:name="page259"/>
    <w:bookmarkEnd w:id="2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9" w:name="page260"/>
    <w:bookmarkEnd w:id="259"/>
    <w:p>
      <w:pPr>
        <w:jc w:val="right"/>
        <w:spacing w:after="0"/>
        <w:rPr>
          <w:sz w:val="20"/>
          <w:szCs w:val="20"/>
          <w:color w:val="auto"/>
        </w:rPr>
      </w:pPr>
      <w:r>
        <w:rPr>
          <w:rFonts w:ascii="Arial" w:cs="Arial" w:eastAsia="Arial" w:hAnsi="Arial"/>
          <w:sz w:val="15"/>
          <w:szCs w:val="15"/>
          <w:b w:val="1"/>
          <w:bCs w:val="1"/>
          <w:color w:val="auto"/>
        </w:rPr>
        <w:t>Exhibit 4.1</w:t>
      </w:r>
    </w:p>
    <w:p>
      <w:pPr>
        <w:spacing w:after="0" w:line="204" w:lineRule="exact"/>
        <w:rPr>
          <w:sz w:val="20"/>
          <w:szCs w:val="20"/>
          <w:color w:val="auto"/>
        </w:rPr>
      </w:pPr>
    </w:p>
    <w:p>
      <w:pPr>
        <w:ind w:left="4507"/>
        <w:spacing w:after="0"/>
        <w:rPr>
          <w:sz w:val="20"/>
          <w:szCs w:val="20"/>
          <w:color w:val="auto"/>
        </w:rPr>
      </w:pPr>
      <w:r>
        <w:rPr>
          <w:rFonts w:ascii="Arial" w:cs="Arial" w:eastAsia="Arial" w:hAnsi="Arial"/>
          <w:sz w:val="15"/>
          <w:szCs w:val="15"/>
          <w:color w:val="auto"/>
        </w:rPr>
        <w:t>FIFTH AMENDED AND RESTATED</w:t>
      </w:r>
    </w:p>
    <w:p>
      <w:pPr>
        <w:spacing w:after="0" w:line="23" w:lineRule="exact"/>
        <w:rPr>
          <w:sz w:val="20"/>
          <w:szCs w:val="20"/>
          <w:color w:val="auto"/>
        </w:rPr>
      </w:pPr>
    </w:p>
    <w:p>
      <w:pPr>
        <w:ind w:left="4487"/>
        <w:spacing w:after="0"/>
        <w:rPr>
          <w:sz w:val="20"/>
          <w:szCs w:val="20"/>
          <w:color w:val="auto"/>
        </w:rPr>
      </w:pPr>
      <w:r>
        <w:rPr>
          <w:rFonts w:ascii="Arial" w:cs="Arial" w:eastAsia="Arial" w:hAnsi="Arial"/>
          <w:sz w:val="15"/>
          <w:szCs w:val="15"/>
          <w:color w:val="auto"/>
        </w:rPr>
        <w:t>INVESTORS’ RIGHTS AGREEMENT</w:t>
      </w:r>
    </w:p>
    <w:p>
      <w:pPr>
        <w:spacing w:after="0" w:line="188" w:lineRule="exact"/>
        <w:rPr>
          <w:sz w:val="20"/>
          <w:szCs w:val="20"/>
          <w:color w:val="auto"/>
        </w:rPr>
      </w:pPr>
    </w:p>
    <w:p>
      <w:pPr>
        <w:ind w:left="7" w:right="80" w:firstLine="556"/>
        <w:spacing w:after="0" w:line="261" w:lineRule="auto"/>
        <w:rPr>
          <w:sz w:val="20"/>
          <w:szCs w:val="20"/>
          <w:color w:val="auto"/>
        </w:rPr>
      </w:pPr>
      <w:r>
        <w:rPr>
          <w:rFonts w:ascii="Arial" w:cs="Arial" w:eastAsia="Arial" w:hAnsi="Arial"/>
          <w:sz w:val="15"/>
          <w:szCs w:val="15"/>
          <w:color w:val="auto"/>
        </w:rPr>
        <w:t>This Fifth Amended and Restated Investors’ Rights Agreement dated as of August 26, 2015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by and among: (i)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(ii) the holders of the Company’s Series A Convertible Preferred Stock, par value $0.0001 per share (the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the Company’s Series B Convertible Preferred Stock, par value $0.0001 per share (the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the Company’s Series C Convertible Preferred Stock, par value $0.0001 per share, (the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 the Company’s Series D Convertible Preferred Stock, par value $0.0001 per share (the “</w:t>
      </w:r>
      <w:r>
        <w:rPr>
          <w:rFonts w:ascii="Arial" w:cs="Arial" w:eastAsia="Arial" w:hAnsi="Arial"/>
          <w:sz w:val="15"/>
          <w:szCs w:val="15"/>
          <w:u w:val="single" w:color="auto"/>
          <w:color w:val="auto"/>
        </w:rPr>
        <w:t>Series D Preferred Stock</w:t>
      </w:r>
      <w:r>
        <w:rPr>
          <w:rFonts w:ascii="Arial" w:cs="Arial" w:eastAsia="Arial" w:hAnsi="Arial"/>
          <w:sz w:val="15"/>
          <w:szCs w:val="15"/>
          <w:color w:val="auto"/>
        </w:rPr>
        <w:t>”), the Company’s Series E Convertible Preferred Stock, par value $0.0001 per share, (the “</w:t>
      </w:r>
      <w:r>
        <w:rPr>
          <w:rFonts w:ascii="Arial" w:cs="Arial" w:eastAsia="Arial" w:hAnsi="Arial"/>
          <w:sz w:val="15"/>
          <w:szCs w:val="15"/>
          <w:u w:val="single" w:color="auto"/>
          <w:color w:val="auto"/>
        </w:rPr>
        <w:t>Series E Preferred Stock</w:t>
      </w:r>
      <w:r>
        <w:rPr>
          <w:rFonts w:ascii="Arial" w:cs="Arial" w:eastAsia="Arial" w:hAnsi="Arial"/>
          <w:sz w:val="15"/>
          <w:szCs w:val="15"/>
          <w:color w:val="auto"/>
        </w:rPr>
        <w:t>” and, collectively with the Series A Preferred Stock, the Series B Preferred Stock and the Series C Preferred Stock and the Series D Preferred Stock, the “</w:t>
      </w:r>
      <w:r>
        <w:rPr>
          <w:rFonts w:ascii="Arial" w:cs="Arial" w:eastAsia="Arial" w:hAnsi="Arial"/>
          <w:sz w:val="15"/>
          <w:szCs w:val="15"/>
          <w:u w:val="single" w:color="auto"/>
          <w:color w:val="auto"/>
        </w:rPr>
        <w:t>Senior Preferred Stock</w:t>
      </w:r>
      <w:r>
        <w:rPr>
          <w:rFonts w:ascii="Arial" w:cs="Arial" w:eastAsia="Arial" w:hAnsi="Arial"/>
          <w:sz w:val="15"/>
          <w:szCs w:val="15"/>
          <w:color w:val="auto"/>
        </w:rPr>
        <w:t>”), and the Company’s Series SRN Convertible Preferred Stock, par value $0.0001 per share (the “</w:t>
      </w:r>
      <w:r>
        <w:rPr>
          <w:rFonts w:ascii="Arial" w:cs="Arial" w:eastAsia="Arial" w:hAnsi="Arial"/>
          <w:sz w:val="15"/>
          <w:szCs w:val="15"/>
          <w:u w:val="single" w:color="auto"/>
          <w:color w:val="auto"/>
        </w:rPr>
        <w:t>Series SRN Preferred Stock</w:t>
      </w:r>
      <w:r>
        <w:rPr>
          <w:rFonts w:ascii="Arial" w:cs="Arial" w:eastAsia="Arial" w:hAnsi="Arial"/>
          <w:sz w:val="15"/>
          <w:szCs w:val="15"/>
          <w:color w:val="auto"/>
        </w:rPr>
        <w:t xml:space="preserve">”) listed on the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(collectively, the “</w:t>
      </w:r>
      <w:r>
        <w:rPr>
          <w:rFonts w:ascii="Arial" w:cs="Arial" w:eastAsia="Arial" w:hAnsi="Arial"/>
          <w:sz w:val="15"/>
          <w:szCs w:val="15"/>
          <w:u w:val="single" w:color="auto"/>
          <w:color w:val="auto"/>
        </w:rPr>
        <w:t>Purchasers</w:t>
      </w:r>
      <w:r>
        <w:rPr>
          <w:rFonts w:ascii="Arial" w:cs="Arial" w:eastAsia="Arial" w:hAnsi="Arial"/>
          <w:sz w:val="15"/>
          <w:szCs w:val="15"/>
          <w:color w:val="auto"/>
        </w:rPr>
        <w:t>”); (iii) Omid Farokhzad, Ulrich von Andrian and Robert S. Langer, Jr. (each individually, a “</w:t>
      </w:r>
      <w:r>
        <w:rPr>
          <w:rFonts w:ascii="Arial" w:cs="Arial" w:eastAsia="Arial" w:hAnsi="Arial"/>
          <w:sz w:val="15"/>
          <w:szCs w:val="15"/>
          <w:u w:val="single" w:color="auto"/>
          <w:color w:val="auto"/>
        </w:rPr>
        <w:t>Founder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Founders</w:t>
      </w:r>
      <w:r>
        <w:rPr>
          <w:rFonts w:ascii="Arial" w:cs="Arial" w:eastAsia="Arial" w:hAnsi="Arial"/>
          <w:sz w:val="15"/>
          <w:szCs w:val="15"/>
          <w:color w:val="auto"/>
        </w:rPr>
        <w:t xml:space="preserve">”); and (iv) the persons and entities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(each a “</w:t>
      </w:r>
      <w:r>
        <w:rPr>
          <w:rFonts w:ascii="Arial" w:cs="Arial" w:eastAsia="Arial" w:hAnsi="Arial"/>
          <w:sz w:val="15"/>
          <w:szCs w:val="15"/>
          <w:u w:val="single" w:color="auto"/>
          <w:color w:val="auto"/>
        </w:rPr>
        <w:t>Licensor Shareholder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Licensor</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Shareholders</w:t>
      </w:r>
      <w:r>
        <w:rPr>
          <w:rFonts w:ascii="Arial" w:cs="Arial" w:eastAsia="Arial" w:hAnsi="Arial"/>
          <w:sz w:val="15"/>
          <w:szCs w:val="15"/>
          <w:color w:val="auto"/>
        </w:rPr>
        <w:t>”, and collectively with the Founders, the “</w:t>
      </w:r>
      <w:r>
        <w:rPr>
          <w:rFonts w:ascii="Arial" w:cs="Arial" w:eastAsia="Arial" w:hAnsi="Arial"/>
          <w:sz w:val="15"/>
          <w:szCs w:val="15"/>
          <w:u w:val="single" w:color="auto"/>
          <w:color w:val="auto"/>
        </w:rPr>
        <w:t>Initial Stockholders</w:t>
      </w:r>
      <w:r>
        <w:rPr>
          <w:rFonts w:ascii="Arial" w:cs="Arial" w:eastAsia="Arial" w:hAnsi="Arial"/>
          <w:sz w:val="15"/>
          <w:szCs w:val="15"/>
          <w:color w:val="auto"/>
        </w:rPr>
        <w:t>”).</w:t>
      </w:r>
    </w:p>
    <w:p>
      <w:pPr>
        <w:spacing w:after="0" w:line="165" w:lineRule="exact"/>
        <w:rPr>
          <w:sz w:val="20"/>
          <w:szCs w:val="20"/>
          <w:color w:val="auto"/>
        </w:rPr>
      </w:pPr>
    </w:p>
    <w:p>
      <w:pPr>
        <w:ind w:left="7" w:right="240" w:firstLine="556"/>
        <w:spacing w:after="0" w:line="268" w:lineRule="auto"/>
        <w:rPr>
          <w:sz w:val="20"/>
          <w:szCs w:val="20"/>
          <w:color w:val="auto"/>
        </w:rPr>
      </w:pPr>
      <w:r>
        <w:rPr>
          <w:rFonts w:ascii="Arial" w:cs="Arial" w:eastAsia="Arial" w:hAnsi="Arial"/>
          <w:sz w:val="15"/>
          <w:szCs w:val="15"/>
          <w:color w:val="auto"/>
        </w:rPr>
        <w:t>WHEREAS, the Company, the holders of the Company’s Series A Preferred Stock, the holders of the Company’s Series B Preferred Stock, the holders of the Company’s Series C Preferred Stock, the holders of the Company’s Series D Preferred Stock, the holders of the Company’s Series SRN Preferred Stock, the Founders, the Licensor Shareholders and certain other parties named therein are parties to a Fourth Amended and Restated Investors’ Rights Agreement dated as of July 15, 2014 (the “</w:t>
      </w:r>
      <w:r>
        <w:rPr>
          <w:rFonts w:ascii="Arial" w:cs="Arial" w:eastAsia="Arial" w:hAnsi="Arial"/>
          <w:sz w:val="15"/>
          <w:szCs w:val="15"/>
          <w:u w:val="single" w:color="auto"/>
          <w:color w:val="auto"/>
        </w:rPr>
        <w:t>Former Investors’ Rights</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w:t>
      </w:r>
    </w:p>
    <w:p>
      <w:pPr>
        <w:spacing w:after="0" w:line="156" w:lineRule="exact"/>
        <w:rPr>
          <w:sz w:val="20"/>
          <w:szCs w:val="20"/>
          <w:color w:val="auto"/>
        </w:rPr>
      </w:pPr>
    </w:p>
    <w:p>
      <w:pPr>
        <w:ind w:left="7" w:right="40" w:firstLine="556"/>
        <w:spacing w:after="0" w:line="289" w:lineRule="auto"/>
        <w:rPr>
          <w:sz w:val="20"/>
          <w:szCs w:val="20"/>
          <w:color w:val="auto"/>
        </w:rPr>
      </w:pPr>
      <w:r>
        <w:rPr>
          <w:rFonts w:ascii="Arial" w:cs="Arial" w:eastAsia="Arial" w:hAnsi="Arial"/>
          <w:sz w:val="15"/>
          <w:szCs w:val="15"/>
          <w:color w:val="auto"/>
        </w:rPr>
        <w:t>WHEREAS, the Company is a party to a Series E Preferred Stock Purchase Agreement dated as of the date hereof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pursuant to which the Company agreed to issue shares of Series E Preferred Stock to certain Purchasers (collectively, the “</w:t>
      </w:r>
      <w:r>
        <w:rPr>
          <w:rFonts w:ascii="Arial" w:cs="Arial" w:eastAsia="Arial" w:hAnsi="Arial"/>
          <w:sz w:val="15"/>
          <w:szCs w:val="15"/>
          <w:u w:val="single" w:color="auto"/>
          <w:color w:val="auto"/>
        </w:rPr>
        <w:t>Series E Investors</w:t>
      </w:r>
      <w:r>
        <w:rPr>
          <w:rFonts w:ascii="Arial" w:cs="Arial" w:eastAsia="Arial" w:hAnsi="Arial"/>
          <w:sz w:val="15"/>
          <w:szCs w:val="15"/>
          <w:color w:val="auto"/>
        </w:rPr>
        <w:t>”); and</w:t>
      </w:r>
    </w:p>
    <w:p>
      <w:pPr>
        <w:spacing w:after="0" w:line="141" w:lineRule="exact"/>
        <w:rPr>
          <w:sz w:val="20"/>
          <w:szCs w:val="20"/>
          <w:color w:val="auto"/>
        </w:rPr>
      </w:pPr>
    </w:p>
    <w:p>
      <w:pPr>
        <w:ind w:left="7" w:right="380" w:firstLine="556"/>
        <w:spacing w:after="0" w:line="289" w:lineRule="auto"/>
        <w:rPr>
          <w:sz w:val="20"/>
          <w:szCs w:val="20"/>
          <w:color w:val="auto"/>
        </w:rPr>
      </w:pPr>
      <w:r>
        <w:rPr>
          <w:rFonts w:ascii="Arial" w:cs="Arial" w:eastAsia="Arial" w:hAnsi="Arial"/>
          <w:sz w:val="15"/>
          <w:szCs w:val="15"/>
          <w:color w:val="auto"/>
        </w:rPr>
        <w:t>WHEREAS, the Series E Investors have made it a condition precedent to their purchase of shares of Series E Preferred Stock pursuant to the Purchase Agreement that the parties enter into this Agreement, which amends and restates the Former Investors’ Rights Agreement.</w:t>
      </w:r>
    </w:p>
    <w:p>
      <w:pPr>
        <w:spacing w:after="0" w:line="141"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these mutual promises and covenants set forth herein, the parties hereto agree to the terms and conditions set forth below:</w:t>
      </w:r>
    </w:p>
    <w:p>
      <w:pPr>
        <w:spacing w:after="0" w:line="198" w:lineRule="exact"/>
        <w:rPr>
          <w:sz w:val="20"/>
          <w:szCs w:val="20"/>
          <w:color w:val="auto"/>
        </w:rPr>
      </w:pPr>
    </w:p>
    <w:p>
      <w:pPr>
        <w:jc w:val="both"/>
        <w:ind w:left="7" w:hanging="7"/>
        <w:spacing w:after="0" w:line="268" w:lineRule="auto"/>
        <w:tabs>
          <w:tab w:leader="none" w:pos="563"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Covenants of the Company</w:t>
      </w:r>
      <w:r>
        <w:rPr>
          <w:rFonts w:ascii="Arial" w:cs="Arial" w:eastAsia="Arial" w:hAnsi="Arial"/>
          <w:sz w:val="15"/>
          <w:szCs w:val="15"/>
          <w:color w:val="auto"/>
        </w:rPr>
        <w:t>. The Company covenants and agrees that so long as (i) at least 1,500,000 shares of Senior Preferred Stock (subject to equitable adjustment for stock splits, stock dividends and similar events) are outstanding or (ii) the Purchasers hold of record and beneficially not less than four percent (4%) of the Company’s common stock, $0.0001 par value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(treating each share of Senior Preferred Stock on an as-converted to Common Stock basis), it will perform and observe the following covenants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285990" cy="2730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 w:right="80" w:firstLine="556"/>
        <w:spacing w:after="0" w:line="26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xml:space="preserve">. The Company will maintain true and accurate books of account in accordance with generally accepted accounting principles applied on a consistent basis (except that the Company will not be required to record the annual valuation and adjustments for its share-based compensation expense under Statement of Financial Accounting Standards No. 123R, recording gains/losses on exchange rates, revenue and deferred revenue and other such valuation analysis tied to year-end until the time it delivers audited financial statements pursuant to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below), keep full and complete financial records, and furnish the following reports to (i) each Purchaser who holds at least 600,000 shares of Common Stock (including shares of Common Stock issued or issuable upon conversion of Senior Preferred Stock and subject to equitable adjustment for stock splits, stock dividends and similar events) (each a “</w:t>
      </w:r>
      <w:r>
        <w:rPr>
          <w:rFonts w:ascii="Arial" w:cs="Arial" w:eastAsia="Arial" w:hAnsi="Arial"/>
          <w:sz w:val="15"/>
          <w:szCs w:val="15"/>
          <w:u w:val="single" w:color="auto"/>
          <w:color w:val="auto"/>
        </w:rPr>
        <w:t>Major Stockholder</w:t>
      </w:r>
      <w:r>
        <w:rPr>
          <w:rFonts w:ascii="Arial" w:cs="Arial" w:eastAsia="Arial" w:hAnsi="Arial"/>
          <w:sz w:val="15"/>
          <w:szCs w:val="15"/>
          <w:color w:val="auto"/>
        </w:rPr>
        <w:t>”) and (ii) The Brigham and Women’s Hospital (“</w:t>
      </w:r>
      <w:r>
        <w:rPr>
          <w:rFonts w:ascii="Arial" w:cs="Arial" w:eastAsia="Arial" w:hAnsi="Arial"/>
          <w:sz w:val="15"/>
          <w:szCs w:val="15"/>
          <w:u w:val="single" w:color="auto"/>
          <w:color w:val="auto"/>
        </w:rPr>
        <w:t>Brigham</w:t>
      </w:r>
      <w:r>
        <w:rPr>
          <w:rFonts w:ascii="Arial" w:cs="Arial" w:eastAsia="Arial" w:hAnsi="Arial"/>
          <w:sz w:val="15"/>
          <w:szCs w:val="15"/>
          <w:color w:val="auto"/>
        </w:rPr>
        <w:t>”) for so long as it holds at least 10,000 shares of Common Stock (subject to equitable adjustment for stock splits, stock dividends and similar events):</w:t>
      </w:r>
    </w:p>
    <w:p>
      <w:pPr>
        <w:spacing w:after="0" w:line="159" w:lineRule="exact"/>
        <w:rPr>
          <w:sz w:val="20"/>
          <w:szCs w:val="20"/>
          <w:color w:val="auto"/>
        </w:rPr>
      </w:pPr>
    </w:p>
    <w:p>
      <w:pPr>
        <w:ind w:left="7" w:right="40" w:firstLine="1104"/>
        <w:spacing w:after="0" w:line="265" w:lineRule="auto"/>
        <w:tabs>
          <w:tab w:leader="none" w:pos="1673"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soon as practicable, but in any event within one hundred ninety (190) days after the end of each fiscal year of the Company, an income statement for such fiscal year, a balance sheet of the Company and statement of stockholders’ equity as of the end of such year, and a schedule as to the sources and applications of funds for such year, such year-end financial reports to be in reasonable detail, prepared in accordance with generally accepted accounting principles (“</w:t>
      </w:r>
      <w:r>
        <w:rPr>
          <w:rFonts w:ascii="Arial" w:cs="Arial" w:eastAsia="Arial" w:hAnsi="Arial"/>
          <w:sz w:val="15"/>
          <w:szCs w:val="15"/>
          <w:u w:val="single" w:color="auto"/>
          <w:color w:val="auto"/>
        </w:rPr>
        <w:t>GAAP</w:t>
      </w:r>
      <w:r>
        <w:rPr>
          <w:rFonts w:ascii="Arial" w:cs="Arial" w:eastAsia="Arial" w:hAnsi="Arial"/>
          <w:sz w:val="15"/>
          <w:szCs w:val="15"/>
          <w:color w:val="auto"/>
        </w:rPr>
        <w:t>”) applied on a consistent basis, and audited and certified by such independent public accountants of nationally recognized standing selected by the Company and approved by the holders of shares representing a majority of the voting power of the Senior Preferred Stock held by the Purchasers;</w:t>
      </w:r>
    </w:p>
    <w:p>
      <w:pPr>
        <w:spacing w:after="0" w:line="159" w:lineRule="exact"/>
        <w:rPr>
          <w:rFonts w:ascii="Arial" w:cs="Arial" w:eastAsia="Arial" w:hAnsi="Arial"/>
          <w:sz w:val="15"/>
          <w:szCs w:val="15"/>
          <w:color w:val="auto"/>
        </w:rPr>
      </w:pPr>
    </w:p>
    <w:p>
      <w:pPr>
        <w:ind w:left="7" w:right="220" w:firstLine="1104"/>
        <w:spacing w:after="0" w:line="289" w:lineRule="auto"/>
        <w:tabs>
          <w:tab w:leader="none" w:pos="1681"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soon as practicable, but in any event within thirty (30) days after the end of each month other than the last month of any quarter, an unaudited profit and loss statement and a cash flow statement and the balance sheet as of the end of such month;</w:t>
      </w:r>
    </w:p>
    <w:p>
      <w:pPr>
        <w:spacing w:after="0" w:line="140" w:lineRule="exact"/>
        <w:rPr>
          <w:rFonts w:ascii="Arial" w:cs="Arial" w:eastAsia="Arial" w:hAnsi="Arial"/>
          <w:sz w:val="15"/>
          <w:szCs w:val="15"/>
          <w:color w:val="auto"/>
        </w:rPr>
      </w:pPr>
    </w:p>
    <w:p>
      <w:pPr>
        <w:ind w:left="7" w:right="120" w:firstLine="1104"/>
        <w:spacing w:after="0" w:line="289" w:lineRule="auto"/>
        <w:tabs>
          <w:tab w:leader="none" w:pos="168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fiscal quarter, an unaudited profit and loss statement and a cash flow statement and the balance sheet as of the end of such fiscal quarter; and</w:t>
      </w:r>
    </w:p>
    <w:p>
      <w:pPr>
        <w:spacing w:after="0" w:line="140" w:lineRule="exact"/>
        <w:rPr>
          <w:rFonts w:ascii="Arial" w:cs="Arial" w:eastAsia="Arial" w:hAnsi="Arial"/>
          <w:sz w:val="15"/>
          <w:szCs w:val="15"/>
          <w:color w:val="auto"/>
        </w:rPr>
      </w:pPr>
    </w:p>
    <w:p>
      <w:pPr>
        <w:ind w:left="7" w:right="520" w:firstLine="1104"/>
        <w:spacing w:after="0" w:line="289" w:lineRule="auto"/>
        <w:tabs>
          <w:tab w:leader="none" w:pos="1681"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such other financial information of the Company as any Major Stockholder or Brigham may reasonably request, including certificates of the principal financial officer of the Company concerning compliance with the covenants of the Company prescribed under this </w:t>
      </w:r>
      <w:r>
        <w:rPr>
          <w:rFonts w:ascii="Arial" w:cs="Arial" w:eastAsia="Arial" w:hAnsi="Arial"/>
          <w:sz w:val="15"/>
          <w:szCs w:val="15"/>
          <w:u w:val="single" w:color="auto"/>
          <w:color w:val="auto"/>
        </w:rPr>
        <w:t>Section 1</w:t>
      </w:r>
      <w:r>
        <w:rPr>
          <w:rFonts w:ascii="Arial" w:cs="Arial" w:eastAsia="Arial" w:hAnsi="Arial"/>
          <w:sz w:val="15"/>
          <w:szCs w:val="15"/>
          <w:color w:val="auto"/>
        </w:rPr>
        <w:t>.</w:t>
      </w:r>
    </w:p>
    <w:p>
      <w:pPr>
        <w:spacing w:after="0" w:line="141" w:lineRule="exact"/>
        <w:rPr>
          <w:sz w:val="20"/>
          <w:szCs w:val="20"/>
          <w:color w:val="auto"/>
        </w:rPr>
      </w:pPr>
    </w:p>
    <w:p>
      <w:pPr>
        <w:ind w:left="7" w:right="120" w:firstLine="556"/>
        <w:spacing w:after="0" w:line="268"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Operating Plan; Other Reporting</w:t>
      </w:r>
      <w:r>
        <w:rPr>
          <w:rFonts w:ascii="Arial" w:cs="Arial" w:eastAsia="Arial" w:hAnsi="Arial"/>
          <w:sz w:val="15"/>
          <w:szCs w:val="15"/>
          <w:color w:val="auto"/>
        </w:rPr>
        <w:t>. The Company will prepare and deliver to each Major Stockholder, on or before the first day of each fiscal year, an annual operating plan (that will include a budget) prepared on a monthly basis and, promptly after preparation, any revisions to such operating plan. In addition, the Company will promptly provide to each Major Stockholder other customary information and materials, including reports of adverse developments, management letters, communications with stockholders or directors, press releases, and registration statements.</w:t>
      </w:r>
    </w:p>
    <w:p>
      <w:pPr>
        <w:spacing w:after="0" w:line="156"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4"/>
          <w:szCs w:val="14"/>
          <w:u w:val="single" w:color="auto"/>
          <w:color w:val="auto"/>
        </w:rPr>
        <w:t>Inspection</w:t>
      </w:r>
      <w:r>
        <w:rPr>
          <w:rFonts w:ascii="Arial" w:cs="Arial" w:eastAsia="Arial" w:hAnsi="Arial"/>
          <w:sz w:val="14"/>
          <w:szCs w:val="14"/>
          <w:color w:val="auto"/>
        </w:rPr>
        <w:t>. The Company shall, upon reasonable prior notice to the Company, permit authorized representatives of the Major Stockholders to visit and inspect any of</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properties of the Company including its books of account (and to make copies thereof and take extracts therefrom), and to discuss the affairs, prospects, finances, and accounts of the Company with its officers, administrative employees, and independent accountants, all at the expense of the Major Stockholders and at such reasonable times and as often as may be reasonably requested. The Company shall, upon reasonable prior notice to the Company, permit authorized representatives of the Major Stockholders to visit and inspect any of the properties of SELECTA (RUS) LLC, a Russian limited liability company and subsidiary of the Company (the “</w:t>
      </w:r>
      <w:r>
        <w:rPr>
          <w:rFonts w:ascii="Arial" w:cs="Arial" w:eastAsia="Arial" w:hAnsi="Arial"/>
          <w:sz w:val="14"/>
          <w:szCs w:val="14"/>
          <w:u w:val="single" w:color="auto"/>
          <w:color w:val="auto"/>
        </w:rPr>
        <w:t>Project Company</w:t>
      </w:r>
      <w:r>
        <w:rPr>
          <w:rFonts w:ascii="Arial" w:cs="Arial" w:eastAsia="Arial" w:hAnsi="Arial"/>
          <w:sz w:val="14"/>
          <w:szCs w:val="14"/>
          <w:color w:val="auto"/>
        </w:rPr>
        <w:t>”) including its books of account and any document or agreement to which the Project Company is a party (but not to make copies thereof), provided that the Project Company is permitted to disclose such document or agreement to such representatives during such visit, and to discuss the affairs, prospects, finances, and accounts of the Project Company with its general director, all at the expense of the Major Stockholders and at such reasonable times as may be reasonably requested; provided that such visits and inspections will be limited to (i) two (2) times per calendar year for a duration of no more than two (2) consecutive business days each and (ii) two (2) times per calendar year for a duration of no more than one-half (1/2) business day each. For the avoidance of doubt, the rights afforded to RUSNANO, an open joint stock company organized and existing under the laws of the Russian Federation (“</w:t>
      </w:r>
      <w:r>
        <w:rPr>
          <w:rFonts w:ascii="Arial" w:cs="Arial" w:eastAsia="Arial" w:hAnsi="Arial"/>
          <w:sz w:val="14"/>
          <w:szCs w:val="14"/>
          <w:u w:val="single" w:color="auto"/>
          <w:color w:val="auto"/>
        </w:rPr>
        <w:t>RUSNANO</w:t>
      </w:r>
      <w:r>
        <w:rPr>
          <w:rFonts w:ascii="Arial" w:cs="Arial" w:eastAsia="Arial" w:hAnsi="Arial"/>
          <w:sz w:val="14"/>
          <w:szCs w:val="14"/>
          <w:color w:val="auto"/>
        </w:rPr>
        <w:t xml:space="preserve">”), under this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shall be in addition to, and not lieu of, any audit rights RUSNANO may have pursuant to </w:t>
      </w:r>
      <w:r>
        <w:rPr>
          <w:rFonts w:ascii="Arial" w:cs="Arial" w:eastAsia="Arial" w:hAnsi="Arial"/>
          <w:sz w:val="14"/>
          <w:szCs w:val="14"/>
          <w:u w:val="single" w:color="auto"/>
          <w:color w:val="auto"/>
        </w:rPr>
        <w:t>Section 5.3</w:t>
      </w:r>
      <w:r>
        <w:rPr>
          <w:rFonts w:ascii="Arial" w:cs="Arial" w:eastAsia="Arial" w:hAnsi="Arial"/>
          <w:sz w:val="14"/>
          <w:szCs w:val="14"/>
          <w:color w:val="auto"/>
        </w:rPr>
        <w:t>.</w:t>
      </w:r>
    </w:p>
    <w:p>
      <w:pPr>
        <w:spacing w:after="0" w:line="153" w:lineRule="exact"/>
        <w:rPr>
          <w:sz w:val="20"/>
          <w:szCs w:val="20"/>
          <w:color w:val="auto"/>
        </w:rPr>
      </w:pPr>
    </w:p>
    <w:p>
      <w:pPr>
        <w:jc w:val="both"/>
        <w:ind w:left="7" w:right="160" w:firstLine="556"/>
        <w:spacing w:after="0" w:line="27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Employee Agreements</w:t>
      </w:r>
      <w:r>
        <w:rPr>
          <w:rFonts w:ascii="Arial" w:cs="Arial" w:eastAsia="Arial" w:hAnsi="Arial"/>
          <w:sz w:val="15"/>
          <w:szCs w:val="15"/>
          <w:color w:val="auto"/>
        </w:rPr>
        <w:t>. The Company shall require all its employees and consultants to enter into the Company’s standard confidentiality and assignment agreement containing provisions governing, among other things, the protection of confidential information, assignment of intellectual property, competition with the Company and solicitation of the Company’s employees.</w:t>
      </w:r>
    </w:p>
    <w:p>
      <w:pPr>
        <w:sectPr>
          <w:pgSz w:w="11900" w:h="16838" w:orient="portrait"/>
          <w:cols w:equalWidth="0" w:num="1">
            <w:col w:w="11447"/>
          </w:cols>
          <w:pgMar w:left="233" w:top="331" w:right="219" w:bottom="36" w:gutter="0" w:footer="0" w:header="0"/>
        </w:sectPr>
      </w:pPr>
    </w:p>
    <w:bookmarkStart w:id="260" w:name="page261"/>
    <w:bookmarkEnd w:id="260"/>
    <w:p>
      <w:pPr>
        <w:spacing w:after="0" w:line="40" w:lineRule="exact"/>
        <w:rPr>
          <w:sz w:val="20"/>
          <w:szCs w:val="20"/>
          <w:color w:val="auto"/>
        </w:rPr>
      </w:pPr>
    </w:p>
    <w:p>
      <w:pPr>
        <w:ind w:left="7" w:firstLine="556"/>
        <w:spacing w:after="0" w:line="268"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Reservation of Shares</w:t>
      </w:r>
      <w:r>
        <w:rPr>
          <w:rFonts w:ascii="Arial" w:cs="Arial" w:eastAsia="Arial" w:hAnsi="Arial"/>
          <w:sz w:val="15"/>
          <w:szCs w:val="15"/>
          <w:color w:val="auto"/>
        </w:rPr>
        <w:t>. The Company will at all times reserve and keep available, solely for issuance and delivery upon (a) the conversion of the Senior Preferred Stock and Series SRN Preferred Stock and (b) the exercise of those certain warrants to purchase Common Stock issued pursuant to (A) the Purchase Agreement and (B) that certain Securities Purchase Agreement by and among the Company and the other parties thereto, dated as of April 10, 2015, all Common Stock issuable from time to time upon such conversion or exercise, as applicable.</w:t>
      </w:r>
    </w:p>
    <w:p>
      <w:pPr>
        <w:spacing w:after="0" w:line="156"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Board Meetings</w:t>
      </w:r>
      <w:r>
        <w:rPr>
          <w:rFonts w:ascii="Arial" w:cs="Arial" w:eastAsia="Arial" w:hAnsi="Arial"/>
          <w:sz w:val="15"/>
          <w:szCs w:val="15"/>
          <w:color w:val="auto"/>
        </w:rPr>
        <w:t>. The Company agrees to hold a meeting of its board of directors (“</w:t>
      </w:r>
      <w:r>
        <w:rPr>
          <w:rFonts w:ascii="Arial" w:cs="Arial" w:eastAsia="Arial" w:hAnsi="Arial"/>
          <w:sz w:val="15"/>
          <w:szCs w:val="15"/>
          <w:u w:val="single" w:color="auto"/>
          <w:color w:val="auto"/>
        </w:rPr>
        <w:t>Board of Directors</w:t>
      </w:r>
      <w:r>
        <w:rPr>
          <w:rFonts w:ascii="Arial" w:cs="Arial" w:eastAsia="Arial" w:hAnsi="Arial"/>
          <w:sz w:val="15"/>
          <w:szCs w:val="15"/>
          <w:color w:val="auto"/>
        </w:rPr>
        <w:t>”) at least once every eight weeks, or such other schedule for board meetings as is agreed by the Board of Directors.</w:t>
      </w:r>
    </w:p>
    <w:p>
      <w:pPr>
        <w:spacing w:after="0" w:line="141" w:lineRule="exact"/>
        <w:rPr>
          <w:sz w:val="20"/>
          <w:szCs w:val="20"/>
          <w:color w:val="auto"/>
        </w:rPr>
      </w:pPr>
    </w:p>
    <w:p>
      <w:pPr>
        <w:ind w:left="7" w:right="260" w:firstLine="556"/>
        <w:spacing w:after="0" w:line="327" w:lineRule="auto"/>
        <w:rPr>
          <w:sz w:val="20"/>
          <w:szCs w:val="20"/>
          <w:color w:val="auto"/>
        </w:rPr>
      </w:pPr>
      <w:r>
        <w:rPr>
          <w:rFonts w:ascii="Arial" w:cs="Arial" w:eastAsia="Arial" w:hAnsi="Arial"/>
          <w:sz w:val="14"/>
          <w:szCs w:val="14"/>
          <w:color w:val="auto"/>
        </w:rPr>
        <w:t xml:space="preserve">1.7. </w:t>
      </w:r>
      <w:r>
        <w:rPr>
          <w:rFonts w:ascii="Arial" w:cs="Arial" w:eastAsia="Arial" w:hAnsi="Arial"/>
          <w:sz w:val="14"/>
          <w:szCs w:val="14"/>
          <w:u w:val="single" w:color="auto"/>
          <w:color w:val="auto"/>
        </w:rPr>
        <w:t>Approval</w:t>
      </w:r>
      <w:r>
        <w:rPr>
          <w:rFonts w:ascii="Arial" w:cs="Arial" w:eastAsia="Arial" w:hAnsi="Arial"/>
          <w:sz w:val="14"/>
          <w:szCs w:val="14"/>
          <w:color w:val="auto"/>
        </w:rPr>
        <w:t>. The Company shall not without the approval of at least a majority of disinterested members of the Board of Directors (if any) authorize or enter into any transactions with any director or officer, or any member of such director’s or officer’s immediate family, other than standard employment or consulting arrangements.</w:t>
      </w:r>
    </w:p>
    <w:p>
      <w:pPr>
        <w:spacing w:after="0" w:line="117" w:lineRule="exact"/>
        <w:rPr>
          <w:sz w:val="20"/>
          <w:szCs w:val="20"/>
          <w:color w:val="auto"/>
        </w:rPr>
      </w:pPr>
    </w:p>
    <w:p>
      <w:pPr>
        <w:ind w:left="7" w:right="160" w:firstLine="556"/>
        <w:spacing w:after="0" w:line="273"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u w:val="single" w:color="auto"/>
          <w:color w:val="auto"/>
        </w:rPr>
        <w:t>Committees of the Board</w:t>
      </w:r>
      <w:r>
        <w:rPr>
          <w:rFonts w:ascii="Arial" w:cs="Arial" w:eastAsia="Arial" w:hAnsi="Arial"/>
          <w:sz w:val="15"/>
          <w:szCs w:val="15"/>
          <w:color w:val="auto"/>
        </w:rPr>
        <w:t>. In the event that the Board of Directors constitutes any committee of the Board of Directors, or any subcommittee thereof, directors designated by the holders of Senior Preferred Stock (each, a “</w:t>
      </w:r>
      <w:r>
        <w:rPr>
          <w:rFonts w:ascii="Arial" w:cs="Arial" w:eastAsia="Arial" w:hAnsi="Arial"/>
          <w:sz w:val="15"/>
          <w:szCs w:val="15"/>
          <w:u w:val="single" w:color="auto"/>
          <w:color w:val="auto"/>
        </w:rPr>
        <w:t>Preferred Director</w:t>
      </w:r>
      <w:r>
        <w:rPr>
          <w:rFonts w:ascii="Arial" w:cs="Arial" w:eastAsia="Arial" w:hAnsi="Arial"/>
          <w:sz w:val="15"/>
          <w:szCs w:val="15"/>
          <w:color w:val="auto"/>
        </w:rPr>
        <w:t>”) shall comprise a majority of the members of such committee or subcommittee thereof. The Board of Directors shall designate the Preferred Directors to be appointed to any such committee or subcommittee.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40" w:firstLine="556"/>
        <w:spacing w:after="0" w:line="264" w:lineRule="auto"/>
        <w:rPr>
          <w:sz w:val="20"/>
          <w:szCs w:val="20"/>
          <w:color w:val="auto"/>
        </w:rPr>
      </w:pPr>
      <w:r>
        <w:rPr>
          <w:rFonts w:ascii="Arial" w:cs="Arial" w:eastAsia="Arial" w:hAnsi="Arial"/>
          <w:sz w:val="15"/>
          <w:szCs w:val="15"/>
          <w:color w:val="auto"/>
        </w:rPr>
        <w:t xml:space="preserve">1.9. </w:t>
      </w:r>
      <w:r>
        <w:rPr>
          <w:rFonts w:ascii="Arial" w:cs="Arial" w:eastAsia="Arial" w:hAnsi="Arial"/>
          <w:sz w:val="15"/>
          <w:szCs w:val="15"/>
          <w:u w:val="single" w:color="auto"/>
          <w:color w:val="auto"/>
        </w:rPr>
        <w:t>Directors’ Liability and Indemnification</w:t>
      </w:r>
      <w:r>
        <w:rPr>
          <w:rFonts w:ascii="Arial" w:cs="Arial" w:eastAsia="Arial" w:hAnsi="Arial"/>
          <w:sz w:val="15"/>
          <w:szCs w:val="15"/>
          <w:color w:val="auto"/>
        </w:rPr>
        <w:t>. The Company’s Fourth Amended and Restated Certificate of Incorporation (as the same may be amended or amended and restated from time to time, the “</w:t>
      </w:r>
      <w:r>
        <w:rPr>
          <w:rFonts w:ascii="Arial" w:cs="Arial" w:eastAsia="Arial" w:hAnsi="Arial"/>
          <w:sz w:val="15"/>
          <w:szCs w:val="15"/>
          <w:u w:val="single" w:color="auto"/>
          <w:color w:val="auto"/>
        </w:rPr>
        <w:t>Company Charter</w:t>
      </w:r>
      <w:r>
        <w:rPr>
          <w:rFonts w:ascii="Arial" w:cs="Arial" w:eastAsia="Arial" w:hAnsi="Arial"/>
          <w:sz w:val="15"/>
          <w:szCs w:val="15"/>
          <w:color w:val="auto"/>
        </w:rPr>
        <w:t>”), and the Company’s Bylaws, as in effect from time to time, shall provide (a) for elimination of the liability of directors to the maximum extent permitted by law and (b) for indemnification of directors for acts on behalf of the Company and its subsidiaries to the maximum extent permitted by law. In addition, the Company shall enter into and maintain usual and customary indemnification agreements with each of its directors to indemnify such directors to the maximum extent permissible under applicable law. The Company shall maintain in effect a usual and customary directors and officers insurance policy with coverage limits in amounts to be determined from time to time by the Board of Directors.</w:t>
      </w:r>
    </w:p>
    <w:p>
      <w:pPr>
        <w:spacing w:after="0" w:line="159"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4"/>
          <w:szCs w:val="14"/>
          <w:u w:val="single" w:color="auto"/>
          <w:color w:val="auto"/>
        </w:rPr>
        <w:t>US Tax Filings</w:t>
      </w:r>
      <w:r>
        <w:rPr>
          <w:rFonts w:ascii="Arial" w:cs="Arial" w:eastAsia="Arial" w:hAnsi="Arial"/>
          <w:sz w:val="14"/>
          <w:szCs w:val="14"/>
          <w:color w:val="auto"/>
        </w:rPr>
        <w:t>. Within seventy-five (75) days of the establishment of the Project Company, if required by applicable law, the Company shall file a US IRS tax form</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8832 on behalf of the Project Company.</w:t>
      </w:r>
    </w:p>
    <w:p>
      <w:pPr>
        <w:spacing w:after="0" w:line="188" w:lineRule="exact"/>
        <w:rPr>
          <w:sz w:val="20"/>
          <w:szCs w:val="20"/>
          <w:color w:val="auto"/>
        </w:rPr>
      </w:pPr>
    </w:p>
    <w:p>
      <w:pPr>
        <w:ind w:left="7" w:right="540" w:firstLine="556"/>
        <w:spacing w:after="0" w:line="289"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Termination of Information Rights</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shall terminate at the earlier to occur of such time as the Company shall become subject to Section 13(a) or 15(d) of the Securities Exchange Act of 1934, as amended.</w:t>
      </w:r>
    </w:p>
    <w:p>
      <w:pPr>
        <w:spacing w:after="0" w:line="141"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u w:val="single" w:color="auto"/>
          <w:color w:val="auto"/>
        </w:rPr>
        <w:t>Project Company Reporting Requirements</w:t>
      </w:r>
      <w:r>
        <w:rPr>
          <w:rFonts w:ascii="Arial" w:cs="Arial" w:eastAsia="Arial" w:hAnsi="Arial"/>
          <w:sz w:val="14"/>
          <w:szCs w:val="14"/>
          <w:color w:val="auto"/>
        </w:rPr>
        <w:t>. The Company shall provide informational reports regarding the Project Company to RUSNANO, as set forth on</w:t>
      </w:r>
      <w:r>
        <w:rPr>
          <w:rFonts w:ascii="Arial" w:cs="Arial" w:eastAsia="Arial" w:hAnsi="Arial"/>
          <w:sz w:val="14"/>
          <w:szCs w:val="14"/>
          <w:u w:val="single" w:color="auto"/>
          <w:color w:val="auto"/>
        </w:rPr>
        <w:t xml:space="preserve"> Exhibit A</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color w:val="auto"/>
        </w:rPr>
        <w:t>hereto.</w:t>
      </w:r>
    </w:p>
    <w:p>
      <w:pPr>
        <w:spacing w:after="0" w:line="188" w:lineRule="exact"/>
        <w:rPr>
          <w:sz w:val="20"/>
          <w:szCs w:val="20"/>
          <w:color w:val="auto"/>
        </w:rPr>
      </w:pPr>
    </w:p>
    <w:p>
      <w:pPr>
        <w:ind w:left="7" w:right="160" w:firstLine="556"/>
        <w:spacing w:after="0" w:line="280"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Notice of SRN Optional Conversion Event</w:t>
      </w:r>
      <w:r>
        <w:rPr>
          <w:rFonts w:ascii="Arial" w:cs="Arial" w:eastAsia="Arial" w:hAnsi="Arial"/>
          <w:sz w:val="14"/>
          <w:szCs w:val="14"/>
          <w:color w:val="auto"/>
        </w:rPr>
        <w:t>. The Company shall provide the SRN Majority Holders (as defined below), if any, with (i) written notice of an SRN Optional Conversion Event (as defined in the Company Charter) no later than thirty (30) days prior to the effectiveness of such SRN Optional Conversion Event and (ii) written notice of final approval of such SRN Optional Conversion Event no later than seven (7) business days after the occurrence of such event. The Company shall use commercially reasonable efforts to provide the SRN Majority Holders, if any, with written notice of any SRN Special Optional Conversion Event (as defined in the Company Charter) no later than ten</w:t>
      </w:r>
    </w:p>
    <w:p>
      <w:pPr>
        <w:ind w:left="7" w:right="60" w:hanging="7"/>
        <w:spacing w:after="0" w:line="260" w:lineRule="auto"/>
        <w:tabs>
          <w:tab w:leader="none" w:pos="30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business days after the occurrence of such SRN Special Optional Conversion Event. The Company shall use commercially reasonable efforts to provide the SRN Majority Holders, if any, with notice of any voluntary or involuntary liquidation, dissolution or winding up of the affairs of the Corporation (including without limitation any Deemed Liquidation Event, as defined in the Company Charter) no later than sixty (60) days prior to the occurrence of such event (or, if neither the Board of Directors nor the Company’s Chief Executive Officer have knowledge of such event at that time, promptly at any time thereafter when the Board of Directors or the Company’s Chief Executive Officer has knowledge of such event); provided that under no circumstances shall the Company have any liability whatsoever for any failure to use such efforts or provide such notice. Notwithstanding anything to the contrary herein, each notice to the SRN Majority Holders to be provided hereunder shall be deemed effectively provided at the time each member of the Board of Directors designated by the SRN Majority Holders shall receive such notice.</w:t>
      </w:r>
    </w:p>
    <w:p>
      <w:pPr>
        <w:spacing w:after="0" w:line="164"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Purchaser agrees that such Purchaser will keep confidential and will not disclose, divulge, or use for any purpose (other than to monitor such Purchaser’s investment in the Company) any confidential information obtained from the Company or the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00"/>
        <w:spacing w:after="0" w:line="278" w:lineRule="auto"/>
        <w:rPr>
          <w:sz w:val="20"/>
          <w:szCs w:val="20"/>
          <w:color w:val="auto"/>
        </w:rPr>
      </w:pPr>
      <w:r>
        <w:rPr>
          <w:rFonts w:ascii="Arial" w:cs="Arial" w:eastAsia="Arial" w:hAnsi="Arial"/>
          <w:sz w:val="14"/>
          <w:szCs w:val="14"/>
          <w:color w:val="auto"/>
        </w:rPr>
        <w:t xml:space="preserve">Project Company or any other affiliate of the Company or any representative of the Company, the Project Company or any affiliate of the Company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4"/>
          <w:szCs w:val="14"/>
          <w:u w:val="single" w:color="auto"/>
          <w:color w:val="auto"/>
        </w:rPr>
        <w:t>Section 1.14</w:t>
      </w:r>
      <w:r>
        <w:rPr>
          <w:rFonts w:ascii="Arial" w:cs="Arial" w:eastAsia="Arial" w:hAnsi="Arial"/>
          <w:sz w:val="14"/>
          <w:szCs w:val="14"/>
          <w:color w:val="auto"/>
        </w:rPr>
        <w:t xml:space="preserve"> by such Purchaser), (b) is or has been independently developed or conceived by such Purchaser without use of the confidential information of the Company, the Project Company or any affiliate of the Company, or (c) is or has been made known or disclosed to such Purchaser by a third party without a breach of any obligation of confidentiality such third party may have to the Company, the Project Company or any affiliate of the Company; provided, however, that a Purchaser may disclose confidential information (i) to its attorneys, accountants, consultants, and other professionals to the extent necessary to obtain their services in connection with monitoring such Purchaser’s investment in the Company;</w:t>
      </w:r>
    </w:p>
    <w:p>
      <w:pPr>
        <w:spacing w:after="0" w:line="3" w:lineRule="exact"/>
        <w:rPr>
          <w:sz w:val="20"/>
          <w:szCs w:val="20"/>
          <w:color w:val="auto"/>
        </w:rPr>
      </w:pPr>
    </w:p>
    <w:p>
      <w:pPr>
        <w:ind w:left="7" w:right="20" w:hanging="7"/>
        <w:spacing w:after="0" w:line="263" w:lineRule="auto"/>
        <w:tabs>
          <w:tab w:leader="none" w:pos="23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to any prospective transferee of such Purchaser permitted under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if such prospective transferee agrees to be bound by the provisions of this </w:t>
      </w:r>
      <w:r>
        <w:rPr>
          <w:rFonts w:ascii="Arial" w:cs="Arial" w:eastAsia="Arial" w:hAnsi="Arial"/>
          <w:sz w:val="15"/>
          <w:szCs w:val="15"/>
          <w:u w:val="single" w:color="auto"/>
          <w:color w:val="auto"/>
        </w:rPr>
        <w:t>Section 1.14</w:t>
      </w:r>
      <w:r>
        <w:rPr>
          <w:rFonts w:ascii="Arial" w:cs="Arial" w:eastAsia="Arial" w:hAnsi="Arial"/>
          <w:sz w:val="15"/>
          <w:szCs w:val="15"/>
          <w:color w:val="auto"/>
        </w:rPr>
        <w:t xml:space="preserve">; (iii) to any Affiliate (as defined in </w:t>
      </w:r>
      <w:r>
        <w:rPr>
          <w:rFonts w:ascii="Arial" w:cs="Arial" w:eastAsia="Arial" w:hAnsi="Arial"/>
          <w:sz w:val="15"/>
          <w:szCs w:val="15"/>
          <w:u w:val="single" w:color="auto"/>
          <w:color w:val="auto"/>
        </w:rPr>
        <w:t>Section 4.1</w:t>
      </w:r>
      <w:r>
        <w:rPr>
          <w:rFonts w:ascii="Arial" w:cs="Arial" w:eastAsia="Arial" w:hAnsi="Arial"/>
          <w:sz w:val="15"/>
          <w:szCs w:val="15"/>
          <w:color w:val="auto"/>
        </w:rPr>
        <w:t>) in the ordinary course of business, provided that such Purchaser informs such Affiliate that such information is confidential and directs such Affiliate to maintain the confidentiality of such information; or (iv) as may otherwise be required by law, provided that the Purchaser promptly notifies the Company of such disclosure and takes reasonable steps to minimize the extent of any such required disclosure.</w:t>
      </w:r>
    </w:p>
    <w:p>
      <w:pPr>
        <w:spacing w:after="0" w:line="160" w:lineRule="exact"/>
        <w:rPr>
          <w:sz w:val="20"/>
          <w:szCs w:val="20"/>
          <w:color w:val="auto"/>
        </w:rPr>
      </w:pPr>
    </w:p>
    <w:p>
      <w:pPr>
        <w:ind w:left="547" w:hanging="547"/>
        <w:spacing w:after="0"/>
        <w:tabs>
          <w:tab w:leader="none" w:pos="547"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Participation Rights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w:t>
      </w:r>
      <w:r>
        <w:rPr>
          <w:rFonts w:ascii="Arial" w:cs="Arial" w:eastAsia="Arial" w:hAnsi="Arial"/>
          <w:sz w:val="14"/>
          <w:szCs w:val="14"/>
          <w:u w:val="single" w:color="auto"/>
          <w:color w:val="auto"/>
        </w:rPr>
        <w:t xml:space="preserve"> Section 2</w:t>
      </w:r>
      <w:r>
        <w:rPr>
          <w:rFonts w:ascii="Arial" w:cs="Arial" w:eastAsia="Arial" w:hAnsi="Arial"/>
          <w:sz w:val="14"/>
          <w:szCs w:val="14"/>
          <w:color w:val="auto"/>
        </w:rPr>
        <w:t>, the following terms shall have the following meanings:</w:t>
      </w:r>
    </w:p>
    <w:p>
      <w:pPr>
        <w:spacing w:after="0" w:line="198" w:lineRule="exact"/>
        <w:rPr>
          <w:rFonts w:ascii="Arial" w:cs="Arial" w:eastAsia="Arial" w:hAnsi="Arial"/>
          <w:sz w:val="15"/>
          <w:szCs w:val="15"/>
          <w:color w:val="auto"/>
        </w:rPr>
      </w:pPr>
    </w:p>
    <w:p>
      <w:pPr>
        <w:ind w:left="7" w:right="20" w:firstLine="1104"/>
        <w:spacing w:after="0" w:line="277" w:lineRule="auto"/>
        <w:tabs>
          <w:tab w:leader="none" w:pos="1673" w:val="left"/>
        </w:tabs>
        <w:numPr>
          <w:ilvl w:val="1"/>
          <w:numId w:val="14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Securities</w:t>
      </w:r>
      <w:r>
        <w:rPr>
          <w:rFonts w:ascii="Arial" w:cs="Arial" w:eastAsia="Arial" w:hAnsi="Arial"/>
          <w:sz w:val="14"/>
          <w:szCs w:val="14"/>
          <w:color w:val="auto"/>
        </w:rPr>
        <w:t>” means (i) any capital stock of the Company whether or not currently authorized, (ii) all rights, options, or warrants to purchase capital stock, and (iii) all securities of any type whatsoever that are, or may become, convertible into capital stock; provided, however, that the term “</w:t>
      </w:r>
      <w:r>
        <w:rPr>
          <w:rFonts w:ascii="Arial" w:cs="Arial" w:eastAsia="Arial" w:hAnsi="Arial"/>
          <w:sz w:val="14"/>
          <w:szCs w:val="14"/>
          <w:u w:val="single" w:color="auto"/>
          <w:color w:val="auto"/>
        </w:rPr>
        <w:t>New Securities</w:t>
      </w:r>
      <w:r>
        <w:rPr>
          <w:rFonts w:ascii="Arial" w:cs="Arial" w:eastAsia="Arial" w:hAnsi="Arial"/>
          <w:sz w:val="14"/>
          <w:szCs w:val="14"/>
          <w:color w:val="auto"/>
        </w:rPr>
        <w:t>” shall not include (1) the Series E Preferred Stock issued or to be issued pursuant to the Purchase Agreement or the shares of Common Stock issuable upon the conversion of the Senior Preferred Stock or Series SRN Preferred Stock; (2) those certain warrants to purchase Common Stock issued pursuant to (A) the Purchase Agreement or (B) that certain Securities Purchase Agreement by and among the Company and the other parties thereto, dated as of April 10, 2015, if any, or shares of Common Stock issued pursuant to the exercise of any such warrants; (3) shares of Common Stock, or options to purchase such shares, that are issued or granted to directors, employees or consultants of the Company pursuant to a stock incentive plan approved by the Board of Directors, including a majority of the Preferred Directors; (4) securities issued as a result of any stock split, stock dividend, or reclassification by the Company, distributable on a pro rata basis to all holders of such class of securities; (5) securities reissued to employees or consultants of the Company following the Company’s acquisition of such securities pursuant to restricted stock arrangements with individuals who have terminated their relationship with the Company or shares subject to options which have been cancelled;</w:t>
      </w:r>
    </w:p>
    <w:p>
      <w:pPr>
        <w:spacing w:after="0" w:line="5" w:lineRule="exact"/>
        <w:rPr>
          <w:rFonts w:ascii="Arial" w:cs="Arial" w:eastAsia="Arial" w:hAnsi="Arial"/>
          <w:sz w:val="14"/>
          <w:szCs w:val="14"/>
          <w:color w:val="auto"/>
        </w:rPr>
      </w:pPr>
    </w:p>
    <w:p>
      <w:pPr>
        <w:jc w:val="both"/>
        <w:ind w:left="7" w:right="480"/>
        <w:spacing w:after="0" w:line="266" w:lineRule="auto"/>
        <w:rPr>
          <w:rFonts w:ascii="Arial" w:cs="Arial" w:eastAsia="Arial" w:hAnsi="Arial"/>
          <w:sz w:val="14"/>
          <w:szCs w:val="14"/>
          <w:color w:val="auto"/>
        </w:rPr>
      </w:pPr>
      <w:r>
        <w:rPr>
          <w:rFonts w:ascii="Arial" w:cs="Arial" w:eastAsia="Arial" w:hAnsi="Arial"/>
          <w:sz w:val="15"/>
          <w:szCs w:val="15"/>
          <w:color w:val="auto"/>
        </w:rPr>
        <w:t>(6) securities issued to the Massachusetts Institute of Technology or persons designated by the Massachusetts Institute of Technology pursuant to the MIT License Agreement (as defined in the Purchase Agreement); (7) securities issued to a financing institution in connection with a commercial credit arrangement, equipment financing or similar financing arrangement approved by a majority of the Board of Directors, including a</w:t>
      </w:r>
    </w:p>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spacing w:after="0" w:line="327" w:lineRule="auto"/>
        <w:rPr>
          <w:sz w:val="20"/>
          <w:szCs w:val="20"/>
          <w:color w:val="auto"/>
        </w:rPr>
      </w:pPr>
      <w:r>
        <w:rPr>
          <w:rFonts w:ascii="Arial" w:cs="Arial" w:eastAsia="Arial" w:hAnsi="Arial"/>
          <w:sz w:val="14"/>
          <w:szCs w:val="14"/>
          <w:color w:val="auto"/>
        </w:rPr>
        <w:t>majority of the Preferred Directors; (8) securities issued in connection with the bona fide acquisition of a business, product or technology by the Corporation approved by a majority of the Board of Directors, including a majority of the Preferred Directors; and (9) securities issued in connection with any bona fide sponsored research, collaboration, joint venture,</w:t>
      </w:r>
    </w:p>
    <w:p>
      <w:pPr>
        <w:sectPr>
          <w:pgSz w:w="11900" w:h="16879" w:orient="portrait"/>
          <w:cols w:equalWidth="0" w:num="1">
            <w:col w:w="11447"/>
          </w:cols>
          <w:pgMar w:left="233" w:top="129" w:right="219" w:bottom="0" w:gutter="0" w:footer="0" w:header="0"/>
        </w:sectPr>
      </w:pPr>
    </w:p>
    <w:bookmarkStart w:id="261" w:name="page262"/>
    <w:bookmarkEnd w:id="261"/>
    <w:p>
      <w:pPr>
        <w:ind w:left="7" w:right="260"/>
        <w:spacing w:after="0" w:line="289" w:lineRule="auto"/>
        <w:rPr>
          <w:sz w:val="20"/>
          <w:szCs w:val="20"/>
          <w:color w:val="auto"/>
        </w:rPr>
      </w:pPr>
      <w:r>
        <w:rPr>
          <w:rFonts w:ascii="Arial" w:cs="Arial" w:eastAsia="Arial" w:hAnsi="Arial"/>
          <w:sz w:val="15"/>
          <w:szCs w:val="15"/>
          <w:color w:val="auto"/>
        </w:rPr>
        <w:t>technology license, development, OEM, marketing or other similar agreements or strategic partnerships approved by a majority of the Board of Directors, including a majority of the Preferred Directors.</w:t>
      </w:r>
    </w:p>
    <w:p>
      <w:pPr>
        <w:spacing w:after="0" w:line="141" w:lineRule="exact"/>
        <w:rPr>
          <w:sz w:val="20"/>
          <w:szCs w:val="20"/>
          <w:color w:val="auto"/>
        </w:rPr>
      </w:pPr>
    </w:p>
    <w:p>
      <w:pPr>
        <w:ind w:left="1667" w:hanging="556"/>
        <w:spacing w:after="0"/>
        <w:tabs>
          <w:tab w:leader="none" w:pos="1667" w:val="left"/>
        </w:tabs>
        <w:numPr>
          <w:ilvl w:val="0"/>
          <w:numId w:val="1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w:t>
      </w:r>
      <w:r>
        <w:rPr>
          <w:rFonts w:ascii="Arial" w:cs="Arial" w:eastAsia="Arial" w:hAnsi="Arial"/>
          <w:sz w:val="15"/>
          <w:szCs w:val="15"/>
          <w:color w:val="auto"/>
        </w:rPr>
        <w:t xml:space="preserve">” shall include, for the purposes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only, each Licensor Shareholder.</w:t>
      </w:r>
    </w:p>
    <w:p>
      <w:pPr>
        <w:spacing w:after="0" w:line="198" w:lineRule="exact"/>
        <w:rPr>
          <w:sz w:val="20"/>
          <w:szCs w:val="20"/>
          <w:color w:val="auto"/>
        </w:rPr>
      </w:pPr>
    </w:p>
    <w:p>
      <w:pPr>
        <w:ind w:left="7" w:right="120" w:firstLine="556"/>
        <w:spacing w:after="0" w:line="281"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Participation Right</w:t>
      </w:r>
      <w:r>
        <w:rPr>
          <w:rFonts w:ascii="Arial" w:cs="Arial" w:eastAsia="Arial" w:hAnsi="Arial"/>
          <w:sz w:val="14"/>
          <w:szCs w:val="14"/>
          <w:color w:val="auto"/>
        </w:rPr>
        <w:t>. Each Purchaser shall be entitled to purchase, on a pro rata basis, all or any part of New Securities which the Company may, from time to time, propose to sell and issue, subject to the terms and conditions set forth below. Each Purchaser’s pro rata share shall equal a fraction of the New Securities being issued, the numerator of which is the number of shares of Common Stock held or Common Stock issuable upon conversion of the Senior Preferred Stock or other convertible securities (other than the</w:t>
      </w:r>
    </w:p>
    <w:p>
      <w:pPr>
        <w:spacing w:after="0" w:line="1" w:lineRule="exact"/>
        <w:rPr>
          <w:sz w:val="20"/>
          <w:szCs w:val="20"/>
          <w:color w:val="auto"/>
        </w:rPr>
      </w:pPr>
    </w:p>
    <w:p>
      <w:pPr>
        <w:ind w:left="7" w:right="100"/>
        <w:spacing w:after="0" w:line="285" w:lineRule="auto"/>
        <w:rPr>
          <w:sz w:val="20"/>
          <w:szCs w:val="20"/>
          <w:color w:val="auto"/>
        </w:rPr>
      </w:pPr>
      <w:r>
        <w:rPr>
          <w:rFonts w:ascii="Arial" w:cs="Arial" w:eastAsia="Arial" w:hAnsi="Arial"/>
          <w:sz w:val="14"/>
          <w:szCs w:val="14"/>
          <w:color w:val="auto"/>
        </w:rPr>
        <w:t xml:space="preserve">Series SRN Preferred Stock and disregarding the special conversion ratios set forth in Section 3.3(a)(i)(1) or Section 3.3(b)(i)(2) of the Company Charter in effect on the date hereof) then held by such Purchaser, and the denominator of which is the total number of shares of Common Stock then outstanding plus the number of shares of Common Stock issuable upon conversion of then outstanding Senior Preferred Stock or other convertible securities then outstanding (other than the Series SRN Preferred Stock and disregarding the special conversion ratios set forth in Section 3.3(a)(i)(1) or Section 3.3(b)(i)(2) of the Company Charter in effect on the date hereof). For the purposes of this </w:t>
      </w:r>
      <w:r>
        <w:rPr>
          <w:rFonts w:ascii="Arial" w:cs="Arial" w:eastAsia="Arial" w:hAnsi="Arial"/>
          <w:sz w:val="14"/>
          <w:szCs w:val="14"/>
          <w:u w:val="single" w:color="auto"/>
          <w:color w:val="auto"/>
        </w:rPr>
        <w:t>Section 2</w:t>
      </w:r>
      <w:r>
        <w:rPr>
          <w:rFonts w:ascii="Arial" w:cs="Arial" w:eastAsia="Arial" w:hAnsi="Arial"/>
          <w:sz w:val="14"/>
          <w:szCs w:val="14"/>
          <w:color w:val="auto"/>
        </w:rPr>
        <w:t>, a Purchaser may apportion its pro rata share among itself and any of its general partners, officers, and other affiliates in such proportions as it deems appropriate.</w:t>
      </w:r>
    </w:p>
    <w:p>
      <w:pPr>
        <w:spacing w:after="0" w:line="146" w:lineRule="exact"/>
        <w:rPr>
          <w:sz w:val="20"/>
          <w:szCs w:val="20"/>
          <w:color w:val="auto"/>
        </w:rPr>
      </w:pPr>
    </w:p>
    <w:p>
      <w:pPr>
        <w:ind w:left="7" w:right="100" w:firstLine="556"/>
        <w:spacing w:after="0" w:line="284"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Exercise of Right</w:t>
      </w:r>
      <w:r>
        <w:rPr>
          <w:rFonts w:ascii="Arial" w:cs="Arial" w:eastAsia="Arial" w:hAnsi="Arial"/>
          <w:sz w:val="14"/>
          <w:szCs w:val="14"/>
          <w:color w:val="auto"/>
        </w:rPr>
        <w:t>. In the event the Company intends to issue New Securities, it shall give each Purchaser written notice of such intention, describing the type of New Securities to be issued, the price thereof, and the general terms upon which the Company proposes to effect such issuance (the “</w:t>
      </w:r>
      <w:r>
        <w:rPr>
          <w:rFonts w:ascii="Arial" w:cs="Arial" w:eastAsia="Arial" w:hAnsi="Arial"/>
          <w:sz w:val="14"/>
          <w:szCs w:val="14"/>
          <w:u w:val="single" w:color="auto"/>
          <w:color w:val="auto"/>
        </w:rPr>
        <w:t>Sale Notice</w:t>
      </w:r>
      <w:r>
        <w:rPr>
          <w:rFonts w:ascii="Arial" w:cs="Arial" w:eastAsia="Arial" w:hAnsi="Arial"/>
          <w:sz w:val="14"/>
          <w:szCs w:val="14"/>
          <w:color w:val="auto"/>
        </w:rPr>
        <w:t>”). Each Purchaser shall have twenty (20) days from the date of the delivery of any Sale Notice to agree to purchase all or part of its pro rata share of such New Securities for the price and upon the general terms and conditions specified in the Sale Notice by giving written notice to the Company stating the quantity of New Securities to be so purchased (“</w:t>
      </w:r>
      <w:r>
        <w:rPr>
          <w:rFonts w:ascii="Arial" w:cs="Arial" w:eastAsia="Arial" w:hAnsi="Arial"/>
          <w:sz w:val="14"/>
          <w:szCs w:val="14"/>
          <w:u w:val="single" w:color="auto"/>
          <w:color w:val="auto"/>
        </w:rPr>
        <w:t>Exercise Notice</w:t>
      </w:r>
      <w:r>
        <w:rPr>
          <w:rFonts w:ascii="Arial" w:cs="Arial" w:eastAsia="Arial" w:hAnsi="Arial"/>
          <w:sz w:val="14"/>
          <w:szCs w:val="14"/>
          <w:color w:val="auto"/>
        </w:rPr>
        <w:t xml:space="preserve">”); provided, however, that in the event that the transaction described in a Sale Notice involves in whole or in part the payment of non-cash consideration, or the payment of consideration over time, the Purchasers shall have the right to elect, upon exercise of their rights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to pay to the Company in full consideration for the New Securities the present cash value of the consideration described in the Sale Notice as determined by the Board of Directors of the Company in good faith.</w:t>
      </w:r>
    </w:p>
    <w:p>
      <w:pPr>
        <w:spacing w:after="0" w:line="149" w:lineRule="exact"/>
        <w:rPr>
          <w:sz w:val="20"/>
          <w:szCs w:val="20"/>
          <w:color w:val="auto"/>
        </w:rPr>
      </w:pPr>
    </w:p>
    <w:p>
      <w:pPr>
        <w:ind w:left="7" w:right="120" w:firstLine="556"/>
        <w:spacing w:after="0" w:line="268"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Overallotment</w:t>
      </w:r>
      <w:r>
        <w:rPr>
          <w:rFonts w:ascii="Arial" w:cs="Arial" w:eastAsia="Arial" w:hAnsi="Arial"/>
          <w:sz w:val="15"/>
          <w:szCs w:val="15"/>
          <w:color w:val="auto"/>
        </w:rPr>
        <w:t>. In the event any Purchaser fails to exercise its right to purchase its pro rata share of New Securities, each Purchaser who delivered an Exercise Notice for such Purchaser’s total pro rata share of New Securities (an “</w:t>
      </w:r>
      <w:r>
        <w:rPr>
          <w:rFonts w:ascii="Arial" w:cs="Arial" w:eastAsia="Arial" w:hAnsi="Arial"/>
          <w:sz w:val="15"/>
          <w:szCs w:val="15"/>
          <w:u w:val="single" w:color="auto"/>
          <w:color w:val="auto"/>
        </w:rPr>
        <w:t>Overallotment Purchaser</w:t>
      </w:r>
      <w:r>
        <w:rPr>
          <w:rFonts w:ascii="Arial" w:cs="Arial" w:eastAsia="Arial" w:hAnsi="Arial"/>
          <w:sz w:val="15"/>
          <w:szCs w:val="15"/>
          <w:color w:val="auto"/>
        </w:rPr>
        <w:t>”) shall have a right to purchase such Overallotment Purchaser’s pro rata share of the New Securities with respect to which Purchasers have failed to exercise their rights hereunder (“</w:t>
      </w:r>
      <w:r>
        <w:rPr>
          <w:rFonts w:ascii="Arial" w:cs="Arial" w:eastAsia="Arial" w:hAnsi="Arial"/>
          <w:sz w:val="15"/>
          <w:szCs w:val="15"/>
          <w:u w:val="single" w:color="auto"/>
          <w:color w:val="auto"/>
        </w:rPr>
        <w:t>Remaining New Securities</w:t>
      </w:r>
      <w:r>
        <w:rPr>
          <w:rFonts w:ascii="Arial" w:cs="Arial" w:eastAsia="Arial" w:hAnsi="Arial"/>
          <w:sz w:val="15"/>
          <w:szCs w:val="15"/>
          <w:color w:val="auto"/>
        </w:rPr>
        <w:t>”). In such case, within twenty five (25) days after the delivery of the Sale Notice, the Company shall provide written notice (“</w:t>
      </w:r>
      <w:r>
        <w:rPr>
          <w:rFonts w:ascii="Arial" w:cs="Arial" w:eastAsia="Arial" w:hAnsi="Arial"/>
          <w:sz w:val="15"/>
          <w:szCs w:val="15"/>
          <w:u w:val="single" w:color="auto"/>
          <w:color w:val="auto"/>
        </w:rPr>
        <w:t>Overallotment Notice</w:t>
      </w:r>
      <w:r>
        <w:rPr>
          <w:rFonts w:ascii="Arial" w:cs="Arial" w:eastAsia="Arial" w:hAnsi="Arial"/>
          <w:sz w:val="15"/>
          <w:szCs w:val="15"/>
          <w:color w:val="auto"/>
        </w:rPr>
        <w:t>”) to each Overallotment</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5" w:lineRule="auto"/>
        <w:rPr>
          <w:sz w:val="20"/>
          <w:szCs w:val="20"/>
          <w:color w:val="auto"/>
        </w:rPr>
      </w:pPr>
      <w:r>
        <w:rPr>
          <w:rFonts w:ascii="Arial" w:cs="Arial" w:eastAsia="Arial" w:hAnsi="Arial"/>
          <w:sz w:val="15"/>
          <w:szCs w:val="15"/>
          <w:color w:val="auto"/>
        </w:rPr>
        <w:t xml:space="preserve">Purchaser, which shall state the total amount of Remaining New Securities, and the pro rata portion of such Remaining New Securities which each Overallotment Purchaser is entitled to purchase. Each Overallotment Purchaser wishing to purchase any Remaining New Securities shall amend such Overallotment Purchaser’s Exercise Notice in writing within five (5) days from the date of delivery of the Overallotment Notice. For the purpose of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an Overallotment Purchaser’s pro rata share of the Remaining New Securities shall be calculated as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except that the denominator of the fraction shall be the total number of shares of Common Stock issued or issuable upon conversion of shares of Senior Preferred Stock held by all of the Overallotment Purchasers.</w:t>
      </w:r>
    </w:p>
    <w:p>
      <w:pPr>
        <w:spacing w:after="0" w:line="160" w:lineRule="exact"/>
        <w:rPr>
          <w:sz w:val="20"/>
          <w:szCs w:val="20"/>
          <w:color w:val="auto"/>
        </w:rPr>
      </w:pPr>
    </w:p>
    <w:p>
      <w:pPr>
        <w:ind w:left="7" w:right="40" w:firstLine="556"/>
        <w:spacing w:after="0" w:line="304"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Closing</w:t>
      </w:r>
      <w:r>
        <w:rPr>
          <w:rFonts w:ascii="Arial" w:cs="Arial" w:eastAsia="Arial" w:hAnsi="Arial"/>
          <w:sz w:val="13"/>
          <w:szCs w:val="13"/>
          <w:color w:val="auto"/>
        </w:rPr>
        <w:t>. The closing of the purchase of New Securities by the Purchasers exercising their rights hereunder (“</w:t>
      </w:r>
      <w:r>
        <w:rPr>
          <w:rFonts w:ascii="Arial" w:cs="Arial" w:eastAsia="Arial" w:hAnsi="Arial"/>
          <w:sz w:val="13"/>
          <w:szCs w:val="13"/>
          <w:u w:val="single" w:color="auto"/>
          <w:color w:val="auto"/>
        </w:rPr>
        <w:t>Participating Purchasers</w:t>
      </w:r>
      <w:r>
        <w:rPr>
          <w:rFonts w:ascii="Arial" w:cs="Arial" w:eastAsia="Arial" w:hAnsi="Arial"/>
          <w:sz w:val="13"/>
          <w:szCs w:val="13"/>
          <w:color w:val="auto"/>
        </w:rPr>
        <w:t>”) shall take place at such location, date and time as the parties purchasing such New Securities shall agree. At the closing, the Company shall deliver to the Participating Purchasers certificates representing all of the New Securities purchased and such other agreements executed by the Company which grant any rights or privileges to the Participating Purchasers as are being granted to the other purchasers in such issuance, and in any event, at the request of the Participating Purchasers, a duly executed certificate reasonably satisfactory to the Participating Purchasers containing a representation and warranty that, upon issuance or transfer of such securities to the Participating Purchasers, the Participating Purchasers will be the legal and beneficial owners of such securities with good title thereto, free and clear of all mortgages, liens, charges, security interests, adverse claims, pledges, encumbrances and demands whatsoever, and that the Company has the absolute right to issue or transfer such securities to the Participating Purchasers without the consent or approval of any other person. At the closing, the Participating Purchasers shall deliver to the Company payment for the New Securities and such agreements executed by the other purchasers in such issuance which include representations by such purchasers to the Company or restrict such purchaser’s rights with respect to the New Securities, and, at the request of the Company, a duly executed certificate reasonably satisfactory to the Company containing such representations and warranties of the Participating Purchasers with respect to federal and state securities laws. The certificates representing the equity securities may contain a legend stating that they are issued subject to the registration requirements of the Securities Act of 1933, as amended, and applicable state securities laws.</w:t>
      </w:r>
    </w:p>
    <w:p>
      <w:pPr>
        <w:spacing w:after="0" w:line="141" w:lineRule="exact"/>
        <w:rPr>
          <w:sz w:val="20"/>
          <w:szCs w:val="20"/>
          <w:color w:val="auto"/>
        </w:rPr>
      </w:pPr>
    </w:p>
    <w:p>
      <w:pPr>
        <w:ind w:left="7" w:right="140" w:firstLine="556"/>
        <w:spacing w:after="0" w:line="265"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Failure to Exercise Right</w:t>
      </w:r>
      <w:r>
        <w:rPr>
          <w:rFonts w:ascii="Arial" w:cs="Arial" w:eastAsia="Arial" w:hAnsi="Arial"/>
          <w:sz w:val="15"/>
          <w:szCs w:val="15"/>
          <w:color w:val="auto"/>
        </w:rPr>
        <w:t xml:space="preserve">. In the event the Purchasers fail to fully exercise the foregoing participation right with respect to any New Securities within the periods specified by </w:t>
      </w:r>
      <w:r>
        <w:rPr>
          <w:rFonts w:ascii="Arial" w:cs="Arial" w:eastAsia="Arial" w:hAnsi="Arial"/>
          <w:sz w:val="15"/>
          <w:szCs w:val="15"/>
          <w:u w:val="single" w:color="auto"/>
          <w:color w:val="auto"/>
        </w:rPr>
        <w:t>Sections 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2.4</w:t>
      </w:r>
      <w:r>
        <w:rPr>
          <w:rFonts w:ascii="Arial" w:cs="Arial" w:eastAsia="Arial" w:hAnsi="Arial"/>
          <w:sz w:val="15"/>
          <w:szCs w:val="15"/>
          <w:color w:val="auto"/>
        </w:rPr>
        <w:t xml:space="preserve"> above, the Company may within one hundred twenty (120) days after the delivery of the Sale Notice sell any or all of such New Securities not agreed to be purchased by the Purchasers, at a price and upon general terms no more favorable to the purchasers thereof than specified in the Sale Notice. In the event the Company has not closed the sale of such New Securities within such 120-day period, the Company shall not thereafter issue or sell any New Securities without first offering such New Securities to the Purchasers in the manner provided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60" w:lineRule="exact"/>
        <w:rPr>
          <w:sz w:val="20"/>
          <w:szCs w:val="20"/>
          <w:color w:val="auto"/>
        </w:rPr>
      </w:pPr>
    </w:p>
    <w:p>
      <w:pPr>
        <w:jc w:val="both"/>
        <w:ind w:left="7" w:right="340" w:firstLine="556"/>
        <w:spacing w:after="0" w:line="273"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Waiver and Termination of Participation Rights</w:t>
      </w:r>
      <w:r>
        <w:rPr>
          <w:rFonts w:ascii="Arial" w:cs="Arial" w:eastAsia="Arial" w:hAnsi="Arial"/>
          <w:sz w:val="15"/>
          <w:szCs w:val="15"/>
          <w:color w:val="auto"/>
        </w:rPr>
        <w:t xml:space="preserve">. The participation rights established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may be waived with and only with the written consent of the Company and the Purchasers holding at least sixty-six and two-thirds percent (66 2/3 %) of the Registrable Securities (as defined below) held by all Purchasers (which waiver shall apply to all</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64" w:lineRule="auto"/>
        <w:rPr>
          <w:sz w:val="20"/>
          <w:szCs w:val="20"/>
          <w:color w:val="auto"/>
        </w:rPr>
      </w:pPr>
      <w:r>
        <w:rPr>
          <w:rFonts w:ascii="Arial" w:cs="Arial" w:eastAsia="Arial" w:hAnsi="Arial"/>
          <w:sz w:val="15"/>
          <w:szCs w:val="15"/>
          <w:color w:val="auto"/>
        </w:rPr>
        <w:t xml:space="preserve">Purchasers holding Registrable Securities, it being agreed that a waiver of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with respect to a particular transaction shall be deemed to apply to all Purchasers if such waiver does so by its terms, notwithstanding the fact that certain Purchasers may nonetheless, by agreement with the Company, purchase securities in such transaction). The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not apply to, and shall terminate immediately prior to the execution of, (i) a firm commitment underwritten public offering pursuant to an effective registration statement under the Act (as defined below) covering the offer and sale of the Company’s Common Stock to the public, for the account of the Company, and having an aggregate offering price to the public of not less than $30,000,000 (a “</w:t>
      </w:r>
      <w:r>
        <w:rPr>
          <w:rFonts w:ascii="Arial" w:cs="Arial" w:eastAsia="Arial" w:hAnsi="Arial"/>
          <w:sz w:val="15"/>
          <w:szCs w:val="15"/>
          <w:u w:val="single" w:color="auto"/>
          <w:color w:val="auto"/>
        </w:rPr>
        <w:t>Qualified Public Offering</w:t>
      </w:r>
      <w:r>
        <w:rPr>
          <w:rFonts w:ascii="Arial" w:cs="Arial" w:eastAsia="Arial" w:hAnsi="Arial"/>
          <w:sz w:val="15"/>
          <w:szCs w:val="15"/>
          <w:color w:val="auto"/>
        </w:rPr>
        <w:t>”) and (ii) a transaction that qualifies as a liquidation, dissolution or winding up of the affairs of the Company under the Company Charter, as it may be amended from time to time.</w:t>
      </w:r>
    </w:p>
    <w:p>
      <w:pPr>
        <w:spacing w:after="0" w:line="159" w:lineRule="exact"/>
        <w:rPr>
          <w:sz w:val="20"/>
          <w:szCs w:val="20"/>
          <w:color w:val="auto"/>
        </w:rPr>
      </w:pPr>
    </w:p>
    <w:p>
      <w:pPr>
        <w:ind w:left="547" w:hanging="547"/>
        <w:spacing w:after="0"/>
        <w:tabs>
          <w:tab w:leader="none" w:pos="547"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Registration Rights</w:t>
      </w:r>
      <w:r>
        <w:rPr>
          <w:rFonts w:ascii="Arial" w:cs="Arial" w:eastAsia="Arial" w:hAnsi="Arial"/>
          <w:sz w:val="15"/>
          <w:szCs w:val="15"/>
          <w:color w:val="auto"/>
        </w:rPr>
        <w:t>. The Company covenants and agrees as follows:</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3.1.</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w:t>
      </w:r>
      <w:r>
        <w:rPr>
          <w:rFonts w:ascii="Arial" w:cs="Arial" w:eastAsia="Arial" w:hAnsi="Arial"/>
          <w:sz w:val="14"/>
          <w:szCs w:val="14"/>
          <w:u w:val="single" w:color="auto"/>
          <w:color w:val="auto"/>
        </w:rPr>
        <w:t xml:space="preserve"> Section 2 </w:t>
      </w:r>
      <w:r>
        <w:rPr>
          <w:rFonts w:ascii="Arial" w:cs="Arial" w:eastAsia="Arial" w:hAnsi="Arial"/>
          <w:sz w:val="14"/>
          <w:szCs w:val="14"/>
          <w:color w:val="auto"/>
        </w:rPr>
        <w:t>and this</w:t>
      </w:r>
      <w:r>
        <w:rPr>
          <w:rFonts w:ascii="Arial" w:cs="Arial" w:eastAsia="Arial" w:hAnsi="Arial"/>
          <w:sz w:val="14"/>
          <w:szCs w:val="14"/>
          <w:u w:val="single" w:color="auto"/>
          <w:color w:val="auto"/>
        </w:rPr>
        <w:t xml:space="preserve"> Section 3</w:t>
      </w:r>
      <w:r>
        <w:rPr>
          <w:rFonts w:ascii="Arial" w:cs="Arial" w:eastAsia="Arial" w:hAnsi="Arial"/>
          <w:sz w:val="14"/>
          <w:szCs w:val="14"/>
          <w:color w:val="auto"/>
        </w:rPr>
        <w:t>, the following terms shall have the following meanings:</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1934 Act</w:t>
      </w:r>
      <w:r>
        <w:rPr>
          <w:rFonts w:ascii="Arial" w:cs="Arial" w:eastAsia="Arial" w:hAnsi="Arial"/>
          <w:sz w:val="15"/>
          <w:szCs w:val="15"/>
          <w:color w:val="auto"/>
        </w:rPr>
        <w:t>” shall mean the Securities Exchange Act of 1934, as amended.</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w:t>
      </w:r>
      <w:r>
        <w:rPr>
          <w:rFonts w:ascii="Arial" w:cs="Arial" w:eastAsia="Arial" w:hAnsi="Arial"/>
          <w:sz w:val="15"/>
          <w:szCs w:val="15"/>
          <w:color w:val="auto"/>
        </w:rPr>
        <w:t>” means the Securities Act of 1933, as amended.</w:t>
      </w:r>
    </w:p>
    <w:p>
      <w:pPr>
        <w:spacing w:after="0" w:line="198" w:lineRule="exact"/>
        <w:rPr>
          <w:rFonts w:ascii="Arial" w:cs="Arial" w:eastAsia="Arial" w:hAnsi="Arial"/>
          <w:sz w:val="15"/>
          <w:szCs w:val="15"/>
          <w:color w:val="auto"/>
        </w:rPr>
      </w:pPr>
    </w:p>
    <w:p>
      <w:pPr>
        <w:ind w:left="7" w:right="260" w:firstLine="1104"/>
        <w:spacing w:after="0" w:line="289" w:lineRule="auto"/>
        <w:tabs>
          <w:tab w:leader="none" w:pos="1684"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 S-1</w:t>
      </w:r>
      <w:r>
        <w:rPr>
          <w:rFonts w:ascii="Arial" w:cs="Arial" w:eastAsia="Arial" w:hAnsi="Arial"/>
          <w:sz w:val="15"/>
          <w:szCs w:val="15"/>
          <w:color w:val="auto"/>
        </w:rPr>
        <w:t>” means such form under the Act as in effect on the date hereof, or any registration form under the Act subsequently adopted by the SEC which permits the registration of securities under the Act for which no other form is authorized or prescribed.</w:t>
      </w:r>
    </w:p>
    <w:p>
      <w:pPr>
        <w:spacing w:after="0" w:line="140" w:lineRule="exact"/>
        <w:rPr>
          <w:rFonts w:ascii="Arial" w:cs="Arial" w:eastAsia="Arial" w:hAnsi="Arial"/>
          <w:sz w:val="15"/>
          <w:szCs w:val="15"/>
          <w:color w:val="auto"/>
        </w:rPr>
      </w:pPr>
    </w:p>
    <w:p>
      <w:pPr>
        <w:ind w:left="7" w:right="300" w:firstLine="1104"/>
        <w:spacing w:after="0" w:line="289" w:lineRule="auto"/>
        <w:tabs>
          <w:tab w:leader="none" w:pos="1681"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Form S-3</w:t>
      </w:r>
      <w:r>
        <w:rPr>
          <w:rFonts w:ascii="Arial" w:cs="Arial" w:eastAsia="Arial" w:hAnsi="Arial"/>
          <w:sz w:val="15"/>
          <w:szCs w:val="15"/>
          <w:color w:val="auto"/>
        </w:rPr>
        <w:t>” means such form under the Act as in effect on the date hereof or any registration form under the Act subsequently adopted by the SEC which permits inclusion or incorporation of substantial information by reference to other documents filed by the Company with the SEC.</w:t>
      </w:r>
    </w:p>
    <w:p>
      <w:pPr>
        <w:spacing w:after="0" w:line="140" w:lineRule="exact"/>
        <w:rPr>
          <w:rFonts w:ascii="Arial" w:cs="Arial" w:eastAsia="Arial" w:hAnsi="Arial"/>
          <w:sz w:val="15"/>
          <w:szCs w:val="15"/>
          <w:color w:val="auto"/>
        </w:rPr>
      </w:pPr>
    </w:p>
    <w:p>
      <w:pPr>
        <w:ind w:left="7" w:right="180" w:firstLine="1104"/>
        <w:spacing w:after="0" w:line="289" w:lineRule="auto"/>
        <w:tabs>
          <w:tab w:leader="none" w:pos="1684" w:val="left"/>
        </w:tabs>
        <w:numPr>
          <w:ilvl w:val="1"/>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Stock Holder</w:t>
      </w:r>
      <w:r>
        <w:rPr>
          <w:rFonts w:ascii="Arial" w:cs="Arial" w:eastAsia="Arial" w:hAnsi="Arial"/>
          <w:sz w:val="15"/>
          <w:szCs w:val="15"/>
          <w:color w:val="auto"/>
        </w:rPr>
        <w:t xml:space="preserve">” means (i) a Purchaser and any persons or entities to whom the rights granted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are transferred by the Purchaser and (ii) their successors or assigns as permitted under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below.</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1"/>
          <w:numId w:val="14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Holders</w:t>
      </w:r>
      <w:r>
        <w:rPr>
          <w:rFonts w:ascii="Arial" w:cs="Arial" w:eastAsia="Arial" w:hAnsi="Arial"/>
          <w:sz w:val="14"/>
          <w:szCs w:val="14"/>
          <w:color w:val="auto"/>
        </w:rPr>
        <w:t xml:space="preserve">” means any person owning or having the right to acquire Registrable Securities or any assignee thereof in accordance with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below.</w:t>
      </w:r>
    </w:p>
    <w:p>
      <w:pPr>
        <w:sectPr>
          <w:pgSz w:w="11900" w:h="16838" w:orient="portrait"/>
          <w:cols w:equalWidth="0" w:num="1">
            <w:col w:w="11447"/>
          </w:cols>
          <w:pgMar w:left="233" w:top="129" w:right="219" w:bottom="0" w:gutter="0" w:footer="0" w:header="0"/>
        </w:sectPr>
      </w:pPr>
    </w:p>
    <w:bookmarkStart w:id="262" w:name="page263"/>
    <w:bookmarkEnd w:id="262"/>
    <w:p>
      <w:pPr>
        <w:spacing w:after="0" w:line="17" w:lineRule="exact"/>
        <w:rPr>
          <w:sz w:val="20"/>
          <w:szCs w:val="20"/>
          <w:color w:val="auto"/>
        </w:rPr>
      </w:pPr>
    </w:p>
    <w:p>
      <w:pPr>
        <w:ind w:right="20" w:firstLine="1104"/>
        <w:spacing w:after="0" w:line="264" w:lineRule="auto"/>
        <w:tabs>
          <w:tab w:leader="none" w:pos="1686"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with respect to the Founders (i) any member or members of such Founder’s immediate family to whom Registrable Securities are transferred; and (ii) any trust to which Registrable Securities are transferred (1) in respect of which such Founder serves as trustee, provided that the trust instrument governing such trust shall provide that such Founder, as trustee, shall retain sole and exclusive control over the voting and disposition of such Registrable Securities until the termination of this Agreement or (2) for the benefit solely of any member or members of such Founder’s immediate family; provided, that no person or entity shall be a Permitted Transferee unless such transferee delivers a written notice to the Company at the time of such transfer stating the name and address of the transferee and identifying the Registrable Securities with respect to which such rights are being assigned.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right="220" w:firstLine="1104"/>
        <w:spacing w:after="0" w:line="289" w:lineRule="auto"/>
        <w:tabs>
          <w:tab w:leader="none" w:pos="167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terms “</w:t>
      </w:r>
      <w:r>
        <w:rPr>
          <w:rFonts w:ascii="Arial" w:cs="Arial" w:eastAsia="Arial" w:hAnsi="Arial"/>
          <w:sz w:val="15"/>
          <w:szCs w:val="15"/>
          <w:u w:val="single" w:color="auto"/>
          <w:color w:val="auto"/>
        </w:rPr>
        <w:t>register</w:t>
      </w:r>
      <w:r>
        <w:rPr>
          <w:rFonts w:ascii="Arial" w:cs="Arial" w:eastAsia="Arial" w:hAnsi="Arial"/>
          <w:sz w:val="15"/>
          <w:szCs w:val="15"/>
          <w:color w:val="auto"/>
        </w:rPr>
        <w:t>,” “</w:t>
      </w:r>
      <w:r>
        <w:rPr>
          <w:rFonts w:ascii="Arial" w:cs="Arial" w:eastAsia="Arial" w:hAnsi="Arial"/>
          <w:sz w:val="15"/>
          <w:szCs w:val="15"/>
          <w:u w:val="single" w:color="auto"/>
          <w:color w:val="auto"/>
        </w:rPr>
        <w:t>registered</w:t>
      </w:r>
      <w:r>
        <w:rPr>
          <w:rFonts w:ascii="Arial" w:cs="Arial" w:eastAsia="Arial" w:hAnsi="Arial"/>
          <w:sz w:val="15"/>
          <w:szCs w:val="15"/>
          <w:color w:val="auto"/>
        </w:rPr>
        <w:t>,” and “</w:t>
      </w:r>
      <w:r>
        <w:rPr>
          <w:rFonts w:ascii="Arial" w:cs="Arial" w:eastAsia="Arial" w:hAnsi="Arial"/>
          <w:sz w:val="15"/>
          <w:szCs w:val="15"/>
          <w:u w:val="single" w:color="auto"/>
          <w:color w:val="auto"/>
        </w:rPr>
        <w:t>registration</w:t>
      </w:r>
      <w:r>
        <w:rPr>
          <w:rFonts w:ascii="Arial" w:cs="Arial" w:eastAsia="Arial" w:hAnsi="Arial"/>
          <w:sz w:val="15"/>
          <w:szCs w:val="15"/>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40" w:lineRule="exact"/>
        <w:rPr>
          <w:rFonts w:ascii="Arial" w:cs="Arial" w:eastAsia="Arial" w:hAnsi="Arial"/>
          <w:sz w:val="15"/>
          <w:szCs w:val="15"/>
          <w:color w:val="auto"/>
        </w:rPr>
      </w:pPr>
    </w:p>
    <w:p>
      <w:pPr>
        <w:ind w:firstLine="1104"/>
        <w:spacing w:after="0" w:line="265" w:lineRule="auto"/>
        <w:tabs>
          <w:tab w:leader="none" w:pos="1686" w:val="left"/>
        </w:tabs>
        <w:numPr>
          <w:ilvl w:val="0"/>
          <w:numId w:val="1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xml:space="preserve">” means (i) the Common Stock held by the Founders and their Permitted Transferees, (ii) the Common Stock issuable or issued upon conversion of the Senior Preferred Stock, (iii) the Common Stock issuable or issued upon conversion of the Series SRN Preferred Stock, and (iv) any Common Stock of the Company issued as (or issuable upon the conversion or exercise of any warrant, right, or other security which is issued as) a dividend or other distribution with respect to, or in exchange for or in replacement of, the shares referenced in (i) through (iii) above, excluding in all cases, however, any Registrable Securities sold by a person in a transaction in which the rights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are not properly assigned.</w:t>
      </w:r>
    </w:p>
    <w:p>
      <w:pPr>
        <w:spacing w:after="0" w:line="159" w:lineRule="exact"/>
        <w:rPr>
          <w:rFonts w:ascii="Arial" w:cs="Arial" w:eastAsia="Arial" w:hAnsi="Arial"/>
          <w:sz w:val="15"/>
          <w:szCs w:val="15"/>
          <w:color w:val="auto"/>
        </w:rPr>
      </w:pPr>
    </w:p>
    <w:p>
      <w:pPr>
        <w:ind w:right="460" w:firstLine="1104"/>
        <w:spacing w:after="0" w:line="289" w:lineRule="auto"/>
        <w:tabs>
          <w:tab w:leader="none" w:pos="1675" w:val="left"/>
        </w:tabs>
        <w:numPr>
          <w:ilvl w:val="0"/>
          <w:numId w:val="1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Outstanding Registrable Securities</w:t>
      </w:r>
      <w:r>
        <w:rPr>
          <w:rFonts w:ascii="Arial" w:cs="Arial" w:eastAsia="Arial" w:hAnsi="Arial"/>
          <w:sz w:val="15"/>
          <w:szCs w:val="15"/>
          <w:color w:val="auto"/>
        </w:rPr>
        <w:t>” means the number of shares of Common Stock outstanding that are, and the number of shares of Common Stock issuable pursuant to then exercisable or convertible securities which are, Registrable Securities.</w:t>
      </w:r>
    </w:p>
    <w:p>
      <w:pPr>
        <w:spacing w:after="0" w:line="140" w:lineRule="exact"/>
        <w:rPr>
          <w:rFonts w:ascii="Arial" w:cs="Arial" w:eastAsia="Arial" w:hAnsi="Arial"/>
          <w:sz w:val="15"/>
          <w:szCs w:val="15"/>
          <w:color w:val="auto"/>
        </w:rPr>
      </w:pPr>
    </w:p>
    <w:p>
      <w:pPr>
        <w:ind w:left="1660" w:hanging="556"/>
        <w:spacing w:after="0"/>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U.S. Securities and Exchange Commission.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Demand Registration</w:t>
      </w:r>
      <w:r>
        <w:rPr>
          <w:rFonts w:ascii="Arial" w:cs="Arial" w:eastAsia="Arial" w:hAnsi="Arial"/>
          <w:sz w:val="14"/>
          <w:szCs w:val="14"/>
          <w:color w:val="auto"/>
        </w:rPr>
        <w:t>.</w:t>
      </w:r>
    </w:p>
    <w:p>
      <w:pPr>
        <w:spacing w:after="0" w:line="198" w:lineRule="exact"/>
        <w:rPr>
          <w:sz w:val="20"/>
          <w:szCs w:val="20"/>
          <w:color w:val="auto"/>
        </w:rPr>
      </w:pPr>
    </w:p>
    <w:p>
      <w:pPr>
        <w:ind w:right="40" w:firstLine="1104"/>
        <w:spacing w:after="0" w:line="289" w:lineRule="auto"/>
        <w:tabs>
          <w:tab w:leader="none" w:pos="1665"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the Company shall receive at any time after the earlier to occur of (1) the date one hundred eighty (180) days after the initial registration of any series or class of the Company’s securities, and (2) the fourth anniversary of the date hereof, a written notice from Holders holding at least fifty percent (50%) of the Outstanding Registrable Securities then held by all Preferred Stock Holders, voting together as a single class on an as converted to Common Stock basis (determined, in the case of the Series E Preferred Stock, without regard to the special conversion ratios set forth in Section 3.3(a)(i)(1) or Section 3.3(b)(i)(2) of the Company Charter in effect on the date hereof), requesting that the Company effect a registration statement under the Act with respect to all or a part of the Registrable Securities held by such Preferred Stock Holders, then the Company shall:</w:t>
      </w:r>
    </w:p>
    <w:p>
      <w:pPr>
        <w:spacing w:after="0" w:line="142" w:lineRule="exact"/>
        <w:rPr>
          <w:rFonts w:ascii="Arial" w:cs="Arial" w:eastAsia="Arial" w:hAnsi="Arial"/>
          <w:sz w:val="14"/>
          <w:szCs w:val="14"/>
          <w:color w:val="auto"/>
        </w:rPr>
      </w:pPr>
    </w:p>
    <w:p>
      <w:pPr>
        <w:ind w:left="2360" w:hanging="700"/>
        <w:spacing w:after="0"/>
        <w:tabs>
          <w:tab w:leader="none" w:pos="2360"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within ten (10) days of the receipt thereof, give written notice of such request to all Preferred Stock Holders; and</w:t>
      </w:r>
    </w:p>
    <w:p>
      <w:pPr>
        <w:spacing w:after="0" w:line="198" w:lineRule="exact"/>
        <w:rPr>
          <w:rFonts w:ascii="Arial" w:cs="Arial" w:eastAsia="Arial" w:hAnsi="Arial"/>
          <w:sz w:val="15"/>
          <w:szCs w:val="15"/>
          <w:color w:val="auto"/>
        </w:rPr>
      </w:pPr>
    </w:p>
    <w:p>
      <w:pPr>
        <w:ind w:left="2220" w:right="20" w:hanging="560"/>
        <w:spacing w:after="0" w:line="273" w:lineRule="auto"/>
        <w:tabs>
          <w:tab w:leader="none" w:pos="236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effect as soon as practicable, and in any event within ninety (90) days of the receipt of such request, the registration under the Act of all Registrable Securities which the Preferred Stock Holders request to be registered, by notice to the Company within thirty (30) days of the mailing of the notice sent by the Company in accordance with </w:t>
      </w:r>
      <w:r>
        <w:rPr>
          <w:rFonts w:ascii="Arial" w:cs="Arial" w:eastAsia="Arial" w:hAnsi="Arial"/>
          <w:sz w:val="15"/>
          <w:szCs w:val="15"/>
          <w:u w:val="single" w:color="auto"/>
          <w:color w:val="auto"/>
        </w:rPr>
        <w:t>Section 3.2(a)(i)</w:t>
      </w:r>
      <w:r>
        <w:rPr>
          <w:rFonts w:ascii="Arial" w:cs="Arial" w:eastAsia="Arial" w:hAnsi="Arial"/>
          <w:sz w:val="15"/>
          <w:szCs w:val="15"/>
          <w:color w:val="auto"/>
        </w:rPr>
        <w:t xml:space="preserve">, subject to the limitations of </w:t>
      </w:r>
      <w:r>
        <w:rPr>
          <w:rFonts w:ascii="Arial" w:cs="Arial" w:eastAsia="Arial" w:hAnsi="Arial"/>
          <w:sz w:val="15"/>
          <w:szCs w:val="15"/>
          <w:u w:val="single" w:color="auto"/>
          <w:color w:val="auto"/>
        </w:rPr>
        <w:t>Section 3.2(b)</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right="20" w:firstLine="1104"/>
        <w:spacing w:after="0" w:line="289" w:lineRule="auto"/>
        <w:tabs>
          <w:tab w:leader="none" w:pos="167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If the Preferred Stock Holders initiating the registration request hereunder (the “</w:t>
      </w:r>
      <w:r>
        <w:rPr>
          <w:rFonts w:ascii="Arial" w:cs="Arial" w:eastAsia="Arial" w:hAnsi="Arial"/>
          <w:sz w:val="15"/>
          <w:szCs w:val="15"/>
          <w:u w:val="single" w:color="auto"/>
          <w:color w:val="auto"/>
        </w:rPr>
        <w:t>Initiating Holders</w:t>
      </w:r>
      <w:r>
        <w:rPr>
          <w:rFonts w:ascii="Arial" w:cs="Arial" w:eastAsia="Arial" w:hAnsi="Arial"/>
          <w:sz w:val="15"/>
          <w:szCs w:val="15"/>
          <w:color w:val="auto"/>
        </w:rPr>
        <w:t>”) intend to distribute the Registrable Securities covered by their request by means of an underwriting, they shall so advise the Company as a part of their request made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and the Company shall include such information in the written notice referred to in </w:t>
      </w:r>
      <w:r>
        <w:rPr>
          <w:rFonts w:ascii="Arial" w:cs="Arial" w:eastAsia="Arial" w:hAnsi="Arial"/>
          <w:sz w:val="15"/>
          <w:szCs w:val="15"/>
          <w:u w:val="single" w:color="auto"/>
          <w:color w:val="auto"/>
        </w:rPr>
        <w:t>Section 3.2(a)(i)</w:t>
      </w:r>
      <w:r>
        <w:rPr>
          <w:rFonts w:ascii="Arial" w:cs="Arial" w:eastAsia="Arial" w:hAnsi="Arial"/>
          <w:sz w:val="15"/>
          <w:szCs w:val="15"/>
          <w:color w:val="auto"/>
        </w:rPr>
        <w:t xml:space="preserve">. The underwriter will be selected by the Company and shall be reasonably acceptable to a majority in interest of the Initiating Holders. In such event, the right of any Preferred Stock Holder to include Registrable Securities in such registration shall be conditioned upon such Preferred Stock Holder’s participation in such underwriting and the inclusion of such Preferred Stock Holder’s Registrable Securities in the underwriting (unless otherwise mutually agreed by a majority in interest of the Initiating Holders and such Preferred Stock Holder) to the extent provided herein. All Preferred Stock Holders proposing to distribute their securities through such underwriting shall (together with the Company as provided in </w:t>
      </w:r>
      <w:r>
        <w:rPr>
          <w:rFonts w:ascii="Arial" w:cs="Arial" w:eastAsia="Arial" w:hAnsi="Arial"/>
          <w:sz w:val="15"/>
          <w:szCs w:val="15"/>
          <w:u w:val="single" w:color="auto"/>
          <w:color w:val="auto"/>
        </w:rPr>
        <w:t>Section 3.5(e)</w:t>
      </w:r>
      <w:r>
        <w:rPr>
          <w:rFonts w:ascii="Arial" w:cs="Arial" w:eastAsia="Arial" w:hAnsi="Arial"/>
          <w:sz w:val="15"/>
          <w:szCs w:val="15"/>
          <w:color w:val="auto"/>
        </w:rPr>
        <w:t xml:space="preserve">) enter into an underwriting agreement in customary form with the underwriter or underwriters selected for such underwriting. Notwithstanding any other provision of this </w:t>
      </w:r>
      <w:r>
        <w:rPr>
          <w:rFonts w:ascii="Arial" w:cs="Arial" w:eastAsia="Arial" w:hAnsi="Arial"/>
          <w:sz w:val="15"/>
          <w:szCs w:val="15"/>
          <w:u w:val="single" w:color="auto"/>
          <w:color w:val="auto"/>
        </w:rPr>
        <w:t>Section 3.2</w:t>
      </w:r>
      <w:r>
        <w:rPr>
          <w:rFonts w:ascii="Arial" w:cs="Arial" w:eastAsia="Arial" w:hAnsi="Arial"/>
          <w:sz w:val="15"/>
          <w:szCs w:val="15"/>
          <w:color w:val="auto"/>
        </w:rPr>
        <w:t>, if the underwriter advises the Initiating Holders in writing that marketing factors require a limitation of the number of shares to be underwritten, then the Initiating Holders shall so advise all Preferred Stock Holders of Registrable Securities which would otherwise be underwritten pursuant hereto, and the number of shares of Registrable Securities that may be included in the underwriting shall be allocated among all Preferred Stock Holders thereof, including the Initiating Holders, in proportion (as nearly as practicable) to the amount of Registrable Securities of the Company owned by each Preferred Stock Holder; provided, however, that the number of shares of Registrable Securities to be included in such underwriting shall not be reduced unless all other securities are first entirely excluded from the underwriting.</w:t>
      </w:r>
    </w:p>
    <w:p>
      <w:pPr>
        <w:spacing w:after="0" w:line="160" w:lineRule="exact"/>
        <w:rPr>
          <w:sz w:val="20"/>
          <w:szCs w:val="20"/>
          <w:color w:val="auto"/>
        </w:rPr>
      </w:pPr>
    </w:p>
    <w:p>
      <w:pPr>
        <w:ind w:right="100" w:firstLine="1104"/>
        <w:spacing w:after="0" w:line="265" w:lineRule="auto"/>
        <w:tabs>
          <w:tab w:leader="none" w:pos="1677"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the Company shall furnish to Preferred Stock Holders requesting registration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 certificate signed by the President of the Company stating that in the good faith judgment of the Board of Directors of the Company it would be seriously detrimental to the Company and its stockholders for a registration statement to be filed and it is therefore essential to defer the filing of such registration statement, then the Company shall have the right to defer taking action with respect to such filing for a period of not more than one hundred twenty (120) days, in the aggregate (after taking into account the period of any prior delays pursuant to this </w:t>
      </w:r>
      <w:r>
        <w:rPr>
          <w:rFonts w:ascii="Arial" w:cs="Arial" w:eastAsia="Arial" w:hAnsi="Arial"/>
          <w:sz w:val="15"/>
          <w:szCs w:val="15"/>
          <w:u w:val="single" w:color="auto"/>
          <w:color w:val="auto"/>
        </w:rPr>
        <w:t>Section 3.2(c)</w:t>
      </w:r>
      <w:r>
        <w:rPr>
          <w:rFonts w:ascii="Arial" w:cs="Arial" w:eastAsia="Arial" w:hAnsi="Arial"/>
          <w:sz w:val="15"/>
          <w:szCs w:val="15"/>
          <w:color w:val="auto"/>
        </w:rPr>
        <w:t xml:space="preserve"> during any twelve (12) month period), after receipt of the request of the Initiating Holders.</w:t>
      </w:r>
    </w:p>
    <w:p>
      <w:pPr>
        <w:spacing w:after="0" w:line="159" w:lineRule="exact"/>
        <w:rPr>
          <w:rFonts w:ascii="Arial" w:cs="Arial" w:eastAsia="Arial" w:hAnsi="Arial"/>
          <w:sz w:val="15"/>
          <w:szCs w:val="15"/>
          <w:color w:val="auto"/>
        </w:rPr>
      </w:pPr>
    </w:p>
    <w:p>
      <w:pPr>
        <w:jc w:val="both"/>
        <w:ind w:right="160" w:firstLine="1104"/>
        <w:spacing w:after="0" w:line="273" w:lineRule="auto"/>
        <w:tabs>
          <w:tab w:leader="none" w:pos="1674"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In addition, the Company shall not be obligated to effect, or to take any action to effect, any registration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after the Company has effected two (2) registrations on Form S-1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and such registration statements have been declared or ordered effective and the sales of Registrable Securities under such registration statements have closed.</w:t>
      </w:r>
    </w:p>
    <w:p>
      <w:pPr>
        <w:spacing w:after="0" w:line="152" w:lineRule="exact"/>
        <w:rPr>
          <w:rFonts w:ascii="Arial" w:cs="Arial" w:eastAsia="Arial" w:hAnsi="Arial"/>
          <w:sz w:val="15"/>
          <w:szCs w:val="15"/>
          <w:color w:val="auto"/>
        </w:rPr>
      </w:pPr>
    </w:p>
    <w:p>
      <w:pPr>
        <w:ind w:left="1660" w:hanging="556"/>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No incidental right under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shall be construed to limit any registration required under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herein.</w:t>
      </w:r>
    </w:p>
    <w:p>
      <w:pPr>
        <w:spacing w:after="0" w:line="19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u w:val="single" w:color="auto"/>
          <w:color w:val="auto"/>
        </w:rPr>
        <w:t>“Piggy-Back” Registration</w:t>
      </w:r>
      <w:r>
        <w:rPr>
          <w:rFonts w:ascii="Arial" w:cs="Arial" w:eastAsia="Arial" w:hAnsi="Arial"/>
          <w:sz w:val="14"/>
          <w:szCs w:val="14"/>
          <w:color w:val="auto"/>
        </w:rPr>
        <w:t>.</w:t>
      </w:r>
    </w:p>
    <w:p>
      <w:pPr>
        <w:spacing w:after="0" w:line="198" w:lineRule="exact"/>
        <w:rPr>
          <w:sz w:val="20"/>
          <w:szCs w:val="20"/>
          <w:color w:val="auto"/>
        </w:rPr>
      </w:pPr>
    </w:p>
    <w:p>
      <w:pPr>
        <w:ind w:right="60" w:firstLine="1104"/>
        <w:spacing w:after="0" w:line="273" w:lineRule="auto"/>
        <w:tabs>
          <w:tab w:leader="none" w:pos="1665"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solely for cash, other than (i) the initial registration of any series or class of the Company’s securities, (ii) a registration relating solely to the sale of securities to participants in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 xml:space="preserve">stock plan, (iii) a registration on any form which does not include substantially the same information as would be required to be included in a registration statement covering the sale of the Registrable Securities, or (iv) a registration on Form S-4 (or any successor form) relating solely to a transaction pursuant to the SEC’s Rule 145, the Company shall, at such time, promptly give each Holder written notice of such registration. Upon the written request by a Holder given to the Company within twenty (20) days after such notice by the Company provided in accordance with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the Company shall, subject to the provisions of </w:t>
      </w:r>
      <w:r>
        <w:rPr>
          <w:rFonts w:ascii="Arial" w:cs="Arial" w:eastAsia="Arial" w:hAnsi="Arial"/>
          <w:sz w:val="15"/>
          <w:szCs w:val="15"/>
          <w:u w:val="single" w:color="auto"/>
          <w:color w:val="auto"/>
        </w:rPr>
        <w:t>Section 3.3(b)</w:t>
      </w:r>
      <w:r>
        <w:rPr>
          <w:rFonts w:ascii="Arial" w:cs="Arial" w:eastAsia="Arial" w:hAnsi="Arial"/>
          <w:sz w:val="15"/>
          <w:szCs w:val="15"/>
          <w:color w:val="auto"/>
        </w:rPr>
        <w:t>, cause to be registered under the Act all of the Registrable Securities that each such Holder has requested to be registered.</w:t>
      </w:r>
    </w:p>
    <w:p>
      <w:pPr>
        <w:spacing w:after="0" w:line="160" w:lineRule="exact"/>
        <w:rPr>
          <w:sz w:val="20"/>
          <w:szCs w:val="20"/>
          <w:color w:val="auto"/>
        </w:rPr>
      </w:pPr>
    </w:p>
    <w:p>
      <w:pPr>
        <w:ind w:firstLine="1104"/>
        <w:spacing w:after="0" w:line="327" w:lineRule="auto"/>
        <w:tabs>
          <w:tab w:leader="none" w:pos="167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xml:space="preserve">In connection with any offering involving an underwriting of shares of the Company’s capital stock, the Company shall not be required under this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to include any of the Holders’ securities in such underwriting unless such Holders accept the terms of the underwriting as agreed upon between the Company and the underwriters</w:t>
      </w:r>
    </w:p>
    <w:p>
      <w:pPr>
        <w:sectPr>
          <w:pgSz w:w="11900" w:h="16855" w:orient="portrait"/>
          <w:cols w:equalWidth="0" w:num="1">
            <w:col w:w="11400"/>
          </w:cols>
          <w:pgMar w:left="240" w:top="315" w:right="259" w:bottom="0" w:gutter="0" w:footer="0" w:header="0"/>
        </w:sectPr>
      </w:pPr>
    </w:p>
    <w:bookmarkStart w:id="263" w:name="page264"/>
    <w:bookmarkEnd w:id="263"/>
    <w:p>
      <w:pPr>
        <w:ind w:right="40"/>
        <w:spacing w:after="0" w:line="280" w:lineRule="auto"/>
        <w:rPr>
          <w:sz w:val="20"/>
          <w:szCs w:val="20"/>
          <w:color w:val="auto"/>
        </w:rPr>
      </w:pPr>
      <w:r>
        <w:rPr>
          <w:rFonts w:ascii="Arial" w:cs="Arial" w:eastAsia="Arial" w:hAnsi="Arial"/>
          <w:sz w:val="14"/>
          <w:szCs w:val="14"/>
          <w:color w:val="auto"/>
        </w:rPr>
        <w:t>selected by it (or by other persons entitled to select the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to be sold (other than by the Company) that the underwriters determine in their sole discretion is compatible with the success of the offering, then the Company shall be required to include in the offering only that number of such securities, including Registrable Securities, which the underwriters determine in their sole discretion will not jeopardize the success of the offering; provided, however, there shall first be excluded from such registration statement all shares of Common Stock sought to be included therein by (i) any director, consultant, officer, or employee of the Company or any subsidiary other than the Founders and their Permitted Transferees and (ii) stockholders exercising any contractual or incidental registration rights subordinate and junior to the rights of the Preferred Stock Holders. If after such shares are excluded, the underwriters shall determine in their sole discretion that the number of securities which remain to be included in the offering exceeds the amount of securities to be sold that the underwriters determine is compatible with the success of the offering, then the Registrable Securities to be included, if any, shall be apportioned pro rata among the Holders providing notice of their desire to participate in the offering according to the total amount of securities entitled to be included therein owned by each selling Holder or in such other proportions as shall mutually be agreed to by such Holders. For purposes of the preceding sentence concerning apportionment, for any selling Holder which is a partnership or corporation, the partners, retired partners, and stockholders of such Holder, or the estates and family members of any such partners and retired partners and any trusts for the benefit of any of the foregoing persons shall be deemed to be a single “</w:t>
      </w:r>
      <w:r>
        <w:rPr>
          <w:rFonts w:ascii="Arial" w:cs="Arial" w:eastAsia="Arial" w:hAnsi="Arial"/>
          <w:sz w:val="14"/>
          <w:szCs w:val="14"/>
          <w:u w:val="single" w:color="auto"/>
          <w:color w:val="auto"/>
        </w:rPr>
        <w:t>selling Holder</w:t>
      </w:r>
      <w:r>
        <w:rPr>
          <w:rFonts w:ascii="Arial" w:cs="Arial" w:eastAsia="Arial" w:hAnsi="Arial"/>
          <w:sz w:val="14"/>
          <w:szCs w:val="14"/>
          <w:color w:val="auto"/>
        </w:rPr>
        <w:t>,” and any pro-rata reduction with respect to such “selling Holder” shall be based upon the aggregate amount of shares carrying registration rights owned by all entities and individuals included in such “selling Holder,” as defined in this sentence.</w:t>
      </w:r>
    </w:p>
    <w:p>
      <w:pPr>
        <w:spacing w:after="0" w:line="150" w:lineRule="exact"/>
        <w:rPr>
          <w:sz w:val="20"/>
          <w:szCs w:val="20"/>
          <w:color w:val="auto"/>
        </w:rPr>
      </w:pPr>
    </w:p>
    <w:p>
      <w:pPr>
        <w:ind w:left="1660" w:hanging="556"/>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No incidental right under this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shall be construed to limit any registration required under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herein.</w:t>
      </w:r>
    </w:p>
    <w:p>
      <w:pPr>
        <w:spacing w:after="0" w:line="198" w:lineRule="exact"/>
        <w:rPr>
          <w:sz w:val="20"/>
          <w:szCs w:val="20"/>
          <w:color w:val="auto"/>
        </w:rPr>
      </w:pPr>
    </w:p>
    <w:p>
      <w:pPr>
        <w:ind w:right="100" w:firstLine="556"/>
        <w:spacing w:after="0" w:line="289"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Form S-3 Registration</w:t>
      </w:r>
      <w:r>
        <w:rPr>
          <w:rFonts w:ascii="Arial" w:cs="Arial" w:eastAsia="Arial" w:hAnsi="Arial"/>
          <w:sz w:val="15"/>
          <w:szCs w:val="15"/>
          <w:color w:val="auto"/>
        </w:rPr>
        <w:t xml:space="preserve">. In case the Company shall receive from Preferred Stock Holders a written request that the Company effect a registration on Form S-3, subject to the limitations and qualifications set forth in </w:t>
      </w:r>
      <w:r>
        <w:rPr>
          <w:rFonts w:ascii="Arial" w:cs="Arial" w:eastAsia="Arial" w:hAnsi="Arial"/>
          <w:sz w:val="15"/>
          <w:szCs w:val="15"/>
          <w:u w:val="single" w:color="auto"/>
          <w:color w:val="auto"/>
        </w:rPr>
        <w:t>Section 3.4(b)</w:t>
      </w:r>
      <w:r>
        <w:rPr>
          <w:rFonts w:ascii="Arial" w:cs="Arial" w:eastAsia="Arial" w:hAnsi="Arial"/>
          <w:sz w:val="15"/>
          <w:szCs w:val="15"/>
          <w:color w:val="auto"/>
        </w:rPr>
        <w:t>, and any related qualification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compliance with respect to all or a part of the Registrable Securities owned by such Preferred Stock Holder or Preferred Stock Holders, the Company agrees:</w:t>
      </w:r>
    </w:p>
    <w:p>
      <w:pPr>
        <w:spacing w:after="0" w:line="198" w:lineRule="exact"/>
        <w:rPr>
          <w:sz w:val="20"/>
          <w:szCs w:val="20"/>
          <w:color w:val="auto"/>
        </w:rPr>
      </w:pPr>
    </w:p>
    <w:p>
      <w:pPr>
        <w:ind w:left="1660" w:hanging="556"/>
        <w:spacing w:after="0"/>
        <w:tabs>
          <w:tab w:leader="none" w:pos="16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to promptly give written notice of the proposed registration, and any related qualification or compliance, to all other Holders; and</w:t>
      </w:r>
    </w:p>
    <w:p>
      <w:pPr>
        <w:spacing w:after="0" w:line="198" w:lineRule="exact"/>
        <w:rPr>
          <w:rFonts w:ascii="Arial" w:cs="Arial" w:eastAsia="Arial" w:hAnsi="Arial"/>
          <w:sz w:val="15"/>
          <w:szCs w:val="15"/>
          <w:color w:val="auto"/>
        </w:rPr>
      </w:pPr>
    </w:p>
    <w:p>
      <w:pPr>
        <w:ind w:firstLine="1104"/>
        <w:spacing w:after="0" w:line="281" w:lineRule="auto"/>
        <w:tabs>
          <w:tab w:leader="none" w:pos="1674"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as soon as practicable after receiving such a request, to effect such registration and all such qualifications and compliances as may be so requested and as would permit or facilitate the sale and distribution of all or such portion of such Preferred Stock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if (i) Form S-3 is not available for such offering by the Holders; (ii) the Holders, together with the holders of any other securities of the Company entitled to inclusion in such registration, propose to sell Registrable Securities and such other securities (if any) at an aggregate price to the public of less than $2,000,000; (iii) the Company furnishes to the Holders a certificate signed by the President of the Company stating that in the good faith judgment of the Board of Directors of the Company, it would be seriously detrimental to the Company and its stockholders for such Form S-3 registration to be effected at such time, in which event the Company shall have the right to defer the filing of the Form S-3 registration statement for a period of not more than sixty (60) days after receipt of the request of the Preferred Stock Holders under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provided, however, that the Company shall not utilize this right more than once in any eighteen (18) month period; or (iv) the Company has effected two (2) registrations on Form S-3 (or its then equivalent)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during such calendar year and such registrations have been declared or ordered effective and the sales of Registrable Securities under such registration statement have closed.</w:t>
      </w:r>
    </w:p>
    <w:p>
      <w:pPr>
        <w:spacing w:after="0" w:line="150" w:lineRule="exact"/>
        <w:rPr>
          <w:rFonts w:ascii="Arial" w:cs="Arial" w:eastAsia="Arial" w:hAnsi="Arial"/>
          <w:sz w:val="14"/>
          <w:szCs w:val="14"/>
          <w:color w:val="auto"/>
        </w:rPr>
      </w:pPr>
    </w:p>
    <w:p>
      <w:pPr>
        <w:ind w:left="1660" w:hanging="556"/>
        <w:spacing w:after="0"/>
        <w:tabs>
          <w:tab w:leader="none" w:pos="1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 xml:space="preserve">Registrations effected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shall not be counted as demands for registration or registrations effected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3.3</w:t>
      </w:r>
      <w:r>
        <w:rPr>
          <w:rFonts w:ascii="Arial" w:cs="Arial" w:eastAsia="Arial" w:hAnsi="Arial"/>
          <w:sz w:val="14"/>
          <w:szCs w:val="14"/>
          <w:color w:val="auto"/>
        </w:rPr>
        <w:t>.</w:t>
      </w:r>
    </w:p>
    <w:p>
      <w:pPr>
        <w:spacing w:after="0" w:line="210" w:lineRule="exact"/>
        <w:rPr>
          <w:sz w:val="20"/>
          <w:szCs w:val="20"/>
          <w:color w:val="auto"/>
        </w:rPr>
      </w:pPr>
    </w:p>
    <w:p>
      <w:pPr>
        <w:ind w:right="220" w:firstLine="556"/>
        <w:spacing w:after="0" w:line="289"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xml:space="preserve">. Whenever required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to effect the registration of any Registrable Securities, the Company shall, as expeditiously as reasonably possible (but subject to providing counsel to the Holders with a reasonable opportunity to review and comment on all documents):</w:t>
      </w:r>
    </w:p>
    <w:p>
      <w:pPr>
        <w:spacing w:after="0" w:line="141" w:lineRule="exact"/>
        <w:rPr>
          <w:sz w:val="20"/>
          <w:szCs w:val="20"/>
          <w:color w:val="auto"/>
        </w:rPr>
      </w:pPr>
    </w:p>
    <w:p>
      <w:pPr>
        <w:ind w:right="20" w:firstLine="1104"/>
        <w:spacing w:after="0" w:line="264" w:lineRule="auto"/>
        <w:tabs>
          <w:tab w:leader="none" w:pos="1665" w:val="left"/>
        </w:tabs>
        <w:numPr>
          <w:ilvl w:val="0"/>
          <w:numId w:val="155"/>
        </w:numPr>
        <w:rPr>
          <w:rFonts w:ascii="Arial" w:cs="Arial" w:eastAsia="Arial" w:hAnsi="Arial"/>
          <w:sz w:val="15"/>
          <w:szCs w:val="15"/>
          <w:color w:val="auto"/>
        </w:rPr>
      </w:pPr>
      <w:r>
        <w:rPr>
          <w:rFonts w:ascii="Arial" w:cs="Arial" w:eastAsia="Arial" w:hAnsi="Arial"/>
          <w:sz w:val="15"/>
          <w:szCs w:val="15"/>
          <w:color w:val="auto"/>
        </w:rPr>
        <w:t>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provided, however, that (i) such 120-day period shall be extended for a period of time equal to the period the Holder refrains from selling any securities included in such registration at the request of an underwriter of Common Stock (or other securities) of the Company and (ii) in the case of any registration of Registrable Securities on Form S-3 which are intended to be offered on a continuous or delayed basis, such 120-day period shall be extended,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if necessary, to keep the registration statement effective until all such Registrable Securities are sold; provided, that SEC Rule 415, or any successor rule under the Act, permits an offering on a continuous or delayed basis; and provided further that applicable rules under the Act governing the obligation to file a post-effective amendment permit, in lieu of filing a post-effective amendment which (i) includes any prospectus required by Section 10(a)(3) of the Act or (ii) reflects facts or events representing a material or fundamental change in the information set forth in the registration statement, the incorporation by reference of information required to be included in (i) and (ii) above to be contained in periodic reports filed pursuant to Section 13 or 15(d) of the 1934 Act in the registration statement.</w:t>
      </w:r>
    </w:p>
    <w:p>
      <w:pPr>
        <w:spacing w:after="0" w:line="160" w:lineRule="exact"/>
        <w:rPr>
          <w:sz w:val="20"/>
          <w:szCs w:val="20"/>
          <w:color w:val="auto"/>
        </w:rPr>
      </w:pPr>
    </w:p>
    <w:p>
      <w:pPr>
        <w:ind w:right="100" w:firstLine="1104"/>
        <w:spacing w:after="0" w:line="273" w:lineRule="auto"/>
        <w:tabs>
          <w:tab w:leader="none" w:pos="167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in accordance with each Holder’s intended method of disposition.</w:t>
      </w:r>
    </w:p>
    <w:p>
      <w:pPr>
        <w:spacing w:after="0" w:line="152" w:lineRule="exact"/>
        <w:rPr>
          <w:rFonts w:ascii="Arial" w:cs="Arial" w:eastAsia="Arial" w:hAnsi="Arial"/>
          <w:sz w:val="15"/>
          <w:szCs w:val="15"/>
          <w:color w:val="auto"/>
        </w:rPr>
      </w:pPr>
    </w:p>
    <w:p>
      <w:pPr>
        <w:ind w:right="100" w:firstLine="1104"/>
        <w:spacing w:after="0" w:line="289" w:lineRule="auto"/>
        <w:tabs>
          <w:tab w:leader="none" w:pos="1677" w:val="left"/>
        </w:tabs>
        <w:numPr>
          <w:ilvl w:val="0"/>
          <w:numId w:val="156"/>
        </w:numPr>
        <w:rPr>
          <w:rFonts w:ascii="Arial" w:cs="Arial" w:eastAsia="Arial" w:hAnsi="Arial"/>
          <w:sz w:val="15"/>
          <w:szCs w:val="15"/>
          <w:color w:val="auto"/>
        </w:rPr>
      </w:pPr>
      <w:r>
        <w:rPr>
          <w:rFonts w:ascii="Arial" w:cs="Arial" w:eastAsia="Arial" w:hAnsi="Arial"/>
          <w:sz w:val="15"/>
          <w:szCs w:val="15"/>
          <w:color w:val="auto"/>
        </w:rPr>
        <w:t>Furnish to the Holders such numbers of copies of a prospectus, including a preliminary prospectus, in conformity with the requirements of the Act, and such other documents as they may reasonably request in order to facilitate the disposition of Registrable Securities owned by the Holders.</w:t>
      </w:r>
    </w:p>
    <w:p>
      <w:pPr>
        <w:spacing w:after="0" w:line="140" w:lineRule="exact"/>
        <w:rPr>
          <w:rFonts w:ascii="Arial" w:cs="Arial" w:eastAsia="Arial" w:hAnsi="Arial"/>
          <w:sz w:val="15"/>
          <w:szCs w:val="15"/>
          <w:color w:val="auto"/>
        </w:rPr>
      </w:pPr>
    </w:p>
    <w:p>
      <w:pPr>
        <w:ind w:right="80" w:firstLine="1104"/>
        <w:spacing w:after="0" w:line="268" w:lineRule="auto"/>
        <w:tabs>
          <w:tab w:leader="none" w:pos="167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Use its best efforts to register and qualify the securities covered by such registration statement under such other securities or Blue Sky laws of such jurisdictions as shall be reasonably requested by the Holders and any managing underwriter;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Act.</w:t>
      </w:r>
    </w:p>
    <w:p>
      <w:pPr>
        <w:spacing w:after="0" w:line="156" w:lineRule="exact"/>
        <w:rPr>
          <w:rFonts w:ascii="Arial" w:cs="Arial" w:eastAsia="Arial" w:hAnsi="Arial"/>
          <w:sz w:val="15"/>
          <w:szCs w:val="15"/>
          <w:color w:val="auto"/>
        </w:rPr>
      </w:pPr>
    </w:p>
    <w:p>
      <w:pPr>
        <w:ind w:right="160" w:firstLine="1104"/>
        <w:spacing w:after="0" w:line="327" w:lineRule="auto"/>
        <w:tabs>
          <w:tab w:leader="none" w:pos="1677"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17" w:lineRule="exact"/>
        <w:rPr>
          <w:rFonts w:ascii="Arial" w:cs="Arial" w:eastAsia="Arial" w:hAnsi="Arial"/>
          <w:sz w:val="14"/>
          <w:szCs w:val="14"/>
          <w:color w:val="auto"/>
        </w:rPr>
      </w:pPr>
    </w:p>
    <w:p>
      <w:pPr>
        <w:ind w:right="40" w:firstLine="1104"/>
        <w:spacing w:after="0" w:line="268" w:lineRule="auto"/>
        <w:tabs>
          <w:tab w:leader="none" w:pos="1671"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Promptly notify each Holder of Registrable Securities covered by such registration statement at any time when a prospectus relating thereto is required to be delivered under the Act as a result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56" w:lineRule="exact"/>
        <w:rPr>
          <w:rFonts w:ascii="Arial" w:cs="Arial" w:eastAsia="Arial" w:hAnsi="Arial"/>
          <w:sz w:val="15"/>
          <w:szCs w:val="15"/>
          <w:color w:val="auto"/>
        </w:rPr>
      </w:pPr>
    </w:p>
    <w:p>
      <w:pPr>
        <w:ind w:left="1680" w:hanging="576"/>
        <w:spacing w:after="0"/>
        <w:tabs>
          <w:tab w:leader="none" w:pos="16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Cause all such Registrable Securities registered pursuant hereunder to be listed on each securities exchange on which similar securities issued by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Company are then listed.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20"/>
          </w:cols>
          <w:pgMar w:left="240" w:top="129" w:right="239" w:bottom="105" w:gutter="0" w:footer="0" w:header="0"/>
        </w:sectPr>
      </w:pPr>
    </w:p>
    <w:bookmarkStart w:id="264" w:name="page265"/>
    <w:bookmarkEnd w:id="264"/>
    <w:p>
      <w:pPr>
        <w:ind w:right="120" w:firstLine="1104"/>
        <w:spacing w:after="0" w:line="289" w:lineRule="auto"/>
        <w:tabs>
          <w:tab w:leader="none" w:pos="1674"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Provide a transfer agent and registrar for all Registrable Securities registered pursuant hereunder and a CUSIP number for all such Registrable Securities, in each case not later than the effective date of such registration.</w:t>
      </w:r>
    </w:p>
    <w:p>
      <w:pPr>
        <w:spacing w:after="0" w:line="140" w:lineRule="exact"/>
        <w:rPr>
          <w:rFonts w:ascii="Arial" w:cs="Arial" w:eastAsia="Arial" w:hAnsi="Arial"/>
          <w:sz w:val="15"/>
          <w:szCs w:val="15"/>
          <w:color w:val="auto"/>
        </w:rPr>
      </w:pPr>
    </w:p>
    <w:p>
      <w:pPr>
        <w:ind w:right="20" w:firstLine="1104"/>
        <w:spacing w:after="0" w:line="289" w:lineRule="auto"/>
        <w:tabs>
          <w:tab w:leader="none" w:pos="1686" w:val="left"/>
        </w:tabs>
        <w:numPr>
          <w:ilvl w:val="0"/>
          <w:numId w:val="157"/>
        </w:numPr>
        <w:rPr>
          <w:rFonts w:ascii="Arial" w:cs="Arial" w:eastAsia="Arial" w:hAnsi="Arial"/>
          <w:sz w:val="14"/>
          <w:szCs w:val="14"/>
          <w:color w:val="auto"/>
        </w:rPr>
      </w:pPr>
      <w:r>
        <w:rPr>
          <w:rFonts w:ascii="Arial" w:cs="Arial" w:eastAsia="Arial" w:hAnsi="Arial"/>
          <w:sz w:val="14"/>
          <w:szCs w:val="14"/>
          <w:color w:val="auto"/>
        </w:rPr>
        <w:t xml:space="preserve">Furnish, at the request of any Holder requesting registration of Registrable Securities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on the date that such Registrable Securities are delivered to the underwriters for sale in connection with a registration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if such securities are being sold through underwriters, copies of (i) the opinion, dated as of such date, of the counsel representing the Company for the purposes of such registration given to the underwriters in such underwritten public offering, which opinion shall be in such form as is reasonably satisfactory to counsel to the underwriters, and (ii) the letter dated as of such date, from the independent certified public accountants of the Company, to the underwriters in such underwritten public offering, addressed to the underwriters, which letter shall be in such form as is reasonably satisfactory to counsel to the underwriters.</w:t>
      </w:r>
    </w:p>
    <w:p>
      <w:pPr>
        <w:spacing w:after="0" w:line="143" w:lineRule="exact"/>
        <w:rPr>
          <w:sz w:val="20"/>
          <w:szCs w:val="20"/>
          <w:color w:val="auto"/>
        </w:rPr>
      </w:pPr>
    </w:p>
    <w:p>
      <w:pPr>
        <w:ind w:right="220" w:firstLine="556"/>
        <w:spacing w:after="0" w:line="273"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Furnish Information</w:t>
      </w:r>
      <w:r>
        <w:rPr>
          <w:rFonts w:ascii="Arial" w:cs="Arial" w:eastAsia="Arial" w:hAnsi="Arial"/>
          <w:sz w:val="15"/>
          <w:szCs w:val="15"/>
          <w:color w:val="auto"/>
        </w:rPr>
        <w:t xml:space="preserve">. It shall be a condition precedent to the obligations of the Company to take any action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required to effect the registration of such Holder’s Registrable Securities.</w:t>
      </w:r>
    </w:p>
    <w:p>
      <w:pPr>
        <w:spacing w:after="0" w:line="153" w:lineRule="exact"/>
        <w:rPr>
          <w:sz w:val="20"/>
          <w:szCs w:val="20"/>
          <w:color w:val="auto"/>
        </w:rPr>
      </w:pPr>
    </w:p>
    <w:p>
      <w:pPr>
        <w:ind w:firstLine="556"/>
        <w:spacing w:after="0" w:line="280"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Expenses of Demand and S-3 Registrations</w:t>
      </w:r>
      <w:r>
        <w:rPr>
          <w:rFonts w:ascii="Arial" w:cs="Arial" w:eastAsia="Arial" w:hAnsi="Arial"/>
          <w:sz w:val="14"/>
          <w:szCs w:val="14"/>
          <w:color w:val="auto"/>
        </w:rPr>
        <w:t xml:space="preserve">. The Company shall pay all expenses other than underwriting discounts and commissions incurred in connection with registrations, filings, or qualifications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3.4</w:t>
      </w:r>
      <w:r>
        <w:rPr>
          <w:rFonts w:ascii="Arial" w:cs="Arial" w:eastAsia="Arial" w:hAnsi="Arial"/>
          <w:sz w:val="14"/>
          <w:szCs w:val="14"/>
          <w:color w:val="auto"/>
        </w:rPr>
        <w:t>, including (a) all registration, filing, and qualification fees (including filing fees with the SEC, fees due to the Financial Industry Regulatory Authority (“</w:t>
      </w:r>
      <w:r>
        <w:rPr>
          <w:rFonts w:ascii="Arial" w:cs="Arial" w:eastAsia="Arial" w:hAnsi="Arial"/>
          <w:sz w:val="14"/>
          <w:szCs w:val="14"/>
          <w:u w:val="single" w:color="auto"/>
          <w:color w:val="auto"/>
        </w:rPr>
        <w:t>FINRA</w:t>
      </w:r>
      <w:r>
        <w:rPr>
          <w:rFonts w:ascii="Arial" w:cs="Arial" w:eastAsia="Arial" w:hAnsi="Arial"/>
          <w:sz w:val="14"/>
          <w:szCs w:val="14"/>
          <w:color w:val="auto"/>
        </w:rPr>
        <w:t xml:space="preserve">”) and fees due for listing on any stock exchange, including Nasdaq); (b) printers and accounting fees; (c) fees and disbursements of counsel for the Company; and (d) the reasonable fees and disbursements of one counsel for the selling Holders; provided, however, that the Company shall not be required to pay for any expenses of any registration proceeding begun pursuant to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3.4</w:t>
      </w:r>
      <w:r>
        <w:rPr>
          <w:rFonts w:ascii="Arial" w:cs="Arial" w:eastAsia="Arial" w:hAnsi="Arial"/>
          <w:sz w:val="14"/>
          <w:szCs w:val="14"/>
          <w:color w:val="auto"/>
        </w:rPr>
        <w:t xml:space="preserve"> if the registration request is subsequently withdrawn at the request of the holders of at least sixty-six and two-thirds percent (66 2/3%) of the Registrable Securities then held by Preferred Stock Holders to be registered (in which case all Preferred Stock Holders participating in the aborted registration shall bear such expenses), unless the holders of at least sixty-six and two-thirds percent (66 2/3%) of the Registrable Securities then held by Preferred Stock Holders agree to forfeit their rights to a registration under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provided further, however, that if at the time of such withdrawal, the Preferred Stock Holders have either (i) learned of a material adverse change in the condition, business, or prospects of the Company from that known to the Preferred Stock Holders at the time of their request or (ii) been informed by the underwriters of such registration that more than twenty percent (20%) of the Registrable Securities requested for registration shall not be includable therein due to market factors, and in either such case the Preferred Stock Holders have withdrawn the request with reasonable promptness following such disclosure, then the Preferred Stock Holders shall not be required to pay such expenses and shall retain their rights pursuant to </w:t>
      </w:r>
      <w:r>
        <w:rPr>
          <w:rFonts w:ascii="Arial" w:cs="Arial" w:eastAsia="Arial" w:hAnsi="Arial"/>
          <w:sz w:val="14"/>
          <w:szCs w:val="14"/>
          <w:u w:val="single" w:color="auto"/>
          <w:color w:val="auto"/>
        </w:rPr>
        <w:t>Sections 3.2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3.4</w:t>
      </w:r>
      <w:r>
        <w:rPr>
          <w:rFonts w:ascii="Arial" w:cs="Arial" w:eastAsia="Arial" w:hAnsi="Arial"/>
          <w:sz w:val="14"/>
          <w:szCs w:val="14"/>
          <w:color w:val="auto"/>
        </w:rPr>
        <w:t>.</w:t>
      </w:r>
    </w:p>
    <w:p>
      <w:pPr>
        <w:spacing w:after="0" w:line="155" w:lineRule="exact"/>
        <w:rPr>
          <w:sz w:val="20"/>
          <w:szCs w:val="20"/>
          <w:color w:val="auto"/>
        </w:rPr>
      </w:pPr>
    </w:p>
    <w:p>
      <w:pPr>
        <w:ind w:right="440" w:firstLine="556"/>
        <w:spacing w:after="0" w:line="289"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Expenses of “Piggy-Back” Registration</w:t>
      </w:r>
      <w:r>
        <w:rPr>
          <w:rFonts w:ascii="Arial" w:cs="Arial" w:eastAsia="Arial" w:hAnsi="Arial"/>
          <w:sz w:val="15"/>
          <w:szCs w:val="15"/>
          <w:color w:val="auto"/>
        </w:rPr>
        <w:t>. The Company shall pay all expenses incurred in connection with any registration, filing, or qualification of Registrable Securities with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 xml:space="preserve">respect to the registrations pursuant to </w:t>
      </w:r>
      <w:r>
        <w:rPr>
          <w:rFonts w:ascii="Arial" w:cs="Arial" w:eastAsia="Arial" w:hAnsi="Arial"/>
          <w:sz w:val="15"/>
          <w:szCs w:val="15"/>
          <w:u w:val="single" w:color="auto"/>
          <w:color w:val="auto"/>
        </w:rPr>
        <w:t>Section 3.3</w:t>
      </w:r>
      <w:r>
        <w:rPr>
          <w:rFonts w:ascii="Arial" w:cs="Arial" w:eastAsia="Arial" w:hAnsi="Arial"/>
          <w:sz w:val="15"/>
          <w:szCs w:val="15"/>
          <w:color w:val="auto"/>
        </w:rPr>
        <w:t xml:space="preserve"> for each Holder, including all registration, filing, and qualification fees, printers and accounting fees relating or apportionable thereto, and the fees and disbursements of one counsel for the selling Holders selected by them, but excluding stock transfer taxes, underwriting discounts and commissions relating to the Registrable Securities.</w:t>
      </w:r>
    </w:p>
    <w:p>
      <w:pPr>
        <w:spacing w:after="0" w:line="153" w:lineRule="exact"/>
        <w:rPr>
          <w:sz w:val="20"/>
          <w:szCs w:val="20"/>
          <w:color w:val="auto"/>
        </w:rPr>
      </w:pPr>
    </w:p>
    <w:p>
      <w:pPr>
        <w:ind w:right="480" w:firstLine="556"/>
        <w:spacing w:after="0" w:line="289"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Delay of Registration</w:t>
      </w:r>
      <w:r>
        <w:rPr>
          <w:rFonts w:ascii="Arial" w:cs="Arial" w:eastAsia="Arial" w:hAnsi="Arial"/>
          <w:sz w:val="15"/>
          <w:szCs w:val="15"/>
          <w:color w:val="auto"/>
        </w:rPr>
        <w:t xml:space="preserve">. No Holder shall have any right to obtain or seek an injunction restraining or otherwise delaying any such registration as the result of any controversy that might arise with respect to the interpretation or implementation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41"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 In the event any Registrable Securities are included in a registration statement under this</w:t>
      </w:r>
      <w:r>
        <w:rPr>
          <w:rFonts w:ascii="Arial" w:cs="Arial" w:eastAsia="Arial" w:hAnsi="Arial"/>
          <w:sz w:val="13"/>
          <w:szCs w:val="13"/>
          <w:u w:val="single" w:color="auto"/>
          <w:color w:val="auto"/>
        </w:rPr>
        <w:t xml:space="preserve"> Section 3</w:t>
      </w:r>
      <w:r>
        <w:rPr>
          <w:rFonts w:ascii="Arial" w:cs="Arial" w:eastAsia="Arial" w:hAnsi="Arial"/>
          <w:sz w:val="13"/>
          <w:szCs w:val="13"/>
          <w:color w:val="auto"/>
        </w:rPr>
        <w:t>:</w:t>
      </w:r>
    </w:p>
    <w:p>
      <w:pPr>
        <w:spacing w:after="0" w:line="198" w:lineRule="exact"/>
        <w:rPr>
          <w:sz w:val="20"/>
          <w:szCs w:val="20"/>
          <w:color w:val="auto"/>
        </w:rPr>
      </w:pPr>
    </w:p>
    <w:p>
      <w:pPr>
        <w:ind w:right="40" w:firstLine="1104"/>
        <w:spacing w:after="0" w:line="280" w:lineRule="auto"/>
        <w:tabs>
          <w:tab w:leader="none" w:pos="1665"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To the extent permitted by law, the Company will indemnify and hold harmless each Holder, any underwriter (as defined in the Act) for such Holder, and each person (if any) who controls such Holder (a “</w:t>
      </w:r>
      <w:r>
        <w:rPr>
          <w:rFonts w:ascii="Arial" w:cs="Arial" w:eastAsia="Arial" w:hAnsi="Arial"/>
          <w:sz w:val="14"/>
          <w:szCs w:val="14"/>
          <w:u w:val="single" w:color="auto"/>
          <w:color w:val="auto"/>
        </w:rPr>
        <w:t>Controlling Person</w:t>
      </w:r>
      <w:r>
        <w:rPr>
          <w:rFonts w:ascii="Arial" w:cs="Arial" w:eastAsia="Arial" w:hAnsi="Arial"/>
          <w:sz w:val="14"/>
          <w:szCs w:val="14"/>
          <w:color w:val="auto"/>
        </w:rPr>
        <w:t>”) or underwriter within the meaning of the Act or the 1934 Act, against any losses, claims, damages, or liabilities joint or several) to which they may become subject under the Act, the 1934 Act, or other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4"/>
          <w:szCs w:val="14"/>
          <w:u w:val="single" w:color="auto"/>
          <w:color w:val="auto"/>
        </w:rPr>
        <w:t>Violation</w:t>
      </w:r>
      <w:r>
        <w:rPr>
          <w:rFonts w:ascii="Arial" w:cs="Arial" w:eastAsia="Arial" w:hAnsi="Arial"/>
          <w:sz w:val="14"/>
          <w:szCs w:val="14"/>
          <w:color w:val="auto"/>
        </w:rPr>
        <w:t xml:space="preserve">”)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Act, the 1934 Act, any state securities law, or any rule or regulation promulgated under the Act, the 1934 Act, or any state securities law; and the Company will pay to each such Holder, underwriter, or Controlling Person, as incurred, any legal or other expenses reasonably incurred by them in connection with investigating or defending any such loss, claim, damage, liability, or action; provided, however, that the indemnity agreement contained in this </w:t>
      </w:r>
      <w:r>
        <w:rPr>
          <w:rFonts w:ascii="Arial" w:cs="Arial" w:eastAsia="Arial" w:hAnsi="Arial"/>
          <w:sz w:val="14"/>
          <w:szCs w:val="14"/>
          <w:u w:val="single" w:color="auto"/>
          <w:color w:val="auto"/>
        </w:rPr>
        <w:t>Section 3.10(a)</w:t>
      </w:r>
      <w:r>
        <w:rPr>
          <w:rFonts w:ascii="Arial" w:cs="Arial" w:eastAsia="Arial" w:hAnsi="Arial"/>
          <w:sz w:val="14"/>
          <w:szCs w:val="14"/>
          <w:color w:val="auto"/>
        </w:rPr>
        <w:t xml:space="preserve">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any such Holder, underwriter, or Controlling Person.</w:t>
      </w:r>
    </w:p>
    <w:p>
      <w:pPr>
        <w:spacing w:after="0" w:line="155" w:lineRule="exact"/>
        <w:rPr>
          <w:rFonts w:ascii="Arial" w:cs="Arial" w:eastAsia="Arial" w:hAnsi="Arial"/>
          <w:sz w:val="14"/>
          <w:szCs w:val="14"/>
          <w:color w:val="auto"/>
        </w:rPr>
      </w:pPr>
    </w:p>
    <w:p>
      <w:pPr>
        <w:ind w:right="40" w:firstLine="1104"/>
        <w:spacing w:after="0" w:line="264" w:lineRule="auto"/>
        <w:tabs>
          <w:tab w:leader="none" w:pos="167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or other federal or state law, insofar as such losses, claims, damages, or liabilities (or actions in respect thereto) arise out of or are based upon (i) any Violation, in each case to the extent (and only to the extent) that such Violation occurs in reliance upon and in conformity with written information furnished by such Holder expressly for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 xml:space="preserve">use in connection with such registration or (ii) any violation or alleged violation by such Holder of the Act, the 1934 Act, any state securities law, or any rule or regulation promulgated under the Act, the 1934 Act, or any state securities law; and each such Holder will pay, as incurred, any legal or other expenses reasonably incurred by any person intended to be indemnified pursuant to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in connection with investigating or defending any such loss, claim, damage, liability, or action; provided, however, that the indemnity agreement contained in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shall not apply to amounts paid in settlement of any such loss, claim, damage, liability, or action if such settlement is effected without the consent of such indemnifying Holder, which consent shall not be unreasonably withheld; and further provided that in no event shall any indemnity under this </w:t>
      </w:r>
      <w:r>
        <w:rPr>
          <w:rFonts w:ascii="Arial" w:cs="Arial" w:eastAsia="Arial" w:hAnsi="Arial"/>
          <w:sz w:val="15"/>
          <w:szCs w:val="15"/>
          <w:u w:val="single" w:color="auto"/>
          <w:color w:val="auto"/>
        </w:rPr>
        <w:t>Section 3.10(b)</w:t>
      </w:r>
      <w:r>
        <w:rPr>
          <w:rFonts w:ascii="Arial" w:cs="Arial" w:eastAsia="Arial" w:hAnsi="Arial"/>
          <w:sz w:val="15"/>
          <w:szCs w:val="15"/>
          <w:color w:val="auto"/>
        </w:rPr>
        <w:t xml:space="preserve"> exceed the net proceeds from the offering received by such indemnifying Holder.</w:t>
      </w:r>
    </w:p>
    <w:p>
      <w:pPr>
        <w:spacing w:after="0" w:line="159" w:lineRule="exact"/>
        <w:rPr>
          <w:sz w:val="20"/>
          <w:szCs w:val="20"/>
          <w:color w:val="auto"/>
        </w:rPr>
      </w:pPr>
    </w:p>
    <w:p>
      <w:pPr>
        <w:ind w:firstLine="1104"/>
        <w:spacing w:after="0" w:line="261" w:lineRule="auto"/>
        <w:tabs>
          <w:tab w:leader="none" w:pos="167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Promptly after receipt by an indemnified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which may be represented without conflict by one counsel) shall have the right to retain one separate counsel and participate in the defense,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but the omission so to deliver written notice to the indemnifying party will not relieve the indemnifying party of any liability that it may have to any indemnified party otherwise than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jc w:val="both"/>
        <w:ind w:firstLine="1104"/>
        <w:spacing w:after="0" w:line="293" w:lineRule="auto"/>
        <w:tabs>
          <w:tab w:leader="none" w:pos="1674"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xml:space="preserve">If the indemnification provided for in this </w:t>
      </w:r>
      <w:r>
        <w:rPr>
          <w:rFonts w:ascii="Arial" w:cs="Arial" w:eastAsia="Arial" w:hAnsi="Arial"/>
          <w:sz w:val="14"/>
          <w:szCs w:val="14"/>
          <w:u w:val="single" w:color="auto"/>
          <w:color w:val="auto"/>
        </w:rPr>
        <w:t>Section 3.10</w:t>
      </w:r>
      <w:r>
        <w:rPr>
          <w:rFonts w:ascii="Arial" w:cs="Arial" w:eastAsia="Arial" w:hAnsi="Arial"/>
          <w:sz w:val="14"/>
          <w:szCs w:val="14"/>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w:t>
      </w:r>
    </w:p>
    <w:p>
      <w:pPr>
        <w:sectPr>
          <w:pgSz w:w="11900" w:h="16838" w:orient="portrait"/>
          <w:cols w:equalWidth="0" w:num="1">
            <w:col w:w="11420"/>
          </w:cols>
          <w:pgMar w:left="240" w:top="129" w:right="239" w:bottom="0" w:gutter="0" w:footer="0" w:header="0"/>
        </w:sectPr>
      </w:pPr>
    </w:p>
    <w:bookmarkStart w:id="265" w:name="page266"/>
    <w:bookmarkEnd w:id="265"/>
    <w:p>
      <w:pPr>
        <w:ind w:left="7" w:right="20"/>
        <w:spacing w:after="0" w:line="273" w:lineRule="auto"/>
        <w:rPr>
          <w:sz w:val="20"/>
          <w:szCs w:val="20"/>
          <w:color w:val="auto"/>
        </w:rPr>
      </w:pPr>
      <w:r>
        <w:rPr>
          <w:rFonts w:ascii="Arial" w:cs="Arial" w:eastAsia="Arial" w:hAnsi="Arial"/>
          <w:sz w:val="15"/>
          <w:szCs w:val="15"/>
          <w:color w:val="auto"/>
        </w:rPr>
        <w:t>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5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80" w:firstLine="1104"/>
        <w:spacing w:after="0" w:line="289" w:lineRule="auto"/>
        <w:tabs>
          <w:tab w:leader="none" w:pos="168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40" w:lineRule="exact"/>
        <w:rPr>
          <w:rFonts w:ascii="Arial" w:cs="Arial" w:eastAsia="Arial" w:hAnsi="Arial"/>
          <w:sz w:val="15"/>
          <w:szCs w:val="15"/>
          <w:color w:val="auto"/>
        </w:rPr>
      </w:pPr>
    </w:p>
    <w:p>
      <w:pPr>
        <w:ind w:left="7" w:right="180" w:firstLine="1104"/>
        <w:spacing w:after="0" w:line="289" w:lineRule="auto"/>
        <w:tabs>
          <w:tab w:leader="none" w:pos="1679" w:val="left"/>
        </w:tabs>
        <w:numPr>
          <w:ilvl w:val="0"/>
          <w:numId w:val="160"/>
        </w:numPr>
        <w:rPr>
          <w:rFonts w:ascii="Arial" w:cs="Arial" w:eastAsia="Arial" w:hAnsi="Arial"/>
          <w:sz w:val="15"/>
          <w:szCs w:val="15"/>
          <w:color w:val="auto"/>
        </w:rPr>
      </w:pPr>
      <w:r>
        <w:rPr>
          <w:rFonts w:ascii="Arial" w:cs="Arial" w:eastAsia="Arial" w:hAnsi="Arial"/>
          <w:sz w:val="15"/>
          <w:szCs w:val="15"/>
          <w:color w:val="auto"/>
        </w:rPr>
        <w:t xml:space="preserve">The obligations of the Company and Holders under this </w:t>
      </w:r>
      <w:r>
        <w:rPr>
          <w:rFonts w:ascii="Arial" w:cs="Arial" w:eastAsia="Arial" w:hAnsi="Arial"/>
          <w:sz w:val="15"/>
          <w:szCs w:val="15"/>
          <w:u w:val="single" w:color="auto"/>
          <w:color w:val="auto"/>
        </w:rPr>
        <w:t>Section 3.10</w:t>
      </w:r>
      <w:r>
        <w:rPr>
          <w:rFonts w:ascii="Arial" w:cs="Arial" w:eastAsia="Arial" w:hAnsi="Arial"/>
          <w:sz w:val="15"/>
          <w:szCs w:val="15"/>
          <w:color w:val="auto"/>
        </w:rPr>
        <w:t xml:space="preserve"> shall survive the completion of any offering of Registrable Securities in a registration statement under this </w:t>
      </w:r>
      <w:r>
        <w:rPr>
          <w:rFonts w:ascii="Arial" w:cs="Arial" w:eastAsia="Arial" w:hAnsi="Arial"/>
          <w:sz w:val="15"/>
          <w:szCs w:val="15"/>
          <w:u w:val="single" w:color="auto"/>
          <w:color w:val="auto"/>
        </w:rPr>
        <w:t>Section 3</w:t>
      </w:r>
      <w:r>
        <w:rPr>
          <w:rFonts w:ascii="Arial" w:cs="Arial" w:eastAsia="Arial" w:hAnsi="Arial"/>
          <w:sz w:val="15"/>
          <w:szCs w:val="15"/>
          <w:color w:val="auto"/>
        </w:rPr>
        <w:t>, and otherwise.</w:t>
      </w:r>
    </w:p>
    <w:p>
      <w:pPr>
        <w:spacing w:after="0" w:line="141" w:lineRule="exact"/>
        <w:rPr>
          <w:sz w:val="20"/>
          <w:szCs w:val="20"/>
          <w:color w:val="auto"/>
        </w:rPr>
      </w:pPr>
    </w:p>
    <w:p>
      <w:pPr>
        <w:ind w:left="7" w:right="100" w:firstLine="556"/>
        <w:spacing w:after="0" w:line="273"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Reports Under Securities Exchange Act of 1934</w:t>
      </w:r>
      <w:r>
        <w:rPr>
          <w:rFonts w:ascii="Arial" w:cs="Arial" w:eastAsia="Arial" w:hAnsi="Arial"/>
          <w:sz w:val="15"/>
          <w:szCs w:val="15"/>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agrees to use its best efforts:</w:t>
      </w:r>
    </w:p>
    <w:p>
      <w:pPr>
        <w:spacing w:after="0" w:line="153" w:lineRule="exact"/>
        <w:rPr>
          <w:sz w:val="20"/>
          <w:szCs w:val="20"/>
          <w:color w:val="auto"/>
        </w:rPr>
      </w:pPr>
    </w:p>
    <w:p>
      <w:pPr>
        <w:ind w:left="7" w:firstLine="1104"/>
        <w:spacing w:after="0" w:line="227" w:lineRule="auto"/>
        <w:tabs>
          <w:tab w:leader="none" w:pos="1673"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to make and keep public information available, as those terms are understood and defined in SEC Rule 144, at all times from and after the ninetieth (90</w:t>
      </w:r>
      <w:r>
        <w:rPr>
          <w:rFonts w:ascii="Arial" w:cs="Arial" w:eastAsia="Arial" w:hAnsi="Arial"/>
          <w:sz w:val="20"/>
          <w:szCs w:val="20"/>
          <w:color w:val="auto"/>
          <w:vertAlign w:val="superscript"/>
        </w:rPr>
        <w:t>th</w:t>
      </w:r>
      <w:r>
        <w:rPr>
          <w:rFonts w:ascii="Arial" w:cs="Arial" w:eastAsia="Arial" w:hAnsi="Arial"/>
          <w:sz w:val="15"/>
          <w:szCs w:val="15"/>
          <w:color w:val="auto"/>
        </w:rPr>
        <w:t>) day following the effective date of the first registration statement filed by the Company for the offering of its securities to the general public;</w:t>
      </w:r>
    </w:p>
    <w:p>
      <w:pPr>
        <w:spacing w:after="0" w:line="175" w:lineRule="exact"/>
        <w:rPr>
          <w:rFonts w:ascii="Arial" w:cs="Arial" w:eastAsia="Arial" w:hAnsi="Arial"/>
          <w:sz w:val="15"/>
          <w:szCs w:val="15"/>
          <w:color w:val="auto"/>
        </w:rPr>
      </w:pPr>
    </w:p>
    <w:p>
      <w:pPr>
        <w:ind w:left="7" w:right="60" w:firstLine="1104"/>
        <w:spacing w:after="0" w:line="273" w:lineRule="auto"/>
        <w:tabs>
          <w:tab w:leader="none" w:pos="1681"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to take such action, including the voluntary registration of its Common Stock under Section 12 of the 1934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52" w:lineRule="exact"/>
        <w:rPr>
          <w:rFonts w:ascii="Arial" w:cs="Arial" w:eastAsia="Arial" w:hAnsi="Arial"/>
          <w:sz w:val="15"/>
          <w:szCs w:val="15"/>
          <w:color w:val="auto"/>
        </w:rPr>
      </w:pPr>
    </w:p>
    <w:p>
      <w:pPr>
        <w:ind w:left="1667" w:hanging="556"/>
        <w:spacing w:after="0"/>
        <w:tabs>
          <w:tab w:leader="none" w:pos="1667"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to file with the SEC in a timely manner all reports and other documents required of the Company under the Act and the 1934 Act; and</w:t>
      </w:r>
    </w:p>
    <w:p>
      <w:pPr>
        <w:spacing w:after="0" w:line="198" w:lineRule="exact"/>
        <w:rPr>
          <w:rFonts w:ascii="Arial" w:cs="Arial" w:eastAsia="Arial" w:hAnsi="Arial"/>
          <w:sz w:val="15"/>
          <w:szCs w:val="15"/>
          <w:color w:val="auto"/>
        </w:rPr>
      </w:pPr>
    </w:p>
    <w:p>
      <w:pPr>
        <w:ind w:left="7" w:right="100" w:firstLine="1104"/>
        <w:spacing w:after="0" w:line="247" w:lineRule="auto"/>
        <w:tabs>
          <w:tab w:leader="none" w:pos="1681"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to furnish to any Holder, so long as the Holder owns any Registrable Securities, forthwith upon request (i) a written statement by the Company that it has complied with the reporting requirements of SEC Rule 144 (at any time on or after the ninetieth (90</w:t>
      </w:r>
      <w:r>
        <w:rPr>
          <w:rFonts w:ascii="Arial" w:cs="Arial" w:eastAsia="Arial" w:hAnsi="Arial"/>
          <w:sz w:val="20"/>
          <w:szCs w:val="20"/>
          <w:color w:val="auto"/>
          <w:vertAlign w:val="superscript"/>
        </w:rPr>
        <w:t>th</w:t>
      </w:r>
      <w:r>
        <w:rPr>
          <w:rFonts w:ascii="Arial" w:cs="Arial" w:eastAsia="Arial" w:hAnsi="Arial"/>
          <w:sz w:val="15"/>
          <w:szCs w:val="15"/>
          <w:color w:val="auto"/>
        </w:rPr>
        <w:t>) day following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73" w:lineRule="exact"/>
        <w:rPr>
          <w:sz w:val="20"/>
          <w:szCs w:val="20"/>
          <w:color w:val="auto"/>
        </w:rPr>
      </w:pPr>
    </w:p>
    <w:p>
      <w:pPr>
        <w:ind w:left="7" w:right="40" w:firstLine="556"/>
        <w:spacing w:after="0" w:line="265"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Each Holder hereby agrees that, during the period of duration (not to exceed one hundred eighty (180) days, which period may be extended upon the request of the managing underwriter, to the extent required by any FINRA rules, for an additional period of up to fifteen (15) days if the Company issues or proposes to issue an earnings or other public release within fifteen (15) days of the expiration of the 180-day lockup period) specified by the Company and an underwriter of Common Stock or other securities of the Company, following the effective date of a registration statement of the Company filed under the Act, such Holder shall not, to the extent requested by the Company and such underwriter,</w:t>
      </w:r>
    </w:p>
    <w:p>
      <w:pPr>
        <w:spacing w:after="0" w:line="16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93" w:lineRule="auto"/>
        <w:rPr>
          <w:sz w:val="20"/>
          <w:szCs w:val="20"/>
          <w:color w:val="auto"/>
        </w:rPr>
      </w:pPr>
      <w:r>
        <w:rPr>
          <w:rFonts w:ascii="Arial" w:cs="Arial" w:eastAsia="Arial" w:hAnsi="Arial"/>
          <w:sz w:val="14"/>
          <w:szCs w:val="14"/>
          <w:color w:val="auto"/>
        </w:rPr>
        <w:t xml:space="preserve">directly or indirectly sell, offer to sell, contract to sell (including any short sale), grant any option to purchase, or otherwise transfer or dispose of (other than to donees who agree to be similarly bound) any securities of the Company held by it at any time during such period except Common Stock included in such registration; provided, however, that all officers and directors of the Company enter into similar agreements. The Company agrees that it shall not release any Holder (or any officer or director referred to hereinabove) from the obligations imposed pursuant to this </w:t>
      </w:r>
      <w:r>
        <w:rPr>
          <w:rFonts w:ascii="Arial" w:cs="Arial" w:eastAsia="Arial" w:hAnsi="Arial"/>
          <w:sz w:val="14"/>
          <w:szCs w:val="14"/>
          <w:u w:val="single" w:color="auto"/>
          <w:color w:val="auto"/>
        </w:rPr>
        <w:t>Section 3.12</w:t>
      </w:r>
      <w:r>
        <w:rPr>
          <w:rFonts w:ascii="Arial" w:cs="Arial" w:eastAsia="Arial" w:hAnsi="Arial"/>
          <w:sz w:val="14"/>
          <w:szCs w:val="14"/>
          <w:color w:val="auto"/>
        </w:rPr>
        <w:t xml:space="preserve"> unless all Holders are so released on a proportionate basis relative to their ownership of Registrable Securities.</w:t>
      </w:r>
    </w:p>
    <w:p>
      <w:pPr>
        <w:spacing w:after="0" w:line="140" w:lineRule="exact"/>
        <w:rPr>
          <w:sz w:val="20"/>
          <w:szCs w:val="20"/>
          <w:color w:val="auto"/>
        </w:rPr>
      </w:pPr>
    </w:p>
    <w:p>
      <w:pPr>
        <w:ind w:left="7" w:right="520" w:firstLine="556"/>
        <w:spacing w:after="0" w:line="289" w:lineRule="auto"/>
        <w:rPr>
          <w:sz w:val="20"/>
          <w:szCs w:val="20"/>
          <w:color w:val="auto"/>
        </w:rPr>
      </w:pPr>
      <w:r>
        <w:rPr>
          <w:rFonts w:ascii="Arial" w:cs="Arial" w:eastAsia="Arial" w:hAnsi="Arial"/>
          <w:sz w:val="15"/>
          <w:szCs w:val="15"/>
          <w:color w:val="auto"/>
        </w:rPr>
        <w:t>In order to enforce the foregoing covenant, the Company may impose stop-transfer instructions with respect to the Registrable Securities of a Holder (and the shares or securities of every other person subject to the foregoing restriction) until the end of such period.</w:t>
      </w:r>
    </w:p>
    <w:p>
      <w:pPr>
        <w:spacing w:after="0" w:line="141" w:lineRule="exact"/>
        <w:rPr>
          <w:sz w:val="20"/>
          <w:szCs w:val="20"/>
          <w:color w:val="auto"/>
        </w:rPr>
      </w:pPr>
    </w:p>
    <w:p>
      <w:pPr>
        <w:jc w:val="both"/>
        <w:ind w:left="7" w:firstLine="556"/>
        <w:spacing w:after="0" w:line="273" w:lineRule="auto"/>
        <w:rPr>
          <w:sz w:val="20"/>
          <w:szCs w:val="20"/>
          <w:color w:val="auto"/>
        </w:rPr>
      </w:pPr>
      <w:r>
        <w:rPr>
          <w:rFonts w:ascii="Arial" w:cs="Arial" w:eastAsia="Arial" w:hAnsi="Arial"/>
          <w:sz w:val="15"/>
          <w:szCs w:val="15"/>
          <w:color w:val="auto"/>
        </w:rPr>
        <w:t xml:space="preserve">Notwithstanding the foregoing, the obligations described in this </w:t>
      </w:r>
      <w:r>
        <w:rPr>
          <w:rFonts w:ascii="Arial" w:cs="Arial" w:eastAsia="Arial" w:hAnsi="Arial"/>
          <w:sz w:val="15"/>
          <w:szCs w:val="15"/>
          <w:u w:val="single" w:color="auto"/>
          <w:color w:val="auto"/>
        </w:rPr>
        <w:t>Section 3.12</w:t>
      </w:r>
      <w:r>
        <w:rPr>
          <w:rFonts w:ascii="Arial" w:cs="Arial" w:eastAsia="Arial" w:hAnsi="Arial"/>
          <w:sz w:val="15"/>
          <w:szCs w:val="15"/>
          <w:color w:val="auto"/>
        </w:rPr>
        <w:t xml:space="preserve"> shall not apply to a registration relating solely to employee benefit plans on Form S-1 or Form S-8 or similar forms which may be promulgated in the future, or a registration relating solely to a SEC Rule 145 transaction on Form S-4 or similar forms which may be promulgated in the future.</w:t>
      </w:r>
    </w:p>
    <w:p>
      <w:pPr>
        <w:spacing w:after="0" w:line="153" w:lineRule="exact"/>
        <w:rPr>
          <w:sz w:val="20"/>
          <w:szCs w:val="20"/>
          <w:color w:val="auto"/>
        </w:rPr>
      </w:pPr>
    </w:p>
    <w:p>
      <w:pPr>
        <w:ind w:left="7" w:right="100" w:firstLine="556"/>
        <w:spacing w:after="0" w:line="268"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Termination of Registration Rights</w:t>
      </w:r>
      <w:r>
        <w:rPr>
          <w:rFonts w:ascii="Arial" w:cs="Arial" w:eastAsia="Arial" w:hAnsi="Arial"/>
          <w:sz w:val="15"/>
          <w:szCs w:val="15"/>
          <w:color w:val="auto"/>
        </w:rPr>
        <w:t xml:space="preserve">. No Holder shall be entitled to exercise any right provided for in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after the earlier of (i) five (5) years following the consummation of the sale of securities pursuant to a registration statement filed by the Company under the Act in connection with the initial firm commitment underwritten offering of its securities to the general public, or (ii) when the Registrable Securities held by such Holder (together with any Affiliate of such Holder with whom such Holder must aggregate its sales under SEC Rule 144) could be sold without restriction under SEC Rule 144(b)(1) within a ninety (90) day period.</w:t>
      </w:r>
    </w:p>
    <w:p>
      <w:pPr>
        <w:spacing w:after="0" w:line="156" w:lineRule="exact"/>
        <w:rPr>
          <w:sz w:val="20"/>
          <w:szCs w:val="20"/>
          <w:color w:val="auto"/>
        </w:rPr>
      </w:pPr>
    </w:p>
    <w:p>
      <w:pPr>
        <w:ind w:left="547" w:hanging="547"/>
        <w:spacing w:after="0"/>
        <w:tabs>
          <w:tab w:leader="none" w:pos="547"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Transfers of Certain Rights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547"/>
        <w:spacing w:after="0"/>
        <w:rPr>
          <w:rFonts w:ascii="Arial" w:cs="Arial" w:eastAsia="Arial" w:hAnsi="Arial"/>
          <w:sz w:val="15"/>
          <w:szCs w:val="15"/>
          <w:color w:val="auto"/>
        </w:rPr>
      </w:pPr>
      <w:r>
        <w:rPr>
          <w:rFonts w:ascii="Arial" w:cs="Arial" w:eastAsia="Arial" w:hAnsi="Arial"/>
          <w:sz w:val="15"/>
          <w:szCs w:val="15"/>
          <w:color w:val="auto"/>
        </w:rPr>
        <w:t>4.1.</w:t>
      </w:r>
      <w:r>
        <w:rPr>
          <w:rFonts w:ascii="Arial" w:cs="Arial" w:eastAsia="Arial" w:hAnsi="Arial"/>
          <w:sz w:val="13"/>
          <w:szCs w:val="13"/>
          <w:u w:val="single" w:color="auto"/>
          <w:color w:val="auto"/>
        </w:rPr>
        <w:t>Permitted Transferees</w:t>
      </w:r>
      <w:r>
        <w:rPr>
          <w:rFonts w:ascii="Arial" w:cs="Arial" w:eastAsia="Arial" w:hAnsi="Arial"/>
          <w:sz w:val="13"/>
          <w:szCs w:val="13"/>
          <w:color w:val="auto"/>
        </w:rPr>
        <w:t>.</w:t>
      </w:r>
    </w:p>
    <w:p>
      <w:pPr>
        <w:spacing w:after="0" w:line="198" w:lineRule="exact"/>
        <w:rPr>
          <w:rFonts w:ascii="Arial" w:cs="Arial" w:eastAsia="Arial" w:hAnsi="Arial"/>
          <w:sz w:val="15"/>
          <w:szCs w:val="15"/>
          <w:color w:val="auto"/>
        </w:rPr>
      </w:pPr>
    </w:p>
    <w:p>
      <w:pPr>
        <w:ind w:left="7" w:right="180" w:firstLine="1104"/>
        <w:spacing w:after="0" w:line="293" w:lineRule="auto"/>
        <w:tabs>
          <w:tab w:leader="none" w:pos="1673" w:val="left"/>
        </w:tabs>
        <w:numPr>
          <w:ilvl w:val="1"/>
          <w:numId w:val="162"/>
        </w:numPr>
        <w:rPr>
          <w:rFonts w:ascii="Arial" w:cs="Arial" w:eastAsia="Arial" w:hAnsi="Arial"/>
          <w:sz w:val="14"/>
          <w:szCs w:val="14"/>
          <w:color w:val="auto"/>
        </w:rPr>
      </w:pPr>
      <w:r>
        <w:rPr>
          <w:rFonts w:ascii="Arial" w:cs="Arial" w:eastAsia="Arial" w:hAnsi="Arial"/>
          <w:sz w:val="14"/>
          <w:szCs w:val="14"/>
          <w:color w:val="auto"/>
        </w:rPr>
        <w:t>The rights granted to the Purchasers under this Agreement may be transferred to (i) any other Purchaser or any general or limited partner, affiliated fund or member thereof, officer or other affiliate of any Purchaser or any entity or person that controls, or is controlled by, or is under common control with such Purchaser (“</w:t>
      </w:r>
      <w:r>
        <w:rPr>
          <w:rFonts w:ascii="Arial" w:cs="Arial" w:eastAsia="Arial" w:hAnsi="Arial"/>
          <w:sz w:val="14"/>
          <w:szCs w:val="14"/>
          <w:u w:val="single" w:color="auto"/>
          <w:color w:val="auto"/>
        </w:rPr>
        <w:t>Affiliates</w:t>
      </w:r>
      <w:r>
        <w:rPr>
          <w:rFonts w:ascii="Arial" w:cs="Arial" w:eastAsia="Arial" w:hAnsi="Arial"/>
          <w:sz w:val="14"/>
          <w:szCs w:val="14"/>
          <w:color w:val="auto"/>
        </w:rPr>
        <w:t>”) or (ii) any other person or entity that acquires at least 600,000 shares of Senior Preferred Stock or Common Stock; provided, however, that the Company is given written notice by the transferee at the time of such transfer stating the name and address of the transferee and identifying the securities with respect to which such rights are being assigned.</w:t>
      </w:r>
    </w:p>
    <w:p>
      <w:pPr>
        <w:spacing w:after="0" w:line="140" w:lineRule="exact"/>
        <w:rPr>
          <w:rFonts w:ascii="Arial" w:cs="Arial" w:eastAsia="Arial" w:hAnsi="Arial"/>
          <w:sz w:val="14"/>
          <w:szCs w:val="14"/>
          <w:color w:val="auto"/>
        </w:rPr>
      </w:pPr>
    </w:p>
    <w:p>
      <w:pPr>
        <w:ind w:left="7" w:right="160" w:firstLine="1104"/>
        <w:spacing w:after="0" w:line="302" w:lineRule="auto"/>
        <w:tabs>
          <w:tab w:leader="none" w:pos="1681" w:val="left"/>
        </w:tabs>
        <w:numPr>
          <w:ilvl w:val="1"/>
          <w:numId w:val="162"/>
        </w:numPr>
        <w:rPr>
          <w:rFonts w:ascii="Arial" w:cs="Arial" w:eastAsia="Arial" w:hAnsi="Arial"/>
          <w:sz w:val="14"/>
          <w:szCs w:val="14"/>
          <w:color w:val="auto"/>
        </w:rPr>
      </w:pPr>
      <w:r>
        <w:rPr>
          <w:rFonts w:ascii="Arial" w:cs="Arial" w:eastAsia="Arial" w:hAnsi="Arial"/>
          <w:sz w:val="14"/>
          <w:szCs w:val="14"/>
          <w:color w:val="auto"/>
        </w:rPr>
        <w:t>All, but not less than all, of the rights granted to RUSNANO under this Agreement may be transferred to an Affiliate of RUSNANO in connection with the transfer all of the shares of capital stock of the Company held by RUSNANO to such transferee; provided, however, that the Company is given written notice by the transferee at the time of such transfer stating the name and address of the transferee and identifying the securities with respect to which such rights are being assigned.</w:t>
      </w:r>
    </w:p>
    <w:p>
      <w:pPr>
        <w:spacing w:after="0" w:line="13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7" w:right="420" w:firstLine="1104"/>
        <w:spacing w:after="0" w:line="289" w:lineRule="auto"/>
        <w:tabs>
          <w:tab w:leader="none" w:pos="1684"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Brigham shall be permitted to apportion its rights under this Agreement among itself and its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Affiliates agree in writing to become parties to this Agreement.</w:t>
      </w:r>
    </w:p>
    <w:p>
      <w:pPr>
        <w:spacing w:after="0" w:line="141" w:lineRule="exact"/>
        <w:rPr>
          <w:sz w:val="20"/>
          <w:szCs w:val="20"/>
          <w:color w:val="auto"/>
        </w:rPr>
      </w:pPr>
    </w:p>
    <w:p>
      <w:pPr>
        <w:ind w:left="7" w:right="20" w:firstLine="556"/>
        <w:spacing w:after="0" w:line="28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Subsequent Transfers</w:t>
      </w:r>
      <w:r>
        <w:rPr>
          <w:rFonts w:ascii="Arial" w:cs="Arial" w:eastAsia="Arial" w:hAnsi="Arial"/>
          <w:sz w:val="15"/>
          <w:szCs w:val="15"/>
          <w:color w:val="auto"/>
        </w:rPr>
        <w:t xml:space="preserve">. A transferee to whom rights are transferred pursuant to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may not again transfer such rights to any other person or entity, other than as provided in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above.</w:t>
      </w:r>
    </w:p>
    <w:p>
      <w:pPr>
        <w:spacing w:after="0" w:line="141" w:lineRule="exact"/>
        <w:rPr>
          <w:sz w:val="20"/>
          <w:szCs w:val="20"/>
          <w:color w:val="auto"/>
        </w:rPr>
      </w:pPr>
    </w:p>
    <w:p>
      <w:pPr>
        <w:ind w:left="7" w:right="80" w:firstLine="556"/>
        <w:spacing w:after="0" w:line="28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Legends</w:t>
      </w:r>
      <w:r>
        <w:rPr>
          <w:rFonts w:ascii="Arial" w:cs="Arial" w:eastAsia="Arial" w:hAnsi="Arial"/>
          <w:sz w:val="15"/>
          <w:szCs w:val="15"/>
          <w:color w:val="auto"/>
        </w:rPr>
        <w:t>. Each certificate representing the shares of Senior Preferred Stock or Series SRN Preferred Stock shall bear a legend indicating that any holder of such stock shall be subject to this Agreement.</w:t>
      </w:r>
    </w:p>
    <w:p>
      <w:pPr>
        <w:spacing w:after="0" w:line="141" w:lineRule="exact"/>
        <w:rPr>
          <w:sz w:val="20"/>
          <w:szCs w:val="20"/>
          <w:color w:val="auto"/>
        </w:rPr>
      </w:pPr>
    </w:p>
    <w:p>
      <w:pPr>
        <w:ind w:left="7" w:right="280" w:firstLine="556"/>
        <w:spacing w:after="0" w:line="289"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Aggregation of Stock</w:t>
      </w:r>
      <w:r>
        <w:rPr>
          <w:rFonts w:ascii="Arial" w:cs="Arial" w:eastAsia="Arial" w:hAnsi="Arial"/>
          <w:sz w:val="15"/>
          <w:szCs w:val="15"/>
          <w:color w:val="auto"/>
        </w:rPr>
        <w:t>. All shares held or acquired by Affiliates shall be aggregated together for the purpose of determining the availability of any rights under this Agreement.</w:t>
      </w:r>
    </w:p>
    <w:p>
      <w:pPr>
        <w:sectPr>
          <w:pgSz w:w="11900" w:h="16838" w:orient="portrait"/>
          <w:cols w:equalWidth="0" w:num="1">
            <w:col w:w="11407"/>
          </w:cols>
          <w:pgMar w:left="233" w:top="129" w:right="259" w:bottom="0" w:gutter="0" w:footer="0" w:header="0"/>
        </w:sectPr>
      </w:pPr>
    </w:p>
    <w:bookmarkStart w:id="266" w:name="page267"/>
    <w:bookmarkEnd w:id="266"/>
    <w:p>
      <w:pPr>
        <w:spacing w:after="0" w:line="6" w:lineRule="exact"/>
        <w:rPr>
          <w:sz w:val="20"/>
          <w:szCs w:val="20"/>
          <w:color w:val="auto"/>
        </w:rPr>
      </w:pPr>
    </w:p>
    <w:p>
      <w:pPr>
        <w:ind w:left="547" w:hanging="547"/>
        <w:spacing w:after="0"/>
        <w:tabs>
          <w:tab w:leader="none" w:pos="547"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Negative Covenants of the Company</w:t>
      </w:r>
      <w:r>
        <w:rPr>
          <w:rFonts w:ascii="Arial" w:cs="Arial" w:eastAsia="Arial" w:hAnsi="Arial"/>
          <w:sz w:val="15"/>
          <w:szCs w:val="15"/>
          <w:color w:val="auto"/>
        </w:rPr>
        <w:t>.</w:t>
      </w:r>
    </w:p>
    <w:p>
      <w:pPr>
        <w:spacing w:after="0" w:line="198" w:lineRule="exact"/>
        <w:rPr>
          <w:sz w:val="20"/>
          <w:szCs w:val="20"/>
          <w:color w:val="auto"/>
        </w:rPr>
      </w:pPr>
    </w:p>
    <w:p>
      <w:pPr>
        <w:ind w:left="7" w:right="420" w:firstLine="556"/>
        <w:spacing w:after="0" w:line="273" w:lineRule="auto"/>
        <w:rPr>
          <w:sz w:val="20"/>
          <w:szCs w:val="20"/>
          <w:color w:val="auto"/>
        </w:rPr>
      </w:pPr>
      <w:r>
        <w:rPr>
          <w:rFonts w:ascii="Arial" w:cs="Arial" w:eastAsia="Arial" w:hAnsi="Arial"/>
          <w:sz w:val="15"/>
          <w:szCs w:val="15"/>
          <w:color w:val="auto"/>
        </w:rPr>
        <w:t>5.1. Without limiting any other covenants and provisions hereof, the Company covenants and agrees that, until the closing of a Qualified Public Offering, it will not, without the vote or written consent of the Board of Directors, including, in all cases, the affirmative vote or consent of a majority of the Preferred Directors, and with respect to Section 5.1 (ii) below, the affirmative vote or consent of the director appointed by RUSNANO:</w:t>
      </w:r>
    </w:p>
    <w:p>
      <w:pPr>
        <w:spacing w:after="0" w:line="153" w:lineRule="exact"/>
        <w:rPr>
          <w:sz w:val="20"/>
          <w:szCs w:val="20"/>
          <w:color w:val="auto"/>
        </w:rPr>
      </w:pPr>
    </w:p>
    <w:p>
      <w:pPr>
        <w:ind w:left="2487" w:hanging="820"/>
        <w:spacing w:after="0"/>
        <w:tabs>
          <w:tab w:leader="none" w:pos="2487"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incur any indebtedness for borrowed money, in a single or related series of transactions, in an amount in excess of $250,000;</w:t>
      </w:r>
    </w:p>
    <w:p>
      <w:pPr>
        <w:spacing w:after="0" w:line="198" w:lineRule="exact"/>
        <w:rPr>
          <w:rFonts w:ascii="Arial" w:cs="Arial" w:eastAsia="Arial" w:hAnsi="Arial"/>
          <w:sz w:val="15"/>
          <w:szCs w:val="15"/>
          <w:color w:val="auto"/>
        </w:rPr>
      </w:pPr>
    </w:p>
    <w:p>
      <w:pPr>
        <w:ind w:left="7" w:right="660" w:firstLine="1660"/>
        <w:spacing w:after="0" w:line="289" w:lineRule="auto"/>
        <w:tabs>
          <w:tab w:leader="none" w:pos="2501" w:val="left"/>
        </w:tabs>
        <w:numPr>
          <w:ilvl w:val="0"/>
          <w:numId w:val="165"/>
        </w:numPr>
        <w:rPr>
          <w:rFonts w:ascii="Arial" w:cs="Arial" w:eastAsia="Arial" w:hAnsi="Arial"/>
          <w:sz w:val="15"/>
          <w:szCs w:val="15"/>
          <w:color w:val="auto"/>
        </w:rPr>
      </w:pPr>
      <w:r>
        <w:rPr>
          <w:rFonts w:ascii="Arial" w:cs="Arial" w:eastAsia="Arial" w:hAnsi="Arial"/>
          <w:sz w:val="15"/>
          <w:szCs w:val="15"/>
          <w:color w:val="auto"/>
        </w:rPr>
        <w:t>create or authorize the creation of any debt security or incur any indebtedness for borrowed money with a final maturity date after the November 7, 2019, other than equipment leases or other trade credit incurred in the ordinary course of business;</w:t>
      </w:r>
    </w:p>
    <w:p>
      <w:pPr>
        <w:spacing w:after="0" w:line="140" w:lineRule="exact"/>
        <w:rPr>
          <w:rFonts w:ascii="Arial" w:cs="Arial" w:eastAsia="Arial" w:hAnsi="Arial"/>
          <w:sz w:val="15"/>
          <w:szCs w:val="15"/>
          <w:color w:val="auto"/>
        </w:rPr>
      </w:pPr>
    </w:p>
    <w:p>
      <w:pPr>
        <w:jc w:val="both"/>
        <w:ind w:left="7" w:firstLine="1660"/>
        <w:spacing w:after="0" w:line="273" w:lineRule="auto"/>
        <w:tabs>
          <w:tab w:leader="none" w:pos="2509" w:val="left"/>
        </w:tabs>
        <w:numPr>
          <w:ilvl w:val="0"/>
          <w:numId w:val="165"/>
        </w:numPr>
        <w:rPr>
          <w:rFonts w:ascii="Arial" w:cs="Arial" w:eastAsia="Arial" w:hAnsi="Arial"/>
          <w:sz w:val="15"/>
          <w:szCs w:val="15"/>
          <w:color w:val="auto"/>
        </w:rPr>
      </w:pPr>
      <w:r>
        <w:rPr>
          <w:rFonts w:ascii="Arial" w:cs="Arial" w:eastAsia="Arial" w:hAnsi="Arial"/>
          <w:sz w:val="15"/>
          <w:szCs w:val="15"/>
          <w:color w:val="auto"/>
        </w:rPr>
        <w:t>create or authorize the creation of any debt security or incur any aggregate indebtedness in excess of $5,000,000 that is not already included in a budget approved by the Board of Directors, other than equipment leases, lines of credit, debt financing approved by the Board of Directors, or other trade credit incurred in the ordinary course of business;</w:t>
      </w:r>
    </w:p>
    <w:p>
      <w:pPr>
        <w:spacing w:after="0" w:line="152" w:lineRule="exact"/>
        <w:rPr>
          <w:rFonts w:ascii="Arial" w:cs="Arial" w:eastAsia="Arial" w:hAnsi="Arial"/>
          <w:sz w:val="15"/>
          <w:szCs w:val="15"/>
          <w:color w:val="auto"/>
        </w:rPr>
      </w:pPr>
    </w:p>
    <w:p>
      <w:pPr>
        <w:ind w:left="7" w:right="440" w:firstLine="1660"/>
        <w:spacing w:after="0" w:line="289" w:lineRule="auto"/>
        <w:tabs>
          <w:tab w:leader="none" w:pos="2489"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incur or make, in any fiscal year, any capital expenditures in excess of $250,000 above the amount contained in the annual operating plan (referenced in </w:t>
      </w:r>
      <w:r>
        <w:rPr>
          <w:rFonts w:ascii="Arial" w:cs="Arial" w:eastAsia="Arial" w:hAnsi="Arial"/>
          <w:sz w:val="15"/>
          <w:szCs w:val="15"/>
          <w:u w:val="single" w:color="auto"/>
          <w:color w:val="auto"/>
        </w:rPr>
        <w:t>Section 1.2</w:t>
      </w:r>
      <w:r>
        <w:rPr>
          <w:rFonts w:ascii="Arial" w:cs="Arial" w:eastAsia="Arial" w:hAnsi="Arial"/>
          <w:sz w:val="15"/>
          <w:szCs w:val="15"/>
          <w:color w:val="auto"/>
        </w:rPr>
        <w:t>) for such fiscal year; or</w:t>
      </w:r>
    </w:p>
    <w:p>
      <w:pPr>
        <w:spacing w:after="0" w:line="140" w:lineRule="exact"/>
        <w:rPr>
          <w:rFonts w:ascii="Arial" w:cs="Arial" w:eastAsia="Arial" w:hAnsi="Arial"/>
          <w:sz w:val="15"/>
          <w:szCs w:val="15"/>
          <w:color w:val="auto"/>
        </w:rPr>
      </w:pPr>
    </w:p>
    <w:p>
      <w:pPr>
        <w:ind w:left="7" w:right="160" w:firstLine="1660"/>
        <w:spacing w:after="0" w:line="289" w:lineRule="auto"/>
        <w:tabs>
          <w:tab w:leader="none" w:pos="2481"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enter into any transactions with directors, officers, employees, consultants or five percent (5%) stockholders of the Company or their affiliates other than employment and consulting agreements in the ordinary course of business.</w:t>
      </w:r>
    </w:p>
    <w:p>
      <w:pPr>
        <w:spacing w:after="0" w:line="141"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Negative Covenants of the Company Regarding the Project Company</w:t>
      </w:r>
      <w:r>
        <w:rPr>
          <w:rFonts w:ascii="Arial" w:cs="Arial" w:eastAsia="Arial" w:hAnsi="Arial"/>
          <w:sz w:val="13"/>
          <w:szCs w:val="13"/>
          <w:color w:val="auto"/>
        </w:rPr>
        <w:t>.</w:t>
      </w:r>
    </w:p>
    <w:p>
      <w:pPr>
        <w:spacing w:after="0" w:line="198" w:lineRule="exact"/>
        <w:rPr>
          <w:sz w:val="20"/>
          <w:szCs w:val="20"/>
          <w:color w:val="auto"/>
        </w:rPr>
      </w:pPr>
    </w:p>
    <w:p>
      <w:pPr>
        <w:ind w:left="7" w:right="140" w:firstLine="1104"/>
        <w:spacing w:after="0" w:line="289" w:lineRule="auto"/>
        <w:tabs>
          <w:tab w:leader="none" w:pos="1673" w:val="left"/>
        </w:tabs>
        <w:numPr>
          <w:ilvl w:val="0"/>
          <w:numId w:val="166"/>
        </w:numPr>
        <w:rPr>
          <w:rFonts w:ascii="Arial" w:cs="Arial" w:eastAsia="Arial" w:hAnsi="Arial"/>
          <w:sz w:val="15"/>
          <w:szCs w:val="15"/>
          <w:color w:val="auto"/>
        </w:rPr>
      </w:pPr>
      <w:r>
        <w:rPr>
          <w:rFonts w:ascii="Arial" w:cs="Arial" w:eastAsia="Arial" w:hAnsi="Arial"/>
          <w:sz w:val="15"/>
          <w:szCs w:val="15"/>
          <w:color w:val="auto"/>
        </w:rPr>
        <w:t>Without limiting any other covenants and provisions hereof, the Company covenants and agrees that, until the closing of a Qualified Public Offering, it will not, directly or indirectly, without the vote or written consent of the SRN Majority Holders, if any:</w:t>
      </w:r>
    </w:p>
    <w:p>
      <w:pPr>
        <w:spacing w:after="0" w:line="140" w:lineRule="exact"/>
        <w:rPr>
          <w:rFonts w:ascii="Arial" w:cs="Arial" w:eastAsia="Arial" w:hAnsi="Arial"/>
          <w:sz w:val="15"/>
          <w:szCs w:val="15"/>
          <w:color w:val="auto"/>
        </w:rPr>
      </w:pPr>
    </w:p>
    <w:p>
      <w:pPr>
        <w:ind w:left="7" w:right="420" w:firstLine="1660"/>
        <w:spacing w:after="0" w:line="289" w:lineRule="auto"/>
        <w:tabs>
          <w:tab w:leader="none" w:pos="2527"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amend or restate the charter or other applicable organizational document of the Project Company in effect from time to time (the “</w:t>
      </w:r>
      <w:r>
        <w:rPr>
          <w:rFonts w:ascii="Arial" w:cs="Arial" w:eastAsia="Arial" w:hAnsi="Arial"/>
          <w:sz w:val="15"/>
          <w:szCs w:val="15"/>
          <w:u w:val="single" w:color="auto"/>
          <w:color w:val="auto"/>
        </w:rPr>
        <w:t>Project</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Company Charter</w:t>
      </w:r>
      <w:r>
        <w:rPr>
          <w:rFonts w:ascii="Arial" w:cs="Arial" w:eastAsia="Arial" w:hAnsi="Arial"/>
          <w:sz w:val="15"/>
          <w:szCs w:val="15"/>
          <w:color w:val="auto"/>
        </w:rPr>
        <w:t>”), or increase or decrease the amount of charter capital of the Project Company;</w:t>
      </w:r>
    </w:p>
    <w:p>
      <w:pPr>
        <w:spacing w:after="0" w:line="140" w:lineRule="exact"/>
        <w:rPr>
          <w:rFonts w:ascii="Arial" w:cs="Arial" w:eastAsia="Arial" w:hAnsi="Arial"/>
          <w:sz w:val="15"/>
          <w:szCs w:val="15"/>
          <w:color w:val="auto"/>
        </w:rPr>
      </w:pPr>
    </w:p>
    <w:p>
      <w:pPr>
        <w:ind w:left="7" w:right="160" w:firstLine="1660"/>
        <w:spacing w:after="0" w:line="293" w:lineRule="auto"/>
        <w:tabs>
          <w:tab w:leader="none" w:pos="2536" w:val="left"/>
        </w:tabs>
        <w:numPr>
          <w:ilvl w:val="1"/>
          <w:numId w:val="166"/>
        </w:numPr>
        <w:rPr>
          <w:rFonts w:ascii="Arial" w:cs="Arial" w:eastAsia="Arial" w:hAnsi="Arial"/>
          <w:sz w:val="14"/>
          <w:szCs w:val="14"/>
          <w:color w:val="auto"/>
        </w:rPr>
      </w:pPr>
      <w:r>
        <w:rPr>
          <w:rFonts w:ascii="Arial" w:cs="Arial" w:eastAsia="Arial" w:hAnsi="Arial"/>
          <w:sz w:val="14"/>
          <w:szCs w:val="14"/>
          <w:color w:val="auto"/>
        </w:rPr>
        <w:t>subject to Section 1.3 of that certain Fifth Amended and Restated Voting Agreement, dated as of the date hereof, by and among the Company and the other parties named therein (as may be amended from time to time), (x) terminate the powers of any member of the board of directors of the Project Company designated by RUSNANO or I2BF (as defined below) prior to the expiration of such member’s term or (y) make or authorize any changes in the scope of authority and decision-making and related procedures of the board of directors of the Project Company (including any increase or decrease in the size of the board of directors of the Project Company);</w:t>
      </w:r>
    </w:p>
    <w:p>
      <w:pPr>
        <w:spacing w:after="0" w:line="140" w:lineRule="exact"/>
        <w:rPr>
          <w:rFonts w:ascii="Arial" w:cs="Arial" w:eastAsia="Arial" w:hAnsi="Arial"/>
          <w:sz w:val="14"/>
          <w:szCs w:val="14"/>
          <w:color w:val="auto"/>
        </w:rPr>
      </w:pPr>
    </w:p>
    <w:p>
      <w:pPr>
        <w:ind w:left="2527" w:hanging="860"/>
        <w:spacing w:after="0"/>
        <w:tabs>
          <w:tab w:leader="none" w:pos="2527" w:val="left"/>
        </w:tabs>
        <w:numPr>
          <w:ilvl w:val="1"/>
          <w:numId w:val="166"/>
        </w:numPr>
        <w:rPr>
          <w:rFonts w:ascii="Arial" w:cs="Arial" w:eastAsia="Arial" w:hAnsi="Arial"/>
          <w:sz w:val="15"/>
          <w:szCs w:val="15"/>
          <w:color w:val="auto"/>
        </w:rPr>
      </w:pPr>
      <w:r>
        <w:rPr>
          <w:rFonts w:ascii="Arial" w:cs="Arial" w:eastAsia="Arial" w:hAnsi="Arial"/>
          <w:sz w:val="15"/>
          <w:szCs w:val="15"/>
          <w:color w:val="auto"/>
        </w:rPr>
        <w:t>effect a restructuring, reorganization or similar change in the equity, debt or assets of the Project Company;</w:t>
      </w:r>
    </w:p>
    <w:p>
      <w:pPr>
        <w:spacing w:after="0" w:line="198" w:lineRule="exact"/>
        <w:rPr>
          <w:rFonts w:ascii="Arial" w:cs="Arial" w:eastAsia="Arial" w:hAnsi="Arial"/>
          <w:sz w:val="15"/>
          <w:szCs w:val="15"/>
          <w:color w:val="auto"/>
        </w:rPr>
      </w:pPr>
    </w:p>
    <w:p>
      <w:pPr>
        <w:ind w:left="7" w:right="80" w:firstLine="1660"/>
        <w:spacing w:after="0" w:line="273" w:lineRule="auto"/>
        <w:tabs>
          <w:tab w:leader="none" w:pos="252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effect the reorganization, liquidation or bankruptcy of the Project Company (including (1) transactions aimed at prevention of bankruptcy after notification by the sole executive body of the Project Company to the Company pursuant to applicable law and (2) financial rehabilitation), except when bankruptcy is mandatorily required by Russian law to be initiated by the sole executive body of the Project Company;</w:t>
      </w:r>
    </w:p>
    <w:p>
      <w:pPr>
        <w:spacing w:after="0" w:line="152" w:lineRule="exact"/>
        <w:rPr>
          <w:rFonts w:ascii="Arial" w:cs="Arial" w:eastAsia="Arial" w:hAnsi="Arial"/>
          <w:sz w:val="15"/>
          <w:szCs w:val="15"/>
          <w:color w:val="auto"/>
        </w:rPr>
      </w:pPr>
    </w:p>
    <w:p>
      <w:pPr>
        <w:ind w:left="2507" w:hanging="840"/>
        <w:spacing w:after="0"/>
        <w:tabs>
          <w:tab w:leader="none" w:pos="2507"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appoint a liquidating commission for the Project Company, or approve the liquidation balance sheets of the Project Company;</w:t>
      </w:r>
    </w:p>
    <w:p>
      <w:pPr>
        <w:spacing w:after="0" w:line="198" w:lineRule="exact"/>
        <w:rPr>
          <w:rFonts w:ascii="Arial" w:cs="Arial" w:eastAsia="Arial" w:hAnsi="Arial"/>
          <w:sz w:val="15"/>
          <w:szCs w:val="15"/>
          <w:color w:val="auto"/>
        </w:rPr>
      </w:pPr>
    </w:p>
    <w:p>
      <w:pPr>
        <w:ind w:left="7" w:right="20" w:firstLine="1660"/>
        <w:spacing w:after="0" w:line="293" w:lineRule="auto"/>
        <w:tabs>
          <w:tab w:leader="none" w:pos="2523" w:val="left"/>
        </w:tabs>
        <w:numPr>
          <w:ilvl w:val="1"/>
          <w:numId w:val="166"/>
        </w:numPr>
        <w:rPr>
          <w:rFonts w:ascii="Arial" w:cs="Arial" w:eastAsia="Arial" w:hAnsi="Arial"/>
          <w:sz w:val="14"/>
          <w:szCs w:val="14"/>
          <w:color w:val="auto"/>
        </w:rPr>
      </w:pPr>
      <w:r>
        <w:rPr>
          <w:rFonts w:ascii="Arial" w:cs="Arial" w:eastAsia="Arial" w:hAnsi="Arial"/>
          <w:sz w:val="14"/>
          <w:szCs w:val="14"/>
          <w:color w:val="auto"/>
        </w:rPr>
        <w:t>approve or enter into major transactions proposed by the Project Company concerning the purchase, disposal or possible disposal by the Project Company, directly or indirectly, of its assets with the value exceeding twenty-five percent (25%) of the total value of the assets of the Project Company determined based on its accounting statements prepared in accordance with Russian accounting principles and practices, as required under Russian law or regulation, as in effect from time to time and applied consistently throughout the periods involved for the last reporting period (month) preceding the date of the decision on approval of such transactions;</w:t>
      </w:r>
    </w:p>
    <w:p>
      <w:pPr>
        <w:spacing w:after="0" w:line="140" w:lineRule="exact"/>
        <w:rPr>
          <w:rFonts w:ascii="Arial" w:cs="Arial" w:eastAsia="Arial" w:hAnsi="Arial"/>
          <w:sz w:val="14"/>
          <w:szCs w:val="14"/>
          <w:color w:val="auto"/>
        </w:rPr>
      </w:pPr>
    </w:p>
    <w:p>
      <w:pPr>
        <w:ind w:left="7" w:right="240" w:firstLine="1660"/>
        <w:spacing w:after="0" w:line="273" w:lineRule="auto"/>
        <w:tabs>
          <w:tab w:leader="none" w:pos="2532"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approve or enter into any transaction relating to directly or indirectly disposing or encumbering intellectual property assets of the Project Company, subject to Section 3.4 of that certain Intellectual Property License Agreement, dated as of November 7, 2011, by and between the Company and the Project Company (the “</w:t>
      </w:r>
      <w:r>
        <w:rPr>
          <w:rFonts w:ascii="Arial" w:cs="Arial" w:eastAsia="Arial" w:hAnsi="Arial"/>
          <w:sz w:val="15"/>
          <w:szCs w:val="15"/>
          <w:u w:val="single" w:color="auto"/>
          <w:color w:val="auto"/>
        </w:rPr>
        <w:t>License Agreement</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left="2527" w:hanging="860"/>
        <w:spacing w:after="0"/>
        <w:tabs>
          <w:tab w:leader="none" w:pos="2527" w:val="left"/>
        </w:tabs>
        <w:numPr>
          <w:ilvl w:val="1"/>
          <w:numId w:val="166"/>
        </w:numPr>
        <w:rPr>
          <w:rFonts w:ascii="Arial" w:cs="Arial" w:eastAsia="Arial" w:hAnsi="Arial"/>
          <w:sz w:val="14"/>
          <w:szCs w:val="14"/>
          <w:color w:val="auto"/>
        </w:rPr>
      </w:pPr>
      <w:r>
        <w:rPr>
          <w:rFonts w:ascii="Arial" w:cs="Arial" w:eastAsia="Arial" w:hAnsi="Arial"/>
          <w:sz w:val="14"/>
          <w:szCs w:val="14"/>
          <w:color w:val="auto"/>
        </w:rPr>
        <w:t>cause or permit the Project Company to approve or enter into the termination or assignment of, or amendment to, the License Agreement; or</w:t>
      </w:r>
    </w:p>
    <w:p>
      <w:pPr>
        <w:spacing w:after="0" w:line="209" w:lineRule="exact"/>
        <w:rPr>
          <w:rFonts w:ascii="Arial" w:cs="Arial" w:eastAsia="Arial" w:hAnsi="Arial"/>
          <w:sz w:val="14"/>
          <w:szCs w:val="14"/>
          <w:color w:val="auto"/>
        </w:rPr>
      </w:pPr>
    </w:p>
    <w:p>
      <w:pPr>
        <w:ind w:left="2507" w:hanging="840"/>
        <w:spacing w:after="0"/>
        <w:tabs>
          <w:tab w:leader="none" w:pos="2507" w:val="left"/>
        </w:tabs>
        <w:numPr>
          <w:ilvl w:val="1"/>
          <w:numId w:val="166"/>
        </w:numPr>
        <w:rPr>
          <w:rFonts w:ascii="Arial" w:cs="Arial" w:eastAsia="Arial" w:hAnsi="Arial"/>
          <w:sz w:val="14"/>
          <w:szCs w:val="14"/>
          <w:color w:val="auto"/>
        </w:rPr>
      </w:pPr>
      <w:r>
        <w:rPr>
          <w:rFonts w:ascii="Arial" w:cs="Arial" w:eastAsia="Arial" w:hAnsi="Arial"/>
          <w:sz w:val="14"/>
          <w:szCs w:val="14"/>
          <w:color w:val="auto"/>
        </w:rPr>
        <w:t>approve the cash valuation of any assets contributed as payment for participatory interests in the charter capital of the Project Company.</w:t>
      </w:r>
    </w:p>
    <w:p>
      <w:pPr>
        <w:spacing w:after="0" w:line="21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500" w:firstLine="1104"/>
        <w:spacing w:after="0" w:line="289" w:lineRule="auto"/>
        <w:tabs>
          <w:tab w:leader="none" w:pos="1681"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Notwithstanding the foregoing, </w:t>
      </w:r>
      <w:r>
        <w:rPr>
          <w:rFonts w:ascii="Arial" w:cs="Arial" w:eastAsia="Arial" w:hAnsi="Arial"/>
          <w:sz w:val="15"/>
          <w:szCs w:val="15"/>
          <w:u w:val="single" w:color="auto"/>
          <w:color w:val="auto"/>
        </w:rPr>
        <w:t>Section 5.2(a)</w:t>
      </w:r>
      <w:r>
        <w:rPr>
          <w:rFonts w:ascii="Arial" w:cs="Arial" w:eastAsia="Arial" w:hAnsi="Arial"/>
          <w:sz w:val="15"/>
          <w:szCs w:val="15"/>
          <w:color w:val="auto"/>
        </w:rPr>
        <w:t xml:space="preserve"> shall not apply to any transactions regarding the assignment or licensing of intellectual property by and between the Company and the Project Company, subject to Sections 3.4 and 4.1 of the License Agreement.</w:t>
      </w:r>
    </w:p>
    <w:p>
      <w:pPr>
        <w:spacing w:after="0" w:line="140" w:lineRule="exact"/>
        <w:rPr>
          <w:rFonts w:ascii="Arial" w:cs="Arial" w:eastAsia="Arial" w:hAnsi="Arial"/>
          <w:sz w:val="15"/>
          <w:szCs w:val="15"/>
          <w:color w:val="auto"/>
        </w:rPr>
      </w:pPr>
    </w:p>
    <w:p>
      <w:pPr>
        <w:ind w:left="7" w:right="140" w:firstLine="1104"/>
        <w:spacing w:after="0" w:line="264" w:lineRule="auto"/>
        <w:tabs>
          <w:tab w:leader="none" w:pos="1684"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SRN Majority Holders</w:t>
      </w:r>
      <w:r>
        <w:rPr>
          <w:rFonts w:ascii="Arial" w:cs="Arial" w:eastAsia="Arial" w:hAnsi="Arial"/>
          <w:sz w:val="15"/>
          <w:szCs w:val="15"/>
          <w:color w:val="auto"/>
        </w:rPr>
        <w:t>” shall mean each of (i) RUSNANO, and (ii) collectively, (A) VTB Capital I2BF Netherlands B.V., a private limited liability company, organized and existing under the laws of the Netherlands, and (B) Selecta RKFN Ltd., a limited liability company organized and existing under the laws of the Russian Federation (the entities named in (A) and (B) together, “</w:t>
      </w:r>
      <w:r>
        <w:rPr>
          <w:rFonts w:ascii="Arial" w:cs="Arial" w:eastAsia="Arial" w:hAnsi="Arial"/>
          <w:sz w:val="15"/>
          <w:szCs w:val="15"/>
          <w:u w:val="single" w:color="auto"/>
          <w:color w:val="auto"/>
        </w:rPr>
        <w:t>I2BF</w:t>
      </w:r>
      <w:r>
        <w:rPr>
          <w:rFonts w:ascii="Arial" w:cs="Arial" w:eastAsia="Arial" w:hAnsi="Arial"/>
          <w:sz w:val="15"/>
          <w:szCs w:val="15"/>
          <w:color w:val="auto"/>
        </w:rPr>
        <w:t xml:space="preserve">”); provided however that if either such SRN Majority Holder ceases to hold, either directly or through one or more of its Affiliates, all of the shares of Series SRN Preferred Stock held by such SRN Majority Holder as of the date hereof, whether as a result of any transfer, sale, conversion, redemption or otherwise (other than a transfer to an Affiliate that is a permitted transferee pursuant to </w:t>
      </w:r>
      <w:r>
        <w:rPr>
          <w:rFonts w:ascii="Arial" w:cs="Arial" w:eastAsia="Arial" w:hAnsi="Arial"/>
          <w:sz w:val="15"/>
          <w:szCs w:val="15"/>
          <w:u w:val="single" w:color="auto"/>
          <w:color w:val="auto"/>
        </w:rPr>
        <w:t>Section 4.1(b)</w:t>
      </w:r>
      <w:r>
        <w:rPr>
          <w:rFonts w:ascii="Arial" w:cs="Arial" w:eastAsia="Arial" w:hAnsi="Arial"/>
          <w:sz w:val="15"/>
          <w:szCs w:val="15"/>
          <w:color w:val="auto"/>
        </w:rPr>
        <w:t>, such SRN Majority Holder shall no longer be deemed to be an SRN Majority Holder for any purpose.</w:t>
      </w:r>
    </w:p>
    <w:p>
      <w:pPr>
        <w:spacing w:after="0" w:line="158" w:lineRule="exact"/>
        <w:rPr>
          <w:rFonts w:ascii="Arial" w:cs="Arial" w:eastAsia="Arial" w:hAnsi="Arial"/>
          <w:sz w:val="15"/>
          <w:szCs w:val="15"/>
          <w:color w:val="auto"/>
        </w:rPr>
      </w:pPr>
    </w:p>
    <w:p>
      <w:pPr>
        <w:ind w:left="7" w:firstLine="1104"/>
        <w:spacing w:after="0" w:line="302" w:lineRule="auto"/>
        <w:tabs>
          <w:tab w:leader="none" w:pos="1681"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shall terminate and be of no further force and effect on the earliest date on which each of RUSNANO and I2BF (or one or more of their respective Affiliates that are a permitted transferee pursuant to </w:t>
      </w:r>
      <w:r>
        <w:rPr>
          <w:rFonts w:ascii="Arial" w:cs="Arial" w:eastAsia="Arial" w:hAnsi="Arial"/>
          <w:sz w:val="14"/>
          <w:szCs w:val="14"/>
          <w:u w:val="single" w:color="auto"/>
          <w:color w:val="auto"/>
        </w:rPr>
        <w:t>Section 4.1(b)</w:t>
      </w:r>
      <w:r>
        <w:rPr>
          <w:rFonts w:ascii="Arial" w:cs="Arial" w:eastAsia="Arial" w:hAnsi="Arial"/>
          <w:sz w:val="14"/>
          <w:szCs w:val="14"/>
          <w:color w:val="auto"/>
        </w:rPr>
        <w:t>,) no longer holds and has sole beneficial ownership of all of the shares of Series SRN Preferred Stock respectively held by it as of the date hereof, whether as a result of any transfer, sale, conversion, redemption, or otherwise.</w:t>
      </w:r>
    </w:p>
    <w:p>
      <w:pPr>
        <w:spacing w:after="0" w:line="133" w:lineRule="exact"/>
        <w:rPr>
          <w:sz w:val="20"/>
          <w:szCs w:val="20"/>
          <w:color w:val="auto"/>
        </w:rPr>
      </w:pPr>
    </w:p>
    <w:p>
      <w:pPr>
        <w:ind w:left="547"/>
        <w:spacing w:after="0"/>
        <w:tabs>
          <w:tab w:leader="none" w:pos="1087"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Affirmative Covenants of the Company Regarding the Project Company</w:t>
      </w:r>
      <w:r>
        <w:rPr>
          <w:rFonts w:ascii="Arial" w:cs="Arial" w:eastAsia="Arial" w:hAnsi="Arial"/>
          <w:sz w:val="14"/>
          <w:szCs w:val="14"/>
          <w:color w:val="auto"/>
        </w:rPr>
        <w:t>.</w:t>
      </w:r>
    </w:p>
    <w:p>
      <w:pPr>
        <w:spacing w:after="0" w:line="198" w:lineRule="exact"/>
        <w:rPr>
          <w:sz w:val="20"/>
          <w:szCs w:val="20"/>
          <w:color w:val="auto"/>
        </w:rPr>
      </w:pPr>
    </w:p>
    <w:p>
      <w:pPr>
        <w:ind w:left="1667" w:hanging="556"/>
        <w:spacing w:after="0"/>
        <w:tabs>
          <w:tab w:leader="none" w:pos="166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Each of the Company and the SRN Majority Holders covenant and agree until the closing of a Qualified Public Offering:</w:t>
      </w:r>
    </w:p>
    <w:p>
      <w:pPr>
        <w:spacing w:after="0" w:line="198" w:lineRule="exact"/>
        <w:rPr>
          <w:rFonts w:ascii="Arial" w:cs="Arial" w:eastAsia="Arial" w:hAnsi="Arial"/>
          <w:sz w:val="15"/>
          <w:szCs w:val="15"/>
          <w:color w:val="auto"/>
        </w:rPr>
      </w:pPr>
    </w:p>
    <w:p>
      <w:pPr>
        <w:ind w:left="7" w:right="100" w:firstLine="1660"/>
        <w:spacing w:after="0" w:line="273" w:lineRule="auto"/>
        <w:tabs>
          <w:tab w:leader="none" w:pos="2527" w:val="left"/>
        </w:tabs>
        <w:numPr>
          <w:ilvl w:val="1"/>
          <w:numId w:val="168"/>
        </w:numPr>
        <w:rPr>
          <w:rFonts w:ascii="Arial" w:cs="Arial" w:eastAsia="Arial" w:hAnsi="Arial"/>
          <w:sz w:val="15"/>
          <w:szCs w:val="15"/>
          <w:color w:val="auto"/>
        </w:rPr>
      </w:pPr>
      <w:r>
        <w:rPr>
          <w:rFonts w:ascii="Arial" w:cs="Arial" w:eastAsia="Arial" w:hAnsi="Arial"/>
          <w:sz w:val="15"/>
          <w:szCs w:val="15"/>
          <w:color w:val="auto"/>
        </w:rPr>
        <w:t>Each of the SRN Majority Holders shall have the right to require one (1) independent audit of the financial statements of the Project Company per year (in addition to the annually scheduled audit of the Project Company), provided that such audit is conducted at such SRN Majority Holders’ sole expense and provided further that no more than a total of one (1) such independent audit shall be required in any twelve (12) month period.</w:t>
      </w:r>
    </w:p>
    <w:p>
      <w:pPr>
        <w:spacing w:after="0" w:line="152" w:lineRule="exact"/>
        <w:rPr>
          <w:rFonts w:ascii="Arial" w:cs="Arial" w:eastAsia="Arial" w:hAnsi="Arial"/>
          <w:sz w:val="15"/>
          <w:szCs w:val="15"/>
          <w:color w:val="auto"/>
        </w:rPr>
      </w:pPr>
    </w:p>
    <w:p>
      <w:pPr>
        <w:ind w:left="7" w:right="20" w:firstLine="1660"/>
        <w:spacing w:after="0" w:line="371" w:lineRule="auto"/>
        <w:tabs>
          <w:tab w:leader="none" w:pos="2536" w:val="left"/>
        </w:tabs>
        <w:numPr>
          <w:ilvl w:val="1"/>
          <w:numId w:val="168"/>
        </w:numPr>
        <w:rPr>
          <w:rFonts w:ascii="Arial" w:cs="Arial" w:eastAsia="Arial" w:hAnsi="Arial"/>
          <w:sz w:val="13"/>
          <w:szCs w:val="13"/>
          <w:color w:val="auto"/>
        </w:rPr>
      </w:pPr>
      <w:r>
        <w:rPr>
          <w:rFonts w:ascii="Arial" w:cs="Arial" w:eastAsia="Arial" w:hAnsi="Arial"/>
          <w:sz w:val="13"/>
          <w:szCs w:val="13"/>
          <w:color w:val="auto"/>
        </w:rPr>
        <w:t>In the event there is a Deadlock (as defined below) with respect to any resolution or decision to be made by the board of directors of the Project Company in accordance with the Project Company Charter which cannot be resolved within fifteen (15) business days of occurrence of any Deadlock Event (as defined below), the</w:t>
      </w:r>
    </w:p>
    <w:p>
      <w:pPr>
        <w:sectPr>
          <w:pgSz w:w="11900" w:h="16844" w:orient="portrait"/>
          <w:cols w:equalWidth="0" w:num="1">
            <w:col w:w="11407"/>
          </w:cols>
          <w:pgMar w:left="233" w:top="314" w:right="259" w:bottom="0" w:gutter="0" w:footer="0" w:header="0"/>
        </w:sectPr>
      </w:pPr>
    </w:p>
    <w:bookmarkStart w:id="267" w:name="page268"/>
    <w:bookmarkEnd w:id="267"/>
    <w:p>
      <w:pPr>
        <w:ind w:left="7" w:right="260"/>
        <w:spacing w:after="0" w:line="283" w:lineRule="auto"/>
        <w:rPr>
          <w:sz w:val="20"/>
          <w:szCs w:val="20"/>
          <w:color w:val="auto"/>
        </w:rPr>
      </w:pPr>
      <w:r>
        <w:rPr>
          <w:rFonts w:ascii="Arial" w:cs="Arial" w:eastAsia="Arial" w:hAnsi="Arial"/>
          <w:sz w:val="14"/>
          <w:szCs w:val="14"/>
          <w:color w:val="auto"/>
        </w:rPr>
        <w:t>SRN Majority Holders or the Company may serve notice (a “</w:t>
      </w:r>
      <w:r>
        <w:rPr>
          <w:rFonts w:ascii="Arial" w:cs="Arial" w:eastAsia="Arial" w:hAnsi="Arial"/>
          <w:sz w:val="14"/>
          <w:szCs w:val="14"/>
          <w:u w:val="single" w:color="auto"/>
          <w:color w:val="auto"/>
        </w:rPr>
        <w:t>First Level Notice</w:t>
      </w:r>
      <w:r>
        <w:rPr>
          <w:rFonts w:ascii="Arial" w:cs="Arial" w:eastAsia="Arial" w:hAnsi="Arial"/>
          <w:sz w:val="14"/>
          <w:szCs w:val="14"/>
          <w:color w:val="auto"/>
        </w:rPr>
        <w:t>”) in writing on the other party requiring the Deadlock to be referred to a representative of the SRN Majority Holders and the Company. Each of the SRN Majority Holders and the Company shall cause its respective representative to meet with the other representative within fifteen</w:t>
      </w:r>
    </w:p>
    <w:p>
      <w:pPr>
        <w:spacing w:after="0" w:line="1" w:lineRule="exact"/>
        <w:rPr>
          <w:sz w:val="20"/>
          <w:szCs w:val="20"/>
          <w:color w:val="auto"/>
        </w:rPr>
      </w:pPr>
    </w:p>
    <w:p>
      <w:pPr>
        <w:jc w:val="both"/>
        <w:ind w:left="7" w:right="220" w:hanging="7"/>
        <w:spacing w:after="0" w:line="263" w:lineRule="auto"/>
        <w:tabs>
          <w:tab w:leader="none" w:pos="303" w:val="left"/>
        </w:tabs>
        <w:numPr>
          <w:ilvl w:val="0"/>
          <w:numId w:val="169"/>
        </w:numPr>
        <w:rPr>
          <w:rFonts w:ascii="Arial" w:cs="Arial" w:eastAsia="Arial" w:hAnsi="Arial"/>
          <w:sz w:val="15"/>
          <w:szCs w:val="15"/>
          <w:color w:val="auto"/>
        </w:rPr>
      </w:pPr>
      <w:r>
        <w:rPr>
          <w:rFonts w:ascii="Arial" w:cs="Arial" w:eastAsia="Arial" w:hAnsi="Arial"/>
          <w:sz w:val="15"/>
          <w:szCs w:val="15"/>
          <w:color w:val="auto"/>
        </w:rPr>
        <w:t>business days of service of the First Level Notice for the purpose of resolving the Deadlock. If such representative s have not met or are unable to resolve the Deadlock within fifteen (15) business days of service of the First Level Notice, either party may serve notice in writing on the other party (a “</w:t>
      </w:r>
      <w:r>
        <w:rPr>
          <w:rFonts w:ascii="Arial" w:cs="Arial" w:eastAsia="Arial" w:hAnsi="Arial"/>
          <w:sz w:val="15"/>
          <w:szCs w:val="15"/>
          <w:u w:val="single" w:color="auto"/>
          <w:color w:val="auto"/>
        </w:rPr>
        <w:t>Second Level Notice</w:t>
      </w:r>
      <w:r>
        <w:rPr>
          <w:rFonts w:ascii="Arial" w:cs="Arial" w:eastAsia="Arial" w:hAnsi="Arial"/>
          <w:sz w:val="15"/>
          <w:szCs w:val="15"/>
          <w:color w:val="auto"/>
        </w:rPr>
        <w:t>”) requiring that the Deadlock be referred to a panel of third party independent experts (the “</w:t>
      </w:r>
      <w:r>
        <w:rPr>
          <w:rFonts w:ascii="Arial" w:cs="Arial" w:eastAsia="Arial" w:hAnsi="Arial"/>
          <w:sz w:val="15"/>
          <w:szCs w:val="15"/>
          <w:u w:val="single" w:color="auto"/>
          <w:color w:val="auto"/>
        </w:rPr>
        <w:t>Independent Expert Panel</w:t>
      </w:r>
      <w:r>
        <w:rPr>
          <w:rFonts w:ascii="Arial" w:cs="Arial" w:eastAsia="Arial" w:hAnsi="Arial"/>
          <w:sz w:val="15"/>
          <w:szCs w:val="15"/>
          <w:color w:val="auto"/>
        </w:rPr>
        <w:t>”). Each of the SRN Majority Holders and the Company agree that the Independent Expert Panel shall consist of one (1) nominee appointed by each party.</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20"/>
        <w:spacing w:after="0" w:line="281" w:lineRule="auto"/>
        <w:rPr>
          <w:sz w:val="20"/>
          <w:szCs w:val="20"/>
          <w:color w:val="auto"/>
        </w:rPr>
      </w:pPr>
      <w:r>
        <w:rPr>
          <w:rFonts w:ascii="Arial" w:cs="Arial" w:eastAsia="Arial" w:hAnsi="Arial"/>
          <w:sz w:val="14"/>
          <w:szCs w:val="14"/>
          <w:color w:val="auto"/>
        </w:rPr>
        <w:t>Each of the SRN Majority Holders and the Company shall use its best efforts to appoint a suitable nominee (being an experienced global pharmaceutical executive with qualifications consistent with those of other directors of the Company) and procure that the Independent Expert Panel considers the Deadlock and delivers its determination (the “</w:t>
      </w:r>
      <w:r>
        <w:rPr>
          <w:rFonts w:ascii="Arial" w:cs="Arial" w:eastAsia="Arial" w:hAnsi="Arial"/>
          <w:sz w:val="14"/>
          <w:szCs w:val="14"/>
          <w:u w:val="single" w:color="auto"/>
          <w:color w:val="auto"/>
        </w:rPr>
        <w:t>Expert Solution</w:t>
      </w:r>
      <w:r>
        <w:rPr>
          <w:rFonts w:ascii="Arial" w:cs="Arial" w:eastAsia="Arial" w:hAnsi="Arial"/>
          <w:sz w:val="14"/>
          <w:szCs w:val="14"/>
          <w:color w:val="auto"/>
        </w:rPr>
        <w:t>”) of how to resolve the Deadlock within twenty (20) business days of service of the Second Level Notice. The SRN Majority Holders and the Company shall, acting in good faith, within ten</w:t>
      </w:r>
    </w:p>
    <w:p>
      <w:pPr>
        <w:spacing w:after="0" w:line="1" w:lineRule="exact"/>
        <w:rPr>
          <w:sz w:val="20"/>
          <w:szCs w:val="20"/>
          <w:color w:val="auto"/>
        </w:rPr>
      </w:pPr>
    </w:p>
    <w:p>
      <w:pPr>
        <w:ind w:left="7" w:hanging="7"/>
        <w:spacing w:after="0" w:line="280" w:lineRule="auto"/>
        <w:tabs>
          <w:tab w:leader="none" w:pos="303"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business days of receipt of the Expert Solution, consult with each other and use reasonable efforts to agree to a resolution to the Deadlock based in all material respects on the Expert Solution. In the event that the Company and the SRN Majority Holders agree on such a resolution, they shall use reasonable efforts to procure that such resolution is implemented as soon as reasonably practicable. For the purpose of this </w:t>
      </w:r>
      <w:r>
        <w:rPr>
          <w:rFonts w:ascii="Arial" w:cs="Arial" w:eastAsia="Arial" w:hAnsi="Arial"/>
          <w:sz w:val="14"/>
          <w:szCs w:val="14"/>
          <w:u w:val="single" w:color="auto"/>
          <w:color w:val="auto"/>
        </w:rPr>
        <w:t>Section 5.3(a)(ii)</w:t>
      </w:r>
      <w:r>
        <w:rPr>
          <w:rFonts w:ascii="Arial" w:cs="Arial" w:eastAsia="Arial" w:hAnsi="Arial"/>
          <w:sz w:val="14"/>
          <w:szCs w:val="14"/>
          <w:color w:val="auto"/>
        </w:rPr>
        <w:t>, a “</w:t>
      </w:r>
      <w:r>
        <w:rPr>
          <w:rFonts w:ascii="Arial" w:cs="Arial" w:eastAsia="Arial" w:hAnsi="Arial"/>
          <w:sz w:val="14"/>
          <w:szCs w:val="14"/>
          <w:u w:val="single" w:color="auto"/>
          <w:color w:val="auto"/>
        </w:rPr>
        <w:t>Deadlock</w:t>
      </w:r>
      <w:r>
        <w:rPr>
          <w:rFonts w:ascii="Arial" w:cs="Arial" w:eastAsia="Arial" w:hAnsi="Arial"/>
          <w:sz w:val="14"/>
          <w:szCs w:val="14"/>
          <w:color w:val="auto"/>
        </w:rPr>
        <w:t xml:space="preserve">” shall be deemed to have occurred when (A) a resolution is proposed by the Company, in its capacity as a participant in the Project Company, in accordance with the Project Company Charter and in respect of any of the matters indicated in </w:t>
      </w:r>
      <w:r>
        <w:rPr>
          <w:rFonts w:ascii="Arial" w:cs="Arial" w:eastAsia="Arial" w:hAnsi="Arial"/>
          <w:sz w:val="14"/>
          <w:szCs w:val="14"/>
          <w:u w:val="single" w:color="auto"/>
          <w:color w:val="auto"/>
        </w:rPr>
        <w:t>Section 5.2 or 5.3</w:t>
      </w:r>
      <w:r>
        <w:rPr>
          <w:rFonts w:ascii="Arial" w:cs="Arial" w:eastAsia="Arial" w:hAnsi="Arial"/>
          <w:sz w:val="14"/>
          <w:szCs w:val="14"/>
          <w:color w:val="auto"/>
        </w:rPr>
        <w:t xml:space="preserve"> hereof, and such resolution is not approved by the SRN Majority Holders, as a holder of Series SRN Preferred Stock during at least two (2) successive duly called meetings of the board of directors of the Project Company; (B) a resolution of the Board of Directors of the Project Company is proposed by a director nominated by the Company and is not adopted by a unanimous vote in accordance with the Project Company Charter with respect to the decisions requiring a unanimous vote pursuant to Section 22 of the Project Company Charter during at least two (2) successive duly called meetings of the board of directors of the Project Company; or (C) a quorum is not present at two (2) successive duly called board meetings of the Project Company for the purpose of considering any resolution referred to in subsection (B) hereof due to the absence of a nominated director from the relevant board meeting (each of the events set forth in (A) through (C) of this </w:t>
      </w:r>
      <w:r>
        <w:rPr>
          <w:rFonts w:ascii="Arial" w:cs="Arial" w:eastAsia="Arial" w:hAnsi="Arial"/>
          <w:sz w:val="14"/>
          <w:szCs w:val="14"/>
          <w:u w:val="single" w:color="auto"/>
          <w:color w:val="auto"/>
        </w:rPr>
        <w:t>subsection 5.3(a)(ii)</w:t>
      </w:r>
      <w:r>
        <w:rPr>
          <w:rFonts w:ascii="Arial" w:cs="Arial" w:eastAsia="Arial" w:hAnsi="Arial"/>
          <w:sz w:val="14"/>
          <w:szCs w:val="14"/>
          <w:color w:val="auto"/>
        </w:rPr>
        <w:t>, a “</w:t>
      </w:r>
      <w:r>
        <w:rPr>
          <w:rFonts w:ascii="Arial" w:cs="Arial" w:eastAsia="Arial" w:hAnsi="Arial"/>
          <w:sz w:val="14"/>
          <w:szCs w:val="14"/>
          <w:u w:val="single" w:color="auto"/>
          <w:color w:val="auto"/>
        </w:rPr>
        <w:t>Deadlock Event</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7" w:right="20" w:firstLine="1104"/>
        <w:spacing w:after="0" w:line="302" w:lineRule="auto"/>
        <w:tabs>
          <w:tab w:leader="none" w:pos="1681" w:val="left"/>
        </w:tabs>
        <w:numPr>
          <w:ilvl w:val="1"/>
          <w:numId w:val="170"/>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w:t>
      </w:r>
      <w:r>
        <w:rPr>
          <w:rFonts w:ascii="Arial" w:cs="Arial" w:eastAsia="Arial" w:hAnsi="Arial"/>
          <w:sz w:val="14"/>
          <w:szCs w:val="14"/>
          <w:u w:val="single" w:color="auto"/>
          <w:color w:val="auto"/>
        </w:rPr>
        <w:t>Section 5.3(a)</w:t>
      </w:r>
      <w:r>
        <w:rPr>
          <w:rFonts w:ascii="Arial" w:cs="Arial" w:eastAsia="Arial" w:hAnsi="Arial"/>
          <w:sz w:val="14"/>
          <w:szCs w:val="14"/>
          <w:color w:val="auto"/>
        </w:rPr>
        <w:t xml:space="preserve"> shall terminate and be of no further force and effect on the earliest date on which each of RUSNANO and I2BF (or one or more of their respective Affiliates that are a permitted transferee pursuant to </w:t>
      </w:r>
      <w:r>
        <w:rPr>
          <w:rFonts w:ascii="Arial" w:cs="Arial" w:eastAsia="Arial" w:hAnsi="Arial"/>
          <w:sz w:val="14"/>
          <w:szCs w:val="14"/>
          <w:u w:val="single" w:color="auto"/>
          <w:color w:val="auto"/>
        </w:rPr>
        <w:t>Section 4.1(b)</w:t>
      </w:r>
      <w:r>
        <w:rPr>
          <w:rFonts w:ascii="Arial" w:cs="Arial" w:eastAsia="Arial" w:hAnsi="Arial"/>
          <w:sz w:val="14"/>
          <w:szCs w:val="14"/>
          <w:color w:val="auto"/>
        </w:rPr>
        <w:t>,) no longer holds and has sole beneficial ownership of all of the shares of Series SRN Preferred Stock respectively held by it as of the date hereof, whether as a result of any transfer, sale, conversion, redemption, or otherwise.</w:t>
      </w:r>
    </w:p>
    <w:p>
      <w:pPr>
        <w:spacing w:after="0" w:line="133" w:lineRule="exact"/>
        <w:rPr>
          <w:sz w:val="20"/>
          <w:szCs w:val="20"/>
          <w:color w:val="auto"/>
        </w:rPr>
      </w:pPr>
    </w:p>
    <w:p>
      <w:pPr>
        <w:ind w:left="7" w:right="220" w:firstLine="556"/>
        <w:spacing w:after="0" w:line="27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Multi-Country Clinical Trials</w:t>
      </w:r>
      <w:r>
        <w:rPr>
          <w:rFonts w:ascii="Arial" w:cs="Arial" w:eastAsia="Arial" w:hAnsi="Arial"/>
          <w:sz w:val="15"/>
          <w:szCs w:val="15"/>
          <w:color w:val="auto"/>
        </w:rPr>
        <w:t>. The Company agrees and covenants that in any instance when any of the Company or the Project Company products reaches clinical trials in at least two (2) countries, the Company shall, or shall cause the Project Company to, as the case may be, include the Republic of Kazakhstan in such clinical trials of such products if permitted under the laws and regulations of the Republic of Kazakhstan.</w:t>
      </w:r>
    </w:p>
    <w:p>
      <w:pPr>
        <w:spacing w:after="0" w:line="153" w:lineRule="exact"/>
        <w:rPr>
          <w:sz w:val="20"/>
          <w:szCs w:val="20"/>
          <w:color w:val="auto"/>
        </w:rPr>
      </w:pPr>
    </w:p>
    <w:p>
      <w:pPr>
        <w:ind w:left="547" w:hanging="547"/>
        <w:spacing w:after="0"/>
        <w:tabs>
          <w:tab w:leader="none" w:pos="547"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98" w:lineRule="exact"/>
        <w:rPr>
          <w:sz w:val="20"/>
          <w:szCs w:val="20"/>
          <w:color w:val="auto"/>
        </w:rPr>
      </w:pPr>
    </w:p>
    <w:p>
      <w:pPr>
        <w:ind w:left="7" w:right="120" w:firstLine="556"/>
        <w:spacing w:after="0" w:line="289"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are severable, so that the invalidity or unenforceability of any provision of this Agreement shall not affect the validity or enforceability of any other term or provision of this Agreement, which shall remain in full force and effect.</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 w:firstLine="556"/>
        <w:spacing w:after="0" w:line="273"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In addition to any and all other remedies that may be available at law in the event of any breach of this Agreement, each Holder shall be entitled to specific performance of the agreements and obligations of any other Holder hereunder and to such other injunctive or other equitable relief as may be granted by a court of competent jurisdiction.</w:t>
      </w:r>
    </w:p>
    <w:p>
      <w:pPr>
        <w:spacing w:after="0" w:line="153" w:lineRule="exact"/>
        <w:rPr>
          <w:sz w:val="20"/>
          <w:szCs w:val="20"/>
          <w:color w:val="auto"/>
        </w:rPr>
      </w:pPr>
    </w:p>
    <w:p>
      <w:pPr>
        <w:ind w:left="7" w:right="240" w:firstLine="556"/>
        <w:spacing w:after="0" w:line="28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internal laws of the State of New York without regard to conflict of law principles that would result in the application of any law other than the law of the State of New York.</w:t>
      </w:r>
    </w:p>
    <w:p>
      <w:pPr>
        <w:spacing w:after="0" w:line="141" w:lineRule="exact"/>
        <w:rPr>
          <w:sz w:val="20"/>
          <w:szCs w:val="20"/>
          <w:color w:val="auto"/>
        </w:rPr>
      </w:pPr>
    </w:p>
    <w:p>
      <w:pPr>
        <w:ind w:left="7" w:right="40" w:firstLine="556"/>
        <w:spacing w:after="0" w:line="268"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consents, and other communications under this Agreement shall be in writing and shall be deemed delivered (a) for notices sent by the Company to addressees within the United States, two (2) business days after being sent by registered or certified mail, return receipt requested, postage prepaid, (b) three (3) business days after being sent via a reputable international courier service with expedited delivery, in each case to the intended recipient as set forth below, or (c) immediately upon being sent by facsimile, provided that the sender receives electronic confirmation of delivery, or electronic mail:</w:t>
      </w:r>
    </w:p>
    <w:p>
      <w:pPr>
        <w:spacing w:after="0" w:line="156" w:lineRule="exact"/>
        <w:rPr>
          <w:sz w:val="20"/>
          <w:szCs w:val="20"/>
          <w:color w:val="auto"/>
        </w:rPr>
      </w:pPr>
    </w:p>
    <w:p>
      <w:pPr>
        <w:ind w:left="1687" w:hanging="576"/>
        <w:spacing w:after="0"/>
        <w:tabs>
          <w:tab w:leader="none" w:pos="1687"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98" w:lineRule="exact"/>
        <w:rPr>
          <w:rFonts w:ascii="Arial" w:cs="Arial" w:eastAsia="Arial" w:hAnsi="Arial"/>
          <w:sz w:val="15"/>
          <w:szCs w:val="15"/>
          <w:color w:val="auto"/>
        </w:rPr>
      </w:pPr>
    </w:p>
    <w:p>
      <w:pPr>
        <w:ind w:left="1667"/>
        <w:spacing w:after="0"/>
        <w:rPr>
          <w:rFonts w:ascii="Arial" w:cs="Arial" w:eastAsia="Arial" w:hAnsi="Arial"/>
          <w:sz w:val="15"/>
          <w:szCs w:val="15"/>
          <w:color w:val="auto"/>
        </w:rPr>
      </w:pPr>
      <w:r>
        <w:rPr>
          <w:rFonts w:ascii="Arial" w:cs="Arial" w:eastAsia="Arial" w:hAnsi="Arial"/>
          <w:sz w:val="15"/>
          <w:szCs w:val="15"/>
          <w:color w:val="auto"/>
        </w:rPr>
        <w:t>Selecta Biosciences, Inc.</w:t>
      </w:r>
    </w:p>
    <w:p>
      <w:pPr>
        <w:spacing w:after="0" w:line="23" w:lineRule="exact"/>
        <w:rPr>
          <w:rFonts w:ascii="Arial" w:cs="Arial" w:eastAsia="Arial" w:hAnsi="Arial"/>
          <w:sz w:val="15"/>
          <w:szCs w:val="15"/>
          <w:color w:val="auto"/>
        </w:rPr>
      </w:pPr>
    </w:p>
    <w:p>
      <w:pPr>
        <w:jc w:val="both"/>
        <w:ind w:left="1667" w:right="7700"/>
        <w:spacing w:after="0" w:line="276" w:lineRule="auto"/>
        <w:rPr>
          <w:rFonts w:ascii="Arial" w:cs="Arial" w:eastAsia="Arial" w:hAnsi="Arial"/>
          <w:sz w:val="15"/>
          <w:szCs w:val="15"/>
          <w:color w:val="auto"/>
        </w:rPr>
      </w:pPr>
      <w:r>
        <w:rPr>
          <w:rFonts w:ascii="Arial" w:cs="Arial" w:eastAsia="Arial" w:hAnsi="Arial"/>
          <w:sz w:val="14"/>
          <w:szCs w:val="14"/>
          <w:color w:val="auto"/>
        </w:rPr>
        <w:t>480 Arsenal Street, Building One Watertown, Massachusetts 02472 Attn: President</w:t>
      </w:r>
    </w:p>
    <w:p>
      <w:pPr>
        <w:ind w:left="1667"/>
        <w:spacing w:after="0"/>
        <w:rPr>
          <w:rFonts w:ascii="Arial" w:cs="Arial" w:eastAsia="Arial" w:hAnsi="Arial"/>
          <w:sz w:val="15"/>
          <w:szCs w:val="15"/>
          <w:color w:val="auto"/>
        </w:rPr>
      </w:pPr>
      <w:r>
        <w:rPr>
          <w:rFonts w:ascii="Arial" w:cs="Arial" w:eastAsia="Arial" w:hAnsi="Arial"/>
          <w:sz w:val="15"/>
          <w:szCs w:val="15"/>
          <w:color w:val="auto"/>
        </w:rPr>
        <w:t>Fax: 617-924-3454</w:t>
      </w:r>
    </w:p>
    <w:p>
      <w:pPr>
        <w:spacing w:after="0" w:line="12" w:lineRule="exact"/>
        <w:rPr>
          <w:rFonts w:ascii="Arial" w:cs="Arial" w:eastAsia="Arial" w:hAnsi="Arial"/>
          <w:sz w:val="15"/>
          <w:szCs w:val="15"/>
          <w:color w:val="auto"/>
        </w:rPr>
      </w:pPr>
    </w:p>
    <w:p>
      <w:pPr>
        <w:ind w:left="1667" w:right="7540"/>
        <w:spacing w:after="0" w:line="544" w:lineRule="auto"/>
        <w:rPr>
          <w:rFonts w:ascii="Arial" w:cs="Arial" w:eastAsia="Arial" w:hAnsi="Arial"/>
          <w:sz w:val="15"/>
          <w:szCs w:val="15"/>
          <w:color w:val="auto"/>
        </w:rPr>
      </w:pPr>
      <w:r>
        <w:rPr>
          <w:rFonts w:ascii="Arial" w:cs="Arial" w:eastAsia="Arial" w:hAnsi="Arial"/>
          <w:sz w:val="14"/>
          <w:szCs w:val="14"/>
          <w:color w:val="auto"/>
        </w:rPr>
        <w:t>E-mail: wcautreels@selectabio.com with a copy to:</w:t>
      </w:r>
    </w:p>
    <w:p>
      <w:pPr>
        <w:spacing w:after="0" w:line="1" w:lineRule="exact"/>
        <w:rPr>
          <w:rFonts w:ascii="Arial" w:cs="Arial" w:eastAsia="Arial" w:hAnsi="Arial"/>
          <w:sz w:val="15"/>
          <w:szCs w:val="15"/>
          <w:color w:val="auto"/>
        </w:rPr>
      </w:pPr>
    </w:p>
    <w:p>
      <w:pPr>
        <w:ind w:left="1667" w:right="8120"/>
        <w:spacing w:after="0" w:line="264" w:lineRule="auto"/>
        <w:rPr>
          <w:rFonts w:ascii="Arial" w:cs="Arial" w:eastAsia="Arial" w:hAnsi="Arial"/>
          <w:sz w:val="15"/>
          <w:szCs w:val="15"/>
          <w:color w:val="auto"/>
        </w:rPr>
      </w:pPr>
      <w:r>
        <w:rPr>
          <w:rFonts w:ascii="Arial" w:cs="Arial" w:eastAsia="Arial" w:hAnsi="Arial"/>
          <w:sz w:val="15"/>
          <w:szCs w:val="15"/>
          <w:color w:val="auto"/>
        </w:rPr>
        <w:t>Jeffrey L. Quillen, Esquire Foley Hoag LLP</w:t>
      </w:r>
    </w:p>
    <w:p>
      <w:pPr>
        <w:spacing w:after="0" w:line="1" w:lineRule="exact"/>
        <w:rPr>
          <w:rFonts w:ascii="Arial" w:cs="Arial" w:eastAsia="Arial" w:hAnsi="Arial"/>
          <w:sz w:val="15"/>
          <w:szCs w:val="15"/>
          <w:color w:val="auto"/>
        </w:rPr>
      </w:pPr>
    </w:p>
    <w:p>
      <w:pPr>
        <w:ind w:left="1667" w:right="7680"/>
        <w:spacing w:after="0" w:line="257" w:lineRule="auto"/>
        <w:rPr>
          <w:rFonts w:ascii="Arial" w:cs="Arial" w:eastAsia="Arial" w:hAnsi="Arial"/>
          <w:sz w:val="15"/>
          <w:szCs w:val="15"/>
          <w:color w:val="auto"/>
        </w:rPr>
      </w:pPr>
      <w:r>
        <w:rPr>
          <w:rFonts w:ascii="Arial" w:cs="Arial" w:eastAsia="Arial" w:hAnsi="Arial"/>
          <w:sz w:val="15"/>
          <w:szCs w:val="15"/>
          <w:color w:val="auto"/>
        </w:rPr>
        <w:t>Seaport World Trade Center West 155 Seaport Boulevard Boston, Massachusetts 02210 Fax: 617-832-7000</w:t>
      </w:r>
    </w:p>
    <w:p>
      <w:pPr>
        <w:spacing w:after="0" w:line="2" w:lineRule="exact"/>
        <w:rPr>
          <w:rFonts w:ascii="Arial" w:cs="Arial" w:eastAsia="Arial" w:hAnsi="Arial"/>
          <w:sz w:val="15"/>
          <w:szCs w:val="15"/>
          <w:color w:val="auto"/>
        </w:rPr>
      </w:pPr>
    </w:p>
    <w:p>
      <w:pPr>
        <w:ind w:left="1667"/>
        <w:spacing w:after="0"/>
        <w:rPr>
          <w:rFonts w:ascii="Arial" w:cs="Arial" w:eastAsia="Arial" w:hAnsi="Arial"/>
          <w:sz w:val="15"/>
          <w:szCs w:val="15"/>
          <w:color w:val="auto"/>
        </w:rPr>
      </w:pPr>
      <w:r>
        <w:rPr>
          <w:rFonts w:ascii="Arial" w:cs="Arial" w:eastAsia="Arial" w:hAnsi="Arial"/>
          <w:sz w:val="15"/>
          <w:szCs w:val="15"/>
          <w:color w:val="auto"/>
        </w:rPr>
        <w:t>E-mail: jlq@foleyhoag.com</w:t>
      </w:r>
    </w:p>
    <w:p>
      <w:pPr>
        <w:spacing w:after="0" w:line="187" w:lineRule="exact"/>
        <w:rPr>
          <w:rFonts w:ascii="Arial" w:cs="Arial" w:eastAsia="Arial" w:hAnsi="Arial"/>
          <w:sz w:val="15"/>
          <w:szCs w:val="15"/>
          <w:color w:val="auto"/>
        </w:rPr>
      </w:pPr>
    </w:p>
    <w:p>
      <w:pPr>
        <w:ind w:left="1667" w:right="260" w:hanging="556"/>
        <w:spacing w:after="0" w:line="289" w:lineRule="auto"/>
        <w:tabs>
          <w:tab w:leader="none" w:pos="1661"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If to a Purchaser, at its address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or at such other address as may have been furnished to the other parties hereto in writing by such Purchaser;</w:t>
      </w:r>
    </w:p>
    <w:p>
      <w:pPr>
        <w:spacing w:after="0" w:line="140" w:lineRule="exact"/>
        <w:rPr>
          <w:rFonts w:ascii="Arial" w:cs="Arial" w:eastAsia="Arial" w:hAnsi="Arial"/>
          <w:sz w:val="15"/>
          <w:szCs w:val="15"/>
          <w:color w:val="auto"/>
        </w:rPr>
      </w:pPr>
    </w:p>
    <w:p>
      <w:pPr>
        <w:ind w:left="1667" w:right="220" w:hanging="556"/>
        <w:spacing w:after="0" w:line="289" w:lineRule="auto"/>
        <w:tabs>
          <w:tab w:leader="none" w:pos="1671"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If to a Licensor Shareholder, at its address set forth in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or at such other address as may have been furnished to the other parties hereto in writing by such Licensor Shareholder; and</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87" w:hanging="576"/>
        <w:spacing w:after="0"/>
        <w:tabs>
          <w:tab w:leader="none" w:pos="1687"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If to a Founder, at the Company or at such other address or addresses as may have been furnished to the other parties hereto in writing by such Founder.</w:t>
      </w:r>
    </w:p>
    <w:p>
      <w:pPr>
        <w:spacing w:after="0" w:line="210"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Any party may give any notice, request, consent or other communication under this Agreement using any other means (including, without limitation, personal delivery,</w:t>
      </w:r>
    </w:p>
    <w:p>
      <w:pPr>
        <w:spacing w:after="0" w:line="23"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messenger service, first class mail or electronic mail), but no such notice, request, consent or other communication shall be deemed to have been duly given unless and until it is actually</w:t>
      </w:r>
    </w:p>
    <w:p>
      <w:pPr>
        <w:sectPr>
          <w:pgSz w:w="11900" w:h="16838" w:orient="portrait"/>
          <w:cols w:equalWidth="0" w:num="1">
            <w:col w:w="11427"/>
          </w:cols>
          <w:pgMar w:left="233" w:top="129" w:right="239" w:bottom="0" w:gutter="0" w:footer="0" w:header="0"/>
        </w:sectPr>
      </w:pPr>
    </w:p>
    <w:bookmarkStart w:id="268" w:name="page269"/>
    <w:bookmarkEnd w:id="268"/>
    <w:p>
      <w:pPr>
        <w:ind w:right="180"/>
        <w:spacing w:after="0" w:line="289" w:lineRule="auto"/>
        <w:rPr>
          <w:sz w:val="20"/>
          <w:szCs w:val="20"/>
          <w:color w:val="auto"/>
        </w:rPr>
      </w:pPr>
      <w:r>
        <w:rPr>
          <w:rFonts w:ascii="Arial" w:cs="Arial" w:eastAsia="Arial" w:hAnsi="Arial"/>
          <w:sz w:val="15"/>
          <w:szCs w:val="15"/>
          <w:color w:val="auto"/>
        </w:rPr>
        <w:t xml:space="preserve">received by the party for whom it is intended. Any party may change the address to which notices, requests, consents or other communications hereunder are to be delivered by giving the other parties notice in the manner set forth in this </w:t>
      </w:r>
      <w:r>
        <w:rPr>
          <w:rFonts w:ascii="Arial" w:cs="Arial" w:eastAsia="Arial" w:hAnsi="Arial"/>
          <w:sz w:val="15"/>
          <w:szCs w:val="15"/>
          <w:u w:val="single" w:color="auto"/>
          <w:color w:val="auto"/>
        </w:rPr>
        <w:t>Section 6.4</w:t>
      </w:r>
      <w:r>
        <w:rPr>
          <w:rFonts w:ascii="Arial" w:cs="Arial" w:eastAsia="Arial" w:hAnsi="Arial"/>
          <w:sz w:val="15"/>
          <w:szCs w:val="15"/>
          <w:color w:val="auto"/>
        </w:rPr>
        <w:t>.</w:t>
      </w:r>
    </w:p>
    <w:p>
      <w:pPr>
        <w:spacing w:after="0" w:line="141" w:lineRule="exact"/>
        <w:rPr>
          <w:sz w:val="20"/>
          <w:szCs w:val="20"/>
          <w:color w:val="auto"/>
        </w:rPr>
      </w:pPr>
    </w:p>
    <w:p>
      <w:pPr>
        <w:ind w:right="20" w:firstLine="556"/>
        <w:spacing w:after="0" w:line="280"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Complete Agreement; Amendments</w:t>
      </w:r>
      <w:r>
        <w:rPr>
          <w:rFonts w:ascii="Arial" w:cs="Arial" w:eastAsia="Arial" w:hAnsi="Arial"/>
          <w:sz w:val="14"/>
          <w:szCs w:val="14"/>
          <w:color w:val="auto"/>
        </w:rPr>
        <w:t xml:space="preserve">. This Agreement constitutes the entire agreement and understanding of the parties hereto with respect to the subject matter hereof, and supersedes all prior agreements and understandings relating to such subject matter. No amendment, modification or termination of, or waiver under, any provision of this Agreement shall be valid unless in writing and signed by (i) the Company, (ii) the Founders holding a majority of the voting power of the shares of the Company’s capital stock then held by all of the Founders and (iii) the Purchasers holding at least 66 2/3% of the Registrable Securities then held by all of the Purchasers, and any such amendment, modification, termination or waiver shall be binding on all parties hereto; provided that any such waiver or amendment which materially adversely affects the rights, privileges, duties or obligations of a Purchaser in a manner materially different than those of all other Purchasers shall not be effective without the written consent of the affected Purchaser. Notwithstanding anything to the contrary herein, neither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nor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may be amended without the prior written consent of the SRN Majority Holders, if any. Notwithstanding anything to the contrary herein, this Agreement may be amended by the Company without the consent of any of the other parties hereto to add as a party hereto and include information regarding and otherwise accommodate an additional purchaser of shares of Series E Preferred Stock pursuant to the Purchase Agreement, as may be amended from time to time; provided that any such amendment does not materially and adversely affect the rights of any Purchaser under this Agreement (it being agreed that the issuance of additional shares of capital stock in accordance with the Purchase Agreement, as may be amended or modified from time to time in accordance with its terms, and the other Financing Agreements (as such term is defined in the Purchase Agreement), each as may be modified from time to time in accordance with its respective terms, shall not be deemed to affect the Purchasers under this Agreement).</w:t>
      </w:r>
    </w:p>
    <w:p>
      <w:pPr>
        <w:spacing w:after="0" w:line="155" w:lineRule="exact"/>
        <w:rPr>
          <w:sz w:val="20"/>
          <w:szCs w:val="20"/>
          <w:color w:val="auto"/>
        </w:rPr>
      </w:pPr>
    </w:p>
    <w:p>
      <w:pPr>
        <w:ind w:right="40" w:firstLine="556"/>
        <w:spacing w:after="0" w:line="293"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Construction</w:t>
      </w:r>
      <w:r>
        <w:rPr>
          <w:rFonts w:ascii="Arial" w:cs="Arial" w:eastAsia="Arial" w:hAnsi="Arial"/>
          <w:sz w:val="14"/>
          <w:szCs w:val="14"/>
          <w:color w:val="auto"/>
        </w:rPr>
        <w:t>. A reference to a Section or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firstLine="556"/>
        <w:spacing w:after="0" w:line="26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Counterparts; Facsimile Signatures</w:t>
      </w:r>
      <w:r>
        <w:rPr>
          <w:rFonts w:ascii="Arial" w:cs="Arial" w:eastAsia="Arial" w:hAnsi="Arial"/>
          <w:sz w:val="15"/>
          <w:szCs w:val="15"/>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t>
      </w:r>
      <w:r>
        <w:rPr>
          <w:rFonts w:ascii="Arial" w:cs="Arial" w:eastAsia="Arial" w:hAnsi="Arial"/>
          <w:sz w:val="15"/>
          <w:szCs w:val="15"/>
          <w:u w:val="single" w:color="auto"/>
          <w:color w:val="auto"/>
        </w:rPr>
        <w:t>www.docusign.com</w:t>
      </w:r>
      <w:r>
        <w:rPr>
          <w:rFonts w:ascii="Arial" w:cs="Arial" w:eastAsia="Arial" w:hAnsi="Arial"/>
          <w:sz w:val="15"/>
          <w:szCs w:val="15"/>
          <w:color w:val="auto"/>
        </w:rPr>
        <w:t>) or other transmission method and any counterpart so delivered shall be deemed to have been duly and validly delivered and be valid and effective for all purposes.</w:t>
      </w:r>
    </w:p>
    <w:p>
      <w:pPr>
        <w:spacing w:after="0" w:line="156" w:lineRule="exact"/>
        <w:rPr>
          <w:sz w:val="20"/>
          <w:szCs w:val="20"/>
          <w:color w:val="auto"/>
        </w:rPr>
      </w:pPr>
    </w:p>
    <w:p>
      <w:pPr>
        <w:ind w:right="40" w:firstLine="556"/>
        <w:spacing w:after="0" w:line="283"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Amended and Restated Agreement</w:t>
      </w:r>
      <w:r>
        <w:rPr>
          <w:rFonts w:ascii="Arial" w:cs="Arial" w:eastAsia="Arial" w:hAnsi="Arial"/>
          <w:sz w:val="14"/>
          <w:szCs w:val="14"/>
          <w:color w:val="auto"/>
        </w:rPr>
        <w:t>. The Former Investors’ Rights Agreement is hereby amended in its entirety and restated herein. Such amendment and restatement is effective upon the execution of this Agreement by (i) the Company; (ii) the Founders holding a majority of the voting power of the shares held by all of the Founders; and (iii) the Purchasers (as such term is defined in the Former Investors’ Rights Agreement) holding at least 66 2/3% of the voting power of the Registrable Securities (as such term is defined in the Former Investors’ Rights Agreement) held by all such Purchasers as of the date of this Agreement. Upon such execution, all provisions of, rights granted and covenants made in the Former Investors’ Rights Agreement are hereby waived, released and superseded in their entirety and shall have no further force or effect, including, without limitation, all participation rights and any notice period associated therewith otherwise applicable to the transactions contemplated by the Purchase Agreement. Each of such Founders and Purchasers acknowledge and agree that the execution and delivery by the Company of this Agreement, the Purchase Agreement and the additional Financing Agreements and the performance by the Company of its obligations thereunder do not constitute a default under the provisions of the Former Investors’ Rights Agreement.</w:t>
      </w:r>
    </w:p>
    <w:p>
      <w:pPr>
        <w:spacing w:after="0" w:line="149" w:lineRule="exact"/>
        <w:rPr>
          <w:sz w:val="20"/>
          <w:szCs w:val="20"/>
          <w:color w:val="auto"/>
        </w:rPr>
      </w:pPr>
    </w:p>
    <w:p>
      <w:pPr>
        <w:ind w:right="80" w:firstLine="556"/>
        <w:spacing w:after="0" w:line="262"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Dispute Resolution</w:t>
      </w:r>
      <w:r>
        <w:rPr>
          <w:rFonts w:ascii="Arial" w:cs="Arial" w:eastAsia="Arial" w:hAnsi="Arial"/>
          <w:sz w:val="15"/>
          <w:szCs w:val="15"/>
          <w:color w:val="auto"/>
        </w:rPr>
        <w:t>. Any dispute, controversy or claim arising out of or relating to this Agreement, including its existence, validity, interpretation, performance, non-performance, breach or termination (collectively, the “</w:t>
      </w:r>
      <w:r>
        <w:rPr>
          <w:rFonts w:ascii="Arial" w:cs="Arial" w:eastAsia="Arial" w:hAnsi="Arial"/>
          <w:sz w:val="15"/>
          <w:szCs w:val="15"/>
          <w:u w:val="single" w:color="auto"/>
          <w:color w:val="auto"/>
        </w:rPr>
        <w:t>Dispute</w:t>
      </w:r>
      <w:r>
        <w:rPr>
          <w:rFonts w:ascii="Arial" w:cs="Arial" w:eastAsia="Arial" w:hAnsi="Arial"/>
          <w:sz w:val="15"/>
          <w:szCs w:val="15"/>
          <w:color w:val="auto"/>
        </w:rPr>
        <w:t>”) shall be finally settled under the Rules of Arbitration of the International Chamber of Commerce (the “</w:t>
      </w:r>
      <w:r>
        <w:rPr>
          <w:rFonts w:ascii="Arial" w:cs="Arial" w:eastAsia="Arial" w:hAnsi="Arial"/>
          <w:sz w:val="15"/>
          <w:szCs w:val="15"/>
          <w:u w:val="single" w:color="auto"/>
          <w:color w:val="auto"/>
        </w:rPr>
        <w:t>ICC Rules</w:t>
      </w:r>
      <w:r>
        <w:rPr>
          <w:rFonts w:ascii="Arial" w:cs="Arial" w:eastAsia="Arial" w:hAnsi="Arial"/>
          <w:sz w:val="15"/>
          <w:szCs w:val="15"/>
          <w:color w:val="auto"/>
        </w:rPr>
        <w:t>”), except as they may be modified herein or by mutual agreement of the parties. The Dispute shall be resolved by three (3) arbitrators appointed in the following manner: each party shall nominate an arbitrator for confirmation as provided in the ICC Rules and following their confirmation, the third arbitrator shall be appointed by the International Court of Arbitration of the International Chamber of Commerce; provided, however, that at least one (1) of such arbitrators shall have substantive expertise in the pharmaceutical industry. The place of arbitration shall be New York, New York. The language of the arbitration shall be English. The tribunal shall determine the proportion of the costs of the arbitration which each party shall bear. The award shall be final, conclusive and binding upon the parties hereto. Judgment upon the award may be entered by any court having jurisdiction thereof or having jurisdiction over the relevant party or its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WITNESS WHEREOF, the parties hereto have executed this Fifth Amended and Restated Investors’ Rights Agreement as an instrument under seal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SELECTA BIOSCIENCES, INC.</w:t>
      </w:r>
    </w:p>
    <w:p>
      <w:pPr>
        <w:spacing w:after="0" w:line="381"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Werner Cautreels</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Werner Cautreels</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President and CEO</w:t>
            </w:r>
          </w:p>
        </w:tc>
      </w:tr>
    </w:tbl>
    <w:p>
      <w:pPr>
        <w:spacing w:after="0" w:line="354"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FOUNDERS:</w:t>
      </w:r>
    </w:p>
    <w:p>
      <w:pPr>
        <w:spacing w:after="0" w:line="38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Omid Farokhzad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Ulrich von Andrian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Ulrich von Andrian</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Robert S. Langer,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Robert S. Langer, Jr.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tabs>
          <w:tab w:leader="none" w:pos="58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POLARIS VENTURE PARTNERS V, L.P.</w:t>
      </w:r>
    </w:p>
    <w:p>
      <w:pPr>
        <w:spacing w:after="0" w:line="204"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15"/>
          <w:szCs w:val="15"/>
          <w:color w:val="auto"/>
        </w:rPr>
        <w:t>its General Partner</w:t>
      </w:r>
    </w:p>
    <w:p>
      <w:pPr>
        <w:sectPr>
          <w:pgSz w:w="11900" w:h="16838" w:orient="portrait"/>
          <w:cols w:equalWidth="0" w:num="1">
            <w:col w:w="11440"/>
          </w:cols>
          <w:pgMar w:left="240" w:top="129" w:right="219" w:bottom="0" w:gutter="0" w:footer="0" w:header="0"/>
        </w:sectPr>
      </w:pPr>
    </w:p>
    <w:bookmarkStart w:id="269" w:name="page270"/>
    <w:bookmarkEnd w:id="269"/>
    <w:p>
      <w:pPr>
        <w:spacing w:after="0" w:line="27"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ENTREPRENEURS’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FOUNDERS’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6280"/>
        <w:spacing w:after="0"/>
        <w:tabs>
          <w:tab w:leader="none" w:pos="6700" w:val="left"/>
        </w:tabs>
        <w:rPr>
          <w:sz w:val="20"/>
          <w:szCs w:val="20"/>
          <w:color w:val="auto"/>
        </w:rPr>
      </w:pPr>
      <w:r>
        <w:rPr>
          <w:rFonts w:ascii="Arial" w:cs="Arial" w:eastAsia="Arial" w:hAnsi="Arial"/>
          <w:sz w:val="15"/>
          <w:szCs w:val="15"/>
          <w:color w:val="auto"/>
        </w:rPr>
        <w:t>By:</w:t>
        <w:tab/>
        <w:t>/s/ William E.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14605</wp:posOffset>
            </wp:positionV>
            <wp:extent cx="300799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William E. Bilodeau</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5"/>
          <w:szCs w:val="15"/>
          <w:color w:val="auto"/>
        </w:rPr>
        <w:t>Attorney-in-fact</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POLARIS VENTURE PARTNERS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SPECIAL FOUNDERS’ FUND V, L.P.</w:t>
      </w:r>
    </w:p>
    <w:p>
      <w:pPr>
        <w:spacing w:after="0" w:line="18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5"/>
          <w:szCs w:val="15"/>
          <w:color w:val="auto"/>
        </w:rPr>
        <w:t>By:</w:t>
        <w:tab/>
        <w:t>POLARIS VENTURE MANAGEMENT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CO. V, L.L.C.</w:t>
      </w:r>
    </w:p>
    <w:p>
      <w:pPr>
        <w:spacing w:after="0" w:line="1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60"/>
              <w:spacing w:after="0"/>
              <w:rPr>
                <w:sz w:val="20"/>
                <w:szCs w:val="20"/>
                <w:color w:val="auto"/>
              </w:rPr>
            </w:pPr>
            <w:r>
              <w:rPr>
                <w:rFonts w:ascii="Arial" w:cs="Arial" w:eastAsia="Arial" w:hAnsi="Arial"/>
                <w:sz w:val="15"/>
                <w:szCs w:val="15"/>
                <w:color w:val="auto"/>
              </w:rPr>
              <w:t>By:   /s/ William E. Bilodeau</w:t>
            </w:r>
          </w:p>
        </w:tc>
        <w:tc>
          <w:tcPr>
            <w:tcW w:w="20" w:type="dxa"/>
            <w:vAlign w:val="bottom"/>
          </w:tcPr>
          <w:p>
            <w:pPr>
              <w:spacing w:after="0"/>
              <w:rPr>
                <w:sz w:val="17"/>
                <w:szCs w:val="17"/>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William E. Bilodeau</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Attorney-in-fact</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gridSpan w:val="2"/>
          </w:tcPr>
          <w:p>
            <w:pPr>
              <w:spacing w:after="0"/>
              <w:rPr>
                <w:sz w:val="24"/>
                <w:szCs w:val="24"/>
                <w:color w:val="auto"/>
              </w:rPr>
            </w:pPr>
          </w:p>
        </w:tc>
        <w:tc>
          <w:tcPr>
            <w:tcW w:w="524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7"/>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FLAGSHIP VENTURES FUND 2007,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Flagship Ventures 2007 General Partner LLC,</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Edwin M. Kania, Jr.</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2"/>
          </w:tcPr>
          <w:p>
            <w:pPr>
              <w:spacing w:after="0" w:line="167" w:lineRule="exact"/>
              <w:rPr>
                <w:sz w:val="20"/>
                <w:szCs w:val="20"/>
                <w:color w:val="auto"/>
              </w:rPr>
            </w:pPr>
            <w:r>
              <w:rPr>
                <w:rFonts w:ascii="Arial" w:cs="Arial" w:eastAsia="Arial" w:hAnsi="Arial"/>
                <w:sz w:val="15"/>
                <w:szCs w:val="15"/>
                <w:color w:val="auto"/>
              </w:rPr>
              <w:t>Edwin M. Kania, Jr.</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Manager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4"/>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7"/>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NANODIMENSION,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NanoDimension Management Limited, its</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ind w:left="20"/>
              <w:spacing w:after="0"/>
              <w:rPr>
                <w:sz w:val="20"/>
                <w:szCs w:val="20"/>
                <w:color w:val="auto"/>
              </w:rPr>
            </w:pPr>
            <w:r>
              <w:rPr>
                <w:rFonts w:ascii="Arial" w:cs="Arial" w:eastAsia="Arial" w:hAnsi="Arial"/>
                <w:sz w:val="15"/>
                <w:szCs w:val="15"/>
                <w:color w:val="auto"/>
              </w:rPr>
              <w:t>General Partner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Jonathan Nicholson</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2"/>
          </w:tcPr>
          <w:p>
            <w:pPr>
              <w:spacing w:after="0" w:line="167" w:lineRule="exact"/>
              <w:rPr>
                <w:sz w:val="20"/>
                <w:szCs w:val="20"/>
                <w:color w:val="auto"/>
              </w:rPr>
            </w:pPr>
            <w:r>
              <w:rPr>
                <w:rFonts w:ascii="Arial" w:cs="Arial" w:eastAsia="Arial" w:hAnsi="Arial"/>
                <w:sz w:val="15"/>
                <w:szCs w:val="15"/>
                <w:color w:val="auto"/>
              </w:rPr>
              <w:t>Jonathan Nicholson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4"/>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4"/>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59"/>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4"/>
          </w:tcPr>
          <w:p>
            <w:pPr>
              <w:ind w:left="3520"/>
              <w:spacing w:after="0"/>
              <w:rPr>
                <w:sz w:val="20"/>
                <w:szCs w:val="20"/>
                <w:color w:val="auto"/>
              </w:rPr>
            </w:pPr>
            <w:r>
              <w:rPr>
                <w:rFonts w:ascii="Arial" w:cs="Arial" w:eastAsia="Arial" w:hAnsi="Arial"/>
                <w:sz w:val="15"/>
                <w:szCs w:val="15"/>
                <w:color w:val="auto"/>
              </w:rPr>
              <w:t>ORBIMED ASSOCIATES III, LP</w:t>
            </w:r>
          </w:p>
        </w:tc>
        <w:tc>
          <w:tcPr>
            <w:tcW w:w="20" w:type="dxa"/>
            <w:vAlign w:val="bottom"/>
          </w:tcPr>
          <w:p>
            <w:pPr>
              <w:spacing w:after="0"/>
              <w:rPr>
                <w:sz w:val="24"/>
                <w:szCs w:val="24"/>
                <w:color w:val="auto"/>
              </w:rPr>
            </w:pPr>
          </w:p>
        </w:tc>
      </w:tr>
      <w:tr>
        <w:trPr>
          <w:trHeight w:val="360"/>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5340" w:type="dxa"/>
            <w:vAlign w:val="bottom"/>
            <w:gridSpan w:val="3"/>
          </w:tcPr>
          <w:p>
            <w:pPr>
              <w:spacing w:after="0"/>
              <w:rPr>
                <w:sz w:val="20"/>
                <w:szCs w:val="20"/>
                <w:color w:val="auto"/>
              </w:rPr>
            </w:pPr>
            <w:r>
              <w:rPr>
                <w:rFonts w:ascii="Arial" w:cs="Arial" w:eastAsia="Arial" w:hAnsi="Arial"/>
                <w:sz w:val="15"/>
                <w:szCs w:val="15"/>
                <w:color w:val="auto"/>
              </w:rPr>
              <w:t>OrbiMed Advisors LLC,</w:t>
            </w:r>
          </w:p>
        </w:tc>
        <w:tc>
          <w:tcPr>
            <w:tcW w:w="20" w:type="dxa"/>
            <w:vAlign w:val="bottom"/>
          </w:tcPr>
          <w:p>
            <w:pPr>
              <w:spacing w:after="0"/>
              <w:rPr>
                <w:sz w:val="24"/>
                <w:szCs w:val="2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5"/>
                <w:szCs w:val="15"/>
                <w:color w:val="auto"/>
              </w:rPr>
              <w:t>its General Partner</w:t>
            </w:r>
          </w:p>
        </w:tc>
        <w:tc>
          <w:tcPr>
            <w:tcW w:w="20" w:type="dxa"/>
            <w:vAlign w:val="bottom"/>
          </w:tcPr>
          <w:p>
            <w:pPr>
              <w:spacing w:after="0"/>
              <w:rPr>
                <w:sz w:val="17"/>
                <w:szCs w:val="17"/>
                <w:color w:val="auto"/>
              </w:rPr>
            </w:pPr>
          </w:p>
        </w:tc>
      </w:tr>
      <w:tr>
        <w:trPr>
          <w:trHeight w:val="556"/>
        </w:trPr>
        <w:tc>
          <w:tcPr>
            <w:tcW w:w="2220" w:type="dxa"/>
            <w:vAlign w:val="bottom"/>
          </w:tcPr>
          <w:p>
            <w:pPr>
              <w:spacing w:after="0"/>
              <w:rPr>
                <w:sz w:val="24"/>
                <w:szCs w:val="24"/>
                <w:color w:val="auto"/>
              </w:rPr>
            </w:pPr>
          </w:p>
        </w:tc>
        <w:tc>
          <w:tcPr>
            <w:tcW w:w="3900" w:type="dxa"/>
            <w:vAlign w:val="bottom"/>
          </w:tcPr>
          <w:p>
            <w:pPr>
              <w:ind w:left="3520"/>
              <w:spacing w:after="0"/>
              <w:rPr>
                <w:sz w:val="20"/>
                <w:szCs w:val="20"/>
                <w:color w:val="auto"/>
              </w:rPr>
            </w:pPr>
            <w:r>
              <w:rPr>
                <w:rFonts w:ascii="Arial" w:cs="Arial" w:eastAsia="Arial" w:hAnsi="Arial"/>
                <w:sz w:val="15"/>
                <w:szCs w:val="15"/>
                <w:color w:val="auto"/>
              </w:rPr>
              <w:t>By:</w:t>
            </w:r>
          </w:p>
        </w:tc>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Carl Gordon</w:t>
            </w:r>
          </w:p>
        </w:tc>
        <w:tc>
          <w:tcPr>
            <w:tcW w:w="20" w:type="dxa"/>
            <w:vAlign w:val="bottom"/>
          </w:tcPr>
          <w:p>
            <w:pPr>
              <w:spacing w:after="0"/>
              <w:rPr>
                <w:sz w:val="24"/>
                <w:szCs w:val="24"/>
                <w:color w:val="auto"/>
              </w:rPr>
            </w:pPr>
          </w:p>
        </w:tc>
      </w:tr>
      <w:tr>
        <w:trPr>
          <w:trHeight w:val="166"/>
        </w:trPr>
        <w:tc>
          <w:tcPr>
            <w:tcW w:w="2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340" w:type="dxa"/>
            <w:vAlign w:val="bottom"/>
            <w:gridSpan w:val="3"/>
          </w:tcPr>
          <w:p>
            <w:pPr>
              <w:spacing w:after="0" w:line="167" w:lineRule="exact"/>
              <w:rPr>
                <w:sz w:val="20"/>
                <w:szCs w:val="20"/>
                <w:color w:val="auto"/>
              </w:rPr>
            </w:pPr>
            <w:r>
              <w:rPr>
                <w:rFonts w:ascii="Arial" w:cs="Arial" w:eastAsia="Arial" w:hAnsi="Arial"/>
                <w:sz w:val="15"/>
                <w:szCs w:val="15"/>
                <w:color w:val="auto"/>
              </w:rPr>
              <w:t>Carl Gordon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5"/>
                <w:szCs w:val="15"/>
                <w:color w:val="auto"/>
              </w:rPr>
              <w:t>Member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-4649470</wp:posOffset>
            </wp:positionV>
            <wp:extent cx="12700"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-4649470</wp:posOffset>
            </wp:positionV>
            <wp:extent cx="12700"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-2958465</wp:posOffset>
            </wp:positionV>
            <wp:extent cx="12700" cy="2730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-2958465</wp:posOffset>
            </wp:positionV>
            <wp:extent cx="12700" cy="2730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7279005</wp:posOffset>
            </wp:positionH>
            <wp:positionV relativeFrom="paragraph">
              <wp:posOffset>-1266825</wp:posOffset>
            </wp:positionV>
            <wp:extent cx="12700"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12700" cy="27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34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ORBIMED PRIVATE INVESTMENTS III, LP</w:t>
      </w:r>
    </w:p>
    <w:p>
      <w:pPr>
        <w:spacing w:after="0" w:line="198"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OrbiMed Capital GP III LLC,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its General Partner</w:t>
      </w:r>
    </w:p>
    <w:p>
      <w:pPr>
        <w:spacing w:after="0" w:line="188" w:lineRule="exact"/>
        <w:rPr>
          <w:sz w:val="20"/>
          <w:szCs w:val="20"/>
          <w:color w:val="auto"/>
        </w:rPr>
      </w:pPr>
    </w:p>
    <w:p>
      <w:pPr>
        <w:ind w:left="5740"/>
        <w:spacing w:after="0"/>
        <w:tabs>
          <w:tab w:leader="none" w:pos="61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OrbiMed Advisors LLC,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its Managing Member</w:t>
      </w:r>
    </w:p>
    <w:p>
      <w:pPr>
        <w:sectPr>
          <w:pgSz w:w="11900" w:h="16866" w:orient="portrait"/>
          <w:cols w:equalWidth="0" w:num="1">
            <w:col w:w="11480"/>
          </w:cols>
          <w:pgMar w:left="220" w:top="314" w:right="199" w:bottom="0" w:gutter="0" w:footer="0" w:header="0"/>
        </w:sectPr>
      </w:pPr>
    </w:p>
    <w:bookmarkStart w:id="270" w:name="page271"/>
    <w:bookmarkEnd w:id="270"/>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Carl Gordon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Member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80" w:type="dxa"/>
            <w:vAlign w:val="bottom"/>
            <w:gridSpan w:val="2"/>
          </w:tcPr>
          <w:p>
            <w:pPr>
              <w:ind w:left="2360"/>
              <w:spacing w:after="0"/>
              <w:rPr>
                <w:sz w:val="20"/>
                <w:szCs w:val="20"/>
                <w:color w:val="auto"/>
              </w:rPr>
            </w:pPr>
            <w:r>
              <w:rPr>
                <w:rFonts w:ascii="Arial" w:cs="Arial" w:eastAsia="Arial" w:hAnsi="Arial"/>
                <w:sz w:val="15"/>
                <w:szCs w:val="15"/>
                <w:color w:val="auto"/>
              </w:rPr>
              <w:t>EMINENT II VENTURE CAPTIAL CORPORATION</w:t>
            </w:r>
          </w:p>
        </w:tc>
      </w:tr>
      <w:tr>
        <w:trPr>
          <w:trHeight w:val="556"/>
        </w:trPr>
        <w:tc>
          <w:tcPr>
            <w:tcW w:w="3360" w:type="dxa"/>
            <w:vAlign w:val="bottom"/>
          </w:tcPr>
          <w:p>
            <w:pPr>
              <w:spacing w:after="0"/>
              <w:rPr>
                <w:sz w:val="24"/>
                <w:szCs w:val="24"/>
                <w:color w:val="auto"/>
              </w:rPr>
            </w:pPr>
          </w:p>
        </w:tc>
        <w:tc>
          <w:tcPr>
            <w:tcW w:w="2940" w:type="dxa"/>
            <w:vAlign w:val="bottom"/>
          </w:tcPr>
          <w:p>
            <w:pPr>
              <w:ind w:left="236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Ching-Chen Huang</w:t>
            </w:r>
          </w:p>
        </w:tc>
      </w:tr>
      <w:tr>
        <w:trPr>
          <w:trHeight w:val="167"/>
        </w:trPr>
        <w:tc>
          <w:tcPr>
            <w:tcW w:w="3360" w:type="dxa"/>
            <w:vAlign w:val="bottom"/>
          </w:tcPr>
          <w:p>
            <w:pPr>
              <w:spacing w:after="0"/>
              <w:rPr>
                <w:sz w:val="14"/>
                <w:szCs w:val="14"/>
                <w:color w:val="auto"/>
              </w:rPr>
            </w:pPr>
          </w:p>
        </w:tc>
        <w:tc>
          <w:tcPr>
            <w:tcW w:w="2940" w:type="dxa"/>
            <w:vAlign w:val="bottom"/>
          </w:tcPr>
          <w:p>
            <w:pPr>
              <w:ind w:left="2360"/>
              <w:spacing w:after="0" w:line="167"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7" w:lineRule="exact"/>
              <w:rPr>
                <w:sz w:val="20"/>
                <w:szCs w:val="20"/>
                <w:color w:val="auto"/>
              </w:rPr>
            </w:pPr>
            <w:r>
              <w:rPr>
                <w:rFonts w:ascii="Arial" w:cs="Arial" w:eastAsia="Arial" w:hAnsi="Arial"/>
                <w:sz w:val="15"/>
                <w:szCs w:val="15"/>
                <w:color w:val="auto"/>
              </w:rPr>
              <w:t>Ching-Chen Huang</w:t>
            </w:r>
          </w:p>
        </w:tc>
      </w:tr>
      <w:tr>
        <w:trPr>
          <w:trHeight w:val="196"/>
        </w:trPr>
        <w:tc>
          <w:tcPr>
            <w:tcW w:w="3360" w:type="dxa"/>
            <w:vAlign w:val="bottom"/>
          </w:tcPr>
          <w:p>
            <w:pPr>
              <w:spacing w:after="0"/>
              <w:rPr>
                <w:sz w:val="17"/>
                <w:szCs w:val="17"/>
                <w:color w:val="auto"/>
              </w:rPr>
            </w:pPr>
          </w:p>
        </w:tc>
        <w:tc>
          <w:tcPr>
            <w:tcW w:w="2940" w:type="dxa"/>
            <w:vAlign w:val="bottom"/>
          </w:tcPr>
          <w:p>
            <w:pPr>
              <w:ind w:left="236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President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LEUKON INVESTMENTS, LP</w:t>
      </w:r>
    </w:p>
    <w:p>
      <w:pPr>
        <w:spacing w:after="0" w:line="204"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LKST, Inc., its General Partner</w:t>
      </w:r>
    </w:p>
    <w:p>
      <w:pPr>
        <w:spacing w:after="0" w:line="19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Timothy A. Springer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President</w:t>
      </w:r>
    </w:p>
    <w:p>
      <w:pPr>
        <w:spacing w:after="0" w:line="37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TAS PARTNERS, LLC</w:t>
      </w:r>
    </w:p>
    <w:p>
      <w:pPr>
        <w:spacing w:after="0" w:line="383"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390265"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390265" cy="7620"/>
                    </a:xfrm>
                    <a:prstGeom prst="rect">
                      <a:avLst/>
                    </a:prstGeom>
                    <a:noFill/>
                  </pic:spPr>
                </pic:pic>
              </a:graphicData>
            </a:graphic>
          </wp:anchor>
        </w:drawing>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Timothy A. Springer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Manager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w:t>
      </w:r>
      <w:r>
        <w:rPr>
          <w:sz w:val="20"/>
          <w:szCs w:val="20"/>
          <w:color w:val="auto"/>
        </w:rPr>
        <w:tab/>
      </w:r>
      <w:r>
        <w:rPr>
          <w:rFonts w:ascii="Arial" w:cs="Arial" w:eastAsia="Arial" w:hAnsi="Arial"/>
          <w:sz w:val="15"/>
          <w:szCs w:val="15"/>
          <w:color w:val="auto"/>
        </w:rPr>
        <w:t>RUSNANO</w:t>
      </w:r>
    </w:p>
    <w:p>
      <w:pPr>
        <w:spacing w:after="0" w:line="389" w:lineRule="exact"/>
        <w:rPr>
          <w:sz w:val="20"/>
          <w:szCs w:val="20"/>
          <w:color w:val="auto"/>
        </w:rPr>
      </w:pPr>
    </w:p>
    <w:tbl>
      <w:tblPr>
        <w:tblLayout w:type="fixed"/>
        <w:tblInd w:w="5720" w:type="dxa"/>
        <w:tblCellMar>
          <w:top w:w="0" w:type="dxa"/>
          <w:left w:w="0" w:type="dxa"/>
          <w:bottom w:w="0" w:type="dxa"/>
          <w:right w:w="0" w:type="dxa"/>
        </w:tblCellMar>
      </w:tblPr>
      <w:tr>
        <w:trPr>
          <w:trHeight w:val="196"/>
        </w:trPr>
        <w:tc>
          <w:tcPr>
            <w:tcW w:w="580" w:type="dxa"/>
            <w:vAlign w:val="bottom"/>
          </w:tcPr>
          <w:p>
            <w:pPr>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Yuri Udaltsov</w:t>
            </w:r>
          </w:p>
        </w:tc>
      </w:tr>
      <w:tr>
        <w:trPr>
          <w:trHeight w:val="167"/>
        </w:trPr>
        <w:tc>
          <w:tcPr>
            <w:tcW w:w="58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7" w:lineRule="exact"/>
              <w:rPr>
                <w:sz w:val="20"/>
                <w:szCs w:val="20"/>
                <w:color w:val="auto"/>
              </w:rPr>
            </w:pPr>
            <w:r>
              <w:rPr>
                <w:rFonts w:ascii="Arial" w:cs="Arial" w:eastAsia="Arial" w:hAnsi="Arial"/>
                <w:sz w:val="15"/>
                <w:szCs w:val="15"/>
                <w:color w:val="auto"/>
              </w:rPr>
              <w:t>Yuri Udaltsov</w:t>
            </w:r>
          </w:p>
        </w:tc>
      </w:tr>
      <w:tr>
        <w:trPr>
          <w:trHeight w:val="185"/>
        </w:trPr>
        <w:tc>
          <w:tcPr>
            <w:tcW w:w="580" w:type="dxa"/>
            <w:vAlign w:val="bottom"/>
          </w:tcPr>
          <w:p>
            <w:pPr>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Deputy Chairman of the Management Board of Management Company</w:t>
            </w:r>
          </w:p>
        </w:tc>
      </w:tr>
      <w:tr>
        <w:trPr>
          <w:trHeight w:val="196"/>
        </w:trPr>
        <w:tc>
          <w:tcPr>
            <w:tcW w:w="58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5"/>
                <w:szCs w:val="15"/>
                <w:color w:val="auto"/>
              </w:rPr>
              <w:t>RUSNANO LLC acting on the basis of a power of attorney</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w:t>
            </w: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ALEXANDRIA EQUITIES, LLC</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A Delaware limited liability company</w:t>
            </w:r>
          </w:p>
        </w:tc>
      </w:tr>
      <w:tr>
        <w:trPr>
          <w:trHeight w:val="360"/>
        </w:trPr>
        <w:tc>
          <w:tcPr>
            <w:tcW w:w="3400" w:type="dxa"/>
            <w:vAlign w:val="bottom"/>
          </w:tcPr>
          <w:p>
            <w:pPr>
              <w:spacing w:after="0"/>
              <w:rPr>
                <w:sz w:val="24"/>
                <w:szCs w:val="24"/>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By: ALEXANDRIA REAL ESTATE EQUITIES,</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400"/>
              <w:spacing w:after="0"/>
              <w:rPr>
                <w:sz w:val="20"/>
                <w:szCs w:val="20"/>
                <w:color w:val="auto"/>
              </w:rPr>
            </w:pPr>
            <w:r>
              <w:rPr>
                <w:rFonts w:ascii="Arial" w:cs="Arial" w:eastAsia="Arial" w:hAnsi="Arial"/>
                <w:sz w:val="15"/>
                <w:szCs w:val="15"/>
                <w:color w:val="auto"/>
              </w:rPr>
              <w:t>INC., a Maryland corporation, managing member</w:t>
            </w:r>
          </w:p>
        </w:tc>
      </w:tr>
      <w:tr>
        <w:trPr>
          <w:trHeight w:val="556"/>
        </w:trPr>
        <w:tc>
          <w:tcPr>
            <w:tcW w:w="3400" w:type="dxa"/>
            <w:vAlign w:val="bottom"/>
          </w:tcPr>
          <w:p>
            <w:pPr>
              <w:spacing w:after="0"/>
              <w:rPr>
                <w:sz w:val="24"/>
                <w:szCs w:val="24"/>
                <w:color w:val="auto"/>
              </w:rPr>
            </w:pPr>
          </w:p>
        </w:tc>
        <w:tc>
          <w:tcPr>
            <w:tcW w:w="3140" w:type="dxa"/>
            <w:vAlign w:val="bottom"/>
          </w:tcPr>
          <w:p>
            <w:pPr>
              <w:ind w:left="2400"/>
              <w:spacing w:after="0"/>
              <w:rPr>
                <w:sz w:val="20"/>
                <w:szCs w:val="20"/>
                <w:color w:val="auto"/>
              </w:rPr>
            </w:pPr>
            <w:r>
              <w:rPr>
                <w:rFonts w:ascii="Arial" w:cs="Arial" w:eastAsia="Arial" w:hAnsi="Arial"/>
                <w:sz w:val="15"/>
                <w:szCs w:val="15"/>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Eric S. Johnson</w:t>
            </w:r>
          </w:p>
        </w:tc>
      </w:tr>
      <w:tr>
        <w:trPr>
          <w:trHeight w:val="167"/>
        </w:trPr>
        <w:tc>
          <w:tcPr>
            <w:tcW w:w="3400" w:type="dxa"/>
            <w:vAlign w:val="bottom"/>
          </w:tcPr>
          <w:p>
            <w:pPr>
              <w:spacing w:after="0"/>
              <w:rPr>
                <w:sz w:val="14"/>
                <w:szCs w:val="14"/>
                <w:color w:val="auto"/>
              </w:rPr>
            </w:pPr>
          </w:p>
        </w:tc>
        <w:tc>
          <w:tcPr>
            <w:tcW w:w="3140" w:type="dxa"/>
            <w:vAlign w:val="bottom"/>
          </w:tcPr>
          <w:p>
            <w:pPr>
              <w:ind w:left="2400"/>
              <w:spacing w:after="0" w:line="167" w:lineRule="exact"/>
              <w:rPr>
                <w:sz w:val="20"/>
                <w:szCs w:val="20"/>
                <w:color w:val="auto"/>
              </w:rPr>
            </w:pPr>
            <w:r>
              <w:rPr>
                <w:rFonts w:ascii="Arial" w:cs="Arial" w:eastAsia="Arial" w:hAnsi="Arial"/>
                <w:sz w:val="15"/>
                <w:szCs w:val="15"/>
                <w:color w:val="auto"/>
              </w:rPr>
              <w:t>Name:</w:t>
            </w:r>
          </w:p>
        </w:tc>
        <w:tc>
          <w:tcPr>
            <w:tcW w:w="4900" w:type="dxa"/>
            <w:vAlign w:val="bottom"/>
          </w:tcPr>
          <w:p>
            <w:pPr>
              <w:spacing w:after="0" w:line="167" w:lineRule="exact"/>
              <w:rPr>
                <w:sz w:val="20"/>
                <w:szCs w:val="20"/>
                <w:color w:val="auto"/>
              </w:rPr>
            </w:pPr>
            <w:r>
              <w:rPr>
                <w:rFonts w:ascii="Arial" w:cs="Arial" w:eastAsia="Arial" w:hAnsi="Arial"/>
                <w:sz w:val="15"/>
                <w:szCs w:val="15"/>
                <w:color w:val="auto"/>
              </w:rPr>
              <w:t>Eric S. Johnson</w:t>
            </w:r>
          </w:p>
        </w:tc>
      </w:tr>
      <w:tr>
        <w:trPr>
          <w:trHeight w:val="185"/>
        </w:trPr>
        <w:tc>
          <w:tcPr>
            <w:tcW w:w="3400" w:type="dxa"/>
            <w:vAlign w:val="bottom"/>
          </w:tcPr>
          <w:p>
            <w:pPr>
              <w:spacing w:after="0"/>
              <w:rPr>
                <w:sz w:val="16"/>
                <w:szCs w:val="16"/>
                <w:color w:val="auto"/>
              </w:rPr>
            </w:pPr>
          </w:p>
        </w:tc>
        <w:tc>
          <w:tcPr>
            <w:tcW w:w="3140" w:type="dxa"/>
            <w:vAlign w:val="bottom"/>
          </w:tcPr>
          <w:p>
            <w:pPr>
              <w:ind w:left="2400"/>
              <w:spacing w:after="0"/>
              <w:rPr>
                <w:sz w:val="20"/>
                <w:szCs w:val="20"/>
                <w:color w:val="auto"/>
              </w:rPr>
            </w:pPr>
            <w:r>
              <w:rPr>
                <w:rFonts w:ascii="Arial" w:cs="Arial" w:eastAsia="Arial" w:hAnsi="Arial"/>
                <w:sz w:val="15"/>
                <w:szCs w:val="15"/>
                <w:color w:val="auto"/>
              </w:rPr>
              <w:t>Title:</w:t>
            </w:r>
          </w:p>
        </w:tc>
        <w:tc>
          <w:tcPr>
            <w:tcW w:w="4900" w:type="dxa"/>
            <w:vAlign w:val="bottom"/>
          </w:tcPr>
          <w:p>
            <w:pPr>
              <w:spacing w:after="0"/>
              <w:rPr>
                <w:sz w:val="20"/>
                <w:szCs w:val="20"/>
                <w:color w:val="auto"/>
              </w:rPr>
            </w:pPr>
            <w:r>
              <w:rPr>
                <w:rFonts w:ascii="Arial" w:cs="Arial" w:eastAsia="Arial" w:hAnsi="Arial"/>
                <w:sz w:val="15"/>
                <w:szCs w:val="15"/>
                <w:color w:val="auto"/>
              </w:rPr>
              <w:t>Senior Vice President</w:t>
            </w:r>
          </w:p>
        </w:tc>
      </w:tr>
      <w:tr>
        <w:trPr>
          <w:trHeight w:val="196"/>
        </w:trPr>
        <w:tc>
          <w:tcPr>
            <w:tcW w:w="34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RE Legal Affairs</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8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BIODYNAMICS CORE, L.P.</w:t>
      </w:r>
    </w:p>
    <w:p>
      <w:pPr>
        <w:spacing w:after="0" w:line="204" w:lineRule="exact"/>
        <w:rPr>
          <w:sz w:val="20"/>
          <w:szCs w:val="20"/>
          <w:color w:val="auto"/>
        </w:rPr>
      </w:pPr>
    </w:p>
    <w:p>
      <w:pPr>
        <w:jc w:val="right"/>
        <w:ind w:right="2940"/>
        <w:spacing w:after="0"/>
        <w:rPr>
          <w:sz w:val="20"/>
          <w:szCs w:val="20"/>
          <w:color w:val="auto"/>
        </w:rPr>
      </w:pPr>
      <w:r>
        <w:rPr>
          <w:rFonts w:ascii="Arial" w:cs="Arial" w:eastAsia="Arial" w:hAnsi="Arial"/>
          <w:sz w:val="15"/>
          <w:szCs w:val="15"/>
          <w:color w:val="auto"/>
        </w:rPr>
        <w:t>By: BioDynamics, LLC, its General Partner</w:t>
      </w:r>
    </w:p>
    <w:p>
      <w:pPr>
        <w:spacing w:after="0" w:line="383" w:lineRule="exact"/>
        <w:rPr>
          <w:sz w:val="20"/>
          <w:szCs w:val="20"/>
          <w:color w:val="auto"/>
        </w:rPr>
      </w:pPr>
    </w:p>
    <w:tbl>
      <w:tblPr>
        <w:tblLayout w:type="fixed"/>
        <w:tblInd w:w="5800" w:type="dxa"/>
        <w:tblCellMar>
          <w:top w:w="0" w:type="dxa"/>
          <w:left w:w="0" w:type="dxa"/>
          <w:bottom w:w="0" w:type="dxa"/>
          <w:right w:w="0" w:type="dxa"/>
        </w:tblCellMar>
      </w:tblPr>
      <w:tr>
        <w:trPr>
          <w:trHeight w:val="196"/>
        </w:trPr>
        <w:tc>
          <w:tcPr>
            <w:tcW w:w="780" w:type="dxa"/>
            <w:vAlign w:val="bottom"/>
          </w:tcPr>
          <w:p>
            <w:pPr>
              <w:spacing w:after="0"/>
              <w:rPr>
                <w:sz w:val="20"/>
                <w:szCs w:val="20"/>
                <w:color w:val="auto"/>
              </w:rPr>
            </w:pPr>
            <w:r>
              <w:rPr>
                <w:rFonts w:ascii="Arial" w:cs="Arial" w:eastAsia="Arial" w:hAnsi="Arial"/>
                <w:sz w:val="15"/>
                <w:szCs w:val="15"/>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Omid Farokhzad, M.D.</w:t>
            </w:r>
          </w:p>
        </w:tc>
      </w:tr>
      <w:tr>
        <w:trPr>
          <w:trHeight w:val="167"/>
        </w:trPr>
        <w:tc>
          <w:tcPr>
            <w:tcW w:w="78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860" w:type="dxa"/>
            <w:vAlign w:val="bottom"/>
          </w:tcPr>
          <w:p>
            <w:pPr>
              <w:spacing w:after="0" w:line="167" w:lineRule="exact"/>
              <w:rPr>
                <w:sz w:val="20"/>
                <w:szCs w:val="20"/>
                <w:color w:val="auto"/>
              </w:rPr>
            </w:pPr>
            <w:r>
              <w:rPr>
                <w:rFonts w:ascii="Arial" w:cs="Arial" w:eastAsia="Arial" w:hAnsi="Arial"/>
                <w:sz w:val="15"/>
                <w:szCs w:val="15"/>
                <w:color w:val="auto"/>
              </w:rPr>
              <w:t>Omid Farokhzad, M.D.</w:t>
            </w:r>
          </w:p>
        </w:tc>
      </w:tr>
      <w:tr>
        <w:trPr>
          <w:trHeight w:val="196"/>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486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b w:val="1"/>
          <w:bCs w:val="1"/>
          <w:color w:val="auto"/>
        </w:rPr>
        <w:t>PURCHASERS:</w:t>
      </w:r>
      <w:r>
        <w:rPr>
          <w:sz w:val="20"/>
          <w:szCs w:val="20"/>
          <w:color w:val="auto"/>
        </w:rPr>
        <w:tab/>
      </w:r>
      <w:r>
        <w:rPr>
          <w:rFonts w:ascii="Arial" w:cs="Arial" w:eastAsia="Arial" w:hAnsi="Arial"/>
          <w:sz w:val="15"/>
          <w:szCs w:val="15"/>
          <w:color w:val="auto"/>
        </w:rPr>
        <w:t>OSAGE UNIVERSITY PARTNERS II, L.P.</w:t>
      </w:r>
    </w:p>
    <w:p>
      <w:pPr>
        <w:sectPr>
          <w:pgSz w:w="11900" w:h="16838" w:orient="portrait"/>
          <w:cols w:equalWidth="0" w:num="1">
            <w:col w:w="11440"/>
          </w:cols>
          <w:pgMar w:left="240" w:top="314" w:right="219" w:bottom="0" w:gutter="0" w:footer="0" w:header="0"/>
        </w:sectPr>
      </w:pPr>
    </w:p>
    <w:bookmarkStart w:id="271" w:name="page272"/>
    <w:bookmarkEnd w:id="271"/>
    <w:p>
      <w:pPr>
        <w:ind w:left="5740"/>
        <w:spacing w:after="0"/>
        <w:rPr>
          <w:sz w:val="20"/>
          <w:szCs w:val="20"/>
          <w:color w:val="auto"/>
        </w:rPr>
      </w:pPr>
      <w:r>
        <w:rPr>
          <w:rFonts w:ascii="Arial" w:cs="Arial" w:eastAsia="Arial" w:hAnsi="Arial"/>
          <w:sz w:val="15"/>
          <w:szCs w:val="15"/>
          <w:color w:val="auto"/>
        </w:rPr>
        <w:t>By: OSAGE UNIVERSITY GP II, LP, its General Partner</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OSAGE PARTNERS, LLC, its General Partner</w:t>
      </w:r>
    </w:p>
    <w:p>
      <w:pPr>
        <w:spacing w:after="0" w:line="383" w:lineRule="exact"/>
        <w:rPr>
          <w:sz w:val="20"/>
          <w:szCs w:val="20"/>
          <w:color w:val="auto"/>
        </w:rPr>
      </w:pPr>
    </w:p>
    <w:tbl>
      <w:tblPr>
        <w:tblLayout w:type="fixed"/>
        <w:tblInd w:w="5740"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Marc Singer</w:t>
            </w:r>
          </w:p>
        </w:tc>
      </w:tr>
      <w:tr>
        <w:trPr>
          <w:trHeight w:val="167"/>
        </w:trPr>
        <w:tc>
          <w:tcPr>
            <w:tcW w:w="760" w:type="dxa"/>
            <w:vAlign w:val="bottom"/>
          </w:tcPr>
          <w:p>
            <w:pPr>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Marc Singer</w:t>
            </w:r>
          </w:p>
        </w:tc>
      </w:tr>
      <w:tr>
        <w:trPr>
          <w:trHeight w:val="196"/>
        </w:trPr>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Member</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3"/>
          </w:tcPr>
          <w:p>
            <w:pPr>
              <w:ind w:left="3620"/>
              <w:spacing w:after="0"/>
              <w:rPr>
                <w:sz w:val="20"/>
                <w:szCs w:val="20"/>
                <w:color w:val="auto"/>
              </w:rPr>
            </w:pPr>
            <w:r>
              <w:rPr>
                <w:rFonts w:ascii="Arial" w:cs="Arial" w:eastAsia="Arial" w:hAnsi="Arial"/>
                <w:sz w:val="15"/>
                <w:szCs w:val="15"/>
                <w:color w:val="auto"/>
              </w:rPr>
              <w:t>AVENTISUB LLC</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4280" w:type="dxa"/>
            <w:vAlign w:val="bottom"/>
          </w:tcPr>
          <w:p>
            <w:pPr>
              <w:ind w:left="3620"/>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M. Palladino</w:t>
            </w:r>
          </w:p>
        </w:tc>
        <w:tc>
          <w:tcPr>
            <w:tcW w:w="2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4280" w:type="dxa"/>
            <w:vAlign w:val="bottom"/>
          </w:tcPr>
          <w:p>
            <w:pPr>
              <w:ind w:left="3620"/>
              <w:spacing w:after="0" w:line="167" w:lineRule="exact"/>
              <w:rPr>
                <w:sz w:val="20"/>
                <w:szCs w:val="20"/>
                <w:color w:val="auto"/>
              </w:rPr>
            </w:pPr>
            <w:r>
              <w:rPr>
                <w:rFonts w:ascii="Arial" w:cs="Arial" w:eastAsia="Arial" w:hAnsi="Arial"/>
                <w:sz w:val="15"/>
                <w:szCs w:val="15"/>
                <w:color w:val="auto"/>
              </w:rPr>
              <w:t>Name:</w:t>
            </w:r>
          </w:p>
        </w:tc>
        <w:tc>
          <w:tcPr>
            <w:tcW w:w="100" w:type="dxa"/>
            <w:vAlign w:val="bottom"/>
          </w:tcPr>
          <w:p>
            <w:pPr>
              <w:spacing w:after="0"/>
              <w:rPr>
                <w:sz w:val="14"/>
                <w:szCs w:val="14"/>
                <w:color w:val="auto"/>
              </w:rPr>
            </w:pPr>
          </w:p>
        </w:tc>
        <w:tc>
          <w:tcPr>
            <w:tcW w:w="4860" w:type="dxa"/>
            <w:vAlign w:val="bottom"/>
          </w:tcPr>
          <w:p>
            <w:pPr>
              <w:spacing w:after="0" w:line="167" w:lineRule="exact"/>
              <w:rPr>
                <w:sz w:val="20"/>
                <w:szCs w:val="20"/>
                <w:color w:val="auto"/>
              </w:rPr>
            </w:pPr>
            <w:r>
              <w:rPr>
                <w:rFonts w:ascii="Arial" w:cs="Arial" w:eastAsia="Arial" w:hAnsi="Arial"/>
                <w:sz w:val="15"/>
                <w:szCs w:val="15"/>
                <w:color w:val="auto"/>
              </w:rPr>
              <w:t>Joe M. Palladino</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4280" w:type="dxa"/>
            <w:vAlign w:val="bottom"/>
          </w:tcPr>
          <w:p>
            <w:pPr>
              <w:ind w:left="3620"/>
              <w:spacing w:after="0"/>
              <w:rPr>
                <w:sz w:val="20"/>
                <w:szCs w:val="20"/>
                <w:color w:val="auto"/>
              </w:rPr>
            </w:pPr>
            <w:r>
              <w:rPr>
                <w:rFonts w:ascii="Arial" w:cs="Arial" w:eastAsia="Arial" w:hAnsi="Arial"/>
                <w:sz w:val="15"/>
                <w:szCs w:val="15"/>
                <w:color w:val="auto"/>
              </w:rPr>
              <w:t>Title:</w:t>
            </w:r>
          </w:p>
        </w:tc>
        <w:tc>
          <w:tcPr>
            <w:tcW w:w="10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President</w:t>
            </w:r>
          </w:p>
        </w:tc>
        <w:tc>
          <w:tcPr>
            <w:tcW w:w="20" w:type="dxa"/>
            <w:vAlign w:val="bottom"/>
          </w:tcPr>
          <w:p>
            <w:pPr>
              <w:spacing w:after="0"/>
              <w:rPr>
                <w:sz w:val="17"/>
                <w:szCs w:val="17"/>
                <w:color w:val="auto"/>
              </w:rPr>
            </w:pPr>
          </w:p>
        </w:tc>
      </w:tr>
      <w:tr>
        <w:trPr>
          <w:trHeight w:val="371"/>
        </w:trPr>
        <w:tc>
          <w:tcPr>
            <w:tcW w:w="2220" w:type="dxa"/>
            <w:vAlign w:val="bottom"/>
          </w:tcPr>
          <w:p>
            <w:pPr>
              <w:spacing w:after="0"/>
              <w:rPr>
                <w:sz w:val="24"/>
                <w:szCs w:val="24"/>
                <w:color w:val="auto"/>
              </w:rPr>
            </w:pPr>
          </w:p>
        </w:tc>
        <w:tc>
          <w:tcPr>
            <w:tcW w:w="9240" w:type="dxa"/>
            <w:vAlign w:val="bottom"/>
            <w:gridSpan w:val="3"/>
          </w:tcPr>
          <w:p>
            <w:pPr>
              <w:ind w:left="11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tc>
        <w:tc>
          <w:tcPr>
            <w:tcW w:w="20" w:type="dxa"/>
            <w:vAlign w:val="bottom"/>
          </w:tcPr>
          <w:p>
            <w:pPr>
              <w:spacing w:after="0"/>
              <w:rPr>
                <w:sz w:val="24"/>
                <w:szCs w:val="24"/>
                <w:color w:val="auto"/>
              </w:rPr>
            </w:pPr>
          </w:p>
        </w:tc>
      </w:tr>
      <w:tr>
        <w:trPr>
          <w:trHeight w:val="297"/>
        </w:trPr>
        <w:tc>
          <w:tcPr>
            <w:tcW w:w="222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gridSpan w:val="3"/>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459"/>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PURCHASERS:</w:t>
            </w:r>
          </w:p>
        </w:tc>
        <w:tc>
          <w:tcPr>
            <w:tcW w:w="9240" w:type="dxa"/>
            <w:vAlign w:val="bottom"/>
            <w:gridSpan w:val="3"/>
          </w:tcPr>
          <w:p>
            <w:pPr>
              <w:ind w:left="3520"/>
              <w:spacing w:after="0"/>
              <w:rPr>
                <w:sz w:val="20"/>
                <w:szCs w:val="20"/>
                <w:color w:val="auto"/>
              </w:rPr>
            </w:pPr>
            <w:r>
              <w:rPr>
                <w:rFonts w:ascii="Arial" w:cs="Arial" w:eastAsia="Arial" w:hAnsi="Arial"/>
                <w:sz w:val="15"/>
                <w:szCs w:val="15"/>
                <w:color w:val="auto"/>
              </w:rPr>
              <w:t>SPHERA GLOBAL HEALTHCARE MASTER FUND</w:t>
            </w:r>
          </w:p>
        </w:tc>
        <w:tc>
          <w:tcPr>
            <w:tcW w:w="20" w:type="dxa"/>
            <w:vAlign w:val="bottom"/>
          </w:tcPr>
          <w:p>
            <w:pPr>
              <w:spacing w:after="0"/>
              <w:rPr>
                <w:sz w:val="24"/>
                <w:szCs w:val="24"/>
                <w:color w:val="auto"/>
              </w:rPr>
            </w:pPr>
          </w:p>
        </w:tc>
      </w:tr>
      <w:tr>
        <w:trPr>
          <w:trHeight w:val="556"/>
        </w:trPr>
        <w:tc>
          <w:tcPr>
            <w:tcW w:w="2220" w:type="dxa"/>
            <w:vAlign w:val="bottom"/>
          </w:tcPr>
          <w:p>
            <w:pPr>
              <w:spacing w:after="0"/>
              <w:rPr>
                <w:sz w:val="24"/>
                <w:szCs w:val="24"/>
                <w:color w:val="auto"/>
              </w:rPr>
            </w:pPr>
          </w:p>
        </w:tc>
        <w:tc>
          <w:tcPr>
            <w:tcW w:w="4280" w:type="dxa"/>
            <w:vAlign w:val="bottom"/>
          </w:tcPr>
          <w:p>
            <w:pPr>
              <w:ind w:left="35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Doron Breen</w:t>
            </w:r>
          </w:p>
        </w:tc>
        <w:tc>
          <w:tcPr>
            <w:tcW w:w="20" w:type="dxa"/>
            <w:vAlign w:val="bottom"/>
          </w:tcPr>
          <w:p>
            <w:pPr>
              <w:spacing w:after="0"/>
              <w:rPr>
                <w:sz w:val="24"/>
                <w:szCs w:val="24"/>
                <w:color w:val="auto"/>
              </w:rPr>
            </w:pPr>
          </w:p>
        </w:tc>
      </w:tr>
      <w:tr>
        <w:trPr>
          <w:trHeight w:val="167"/>
        </w:trPr>
        <w:tc>
          <w:tcPr>
            <w:tcW w:w="2220" w:type="dxa"/>
            <w:vAlign w:val="bottom"/>
          </w:tcPr>
          <w:p>
            <w:pPr>
              <w:spacing w:after="0"/>
              <w:rPr>
                <w:sz w:val="14"/>
                <w:szCs w:val="14"/>
                <w:color w:val="auto"/>
              </w:rPr>
            </w:pPr>
          </w:p>
        </w:tc>
        <w:tc>
          <w:tcPr>
            <w:tcW w:w="4280" w:type="dxa"/>
            <w:vAlign w:val="bottom"/>
          </w:tcPr>
          <w:p>
            <w:pPr>
              <w:ind w:left="3520"/>
              <w:spacing w:after="0" w:line="167" w:lineRule="exact"/>
              <w:rPr>
                <w:sz w:val="20"/>
                <w:szCs w:val="20"/>
                <w:color w:val="auto"/>
              </w:rPr>
            </w:pPr>
            <w:r>
              <w:rPr>
                <w:rFonts w:ascii="Arial" w:cs="Arial" w:eastAsia="Arial" w:hAnsi="Arial"/>
                <w:sz w:val="15"/>
                <w:szCs w:val="15"/>
                <w:color w:val="auto"/>
              </w:rPr>
              <w:t>Name:</w:t>
            </w:r>
          </w:p>
        </w:tc>
        <w:tc>
          <w:tcPr>
            <w:tcW w:w="4960" w:type="dxa"/>
            <w:vAlign w:val="bottom"/>
            <w:gridSpan w:val="2"/>
          </w:tcPr>
          <w:p>
            <w:pPr>
              <w:spacing w:after="0" w:line="167" w:lineRule="exact"/>
              <w:rPr>
                <w:sz w:val="20"/>
                <w:szCs w:val="20"/>
                <w:color w:val="auto"/>
              </w:rPr>
            </w:pPr>
            <w:r>
              <w:rPr>
                <w:rFonts w:ascii="Arial" w:cs="Arial" w:eastAsia="Arial" w:hAnsi="Arial"/>
                <w:sz w:val="15"/>
                <w:szCs w:val="15"/>
                <w:color w:val="auto"/>
              </w:rPr>
              <w:t>Doron Breen</w:t>
            </w:r>
          </w:p>
        </w:tc>
        <w:tc>
          <w:tcPr>
            <w:tcW w:w="20" w:type="dxa"/>
            <w:vAlign w:val="bottom"/>
          </w:tcPr>
          <w:p>
            <w:pPr>
              <w:spacing w:after="0"/>
              <w:rPr>
                <w:sz w:val="14"/>
                <w:szCs w:val="14"/>
                <w:color w:val="auto"/>
              </w:rPr>
            </w:pPr>
          </w:p>
        </w:tc>
      </w:tr>
      <w:tr>
        <w:trPr>
          <w:trHeight w:val="196"/>
        </w:trPr>
        <w:tc>
          <w:tcPr>
            <w:tcW w:w="2220" w:type="dxa"/>
            <w:vAlign w:val="bottom"/>
          </w:tcPr>
          <w:p>
            <w:pPr>
              <w:spacing w:after="0"/>
              <w:rPr>
                <w:sz w:val="17"/>
                <w:szCs w:val="17"/>
                <w:color w:val="auto"/>
              </w:rPr>
            </w:pPr>
          </w:p>
        </w:tc>
        <w:tc>
          <w:tcPr>
            <w:tcW w:w="4280" w:type="dxa"/>
            <w:vAlign w:val="bottom"/>
          </w:tcPr>
          <w:p>
            <w:pPr>
              <w:ind w:left="3520"/>
              <w:spacing w:after="0"/>
              <w:rPr>
                <w:sz w:val="20"/>
                <w:szCs w:val="20"/>
                <w:color w:val="auto"/>
              </w:rPr>
            </w:pPr>
            <w:r>
              <w:rPr>
                <w:rFonts w:ascii="Arial" w:cs="Arial" w:eastAsia="Arial" w:hAnsi="Arial"/>
                <w:sz w:val="15"/>
                <w:szCs w:val="15"/>
                <w:color w:val="auto"/>
              </w:rPr>
              <w:t>Title:</w:t>
            </w:r>
          </w:p>
        </w:tc>
        <w:tc>
          <w:tcPr>
            <w:tcW w:w="496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-913765</wp:posOffset>
            </wp:positionV>
            <wp:extent cx="12700" cy="2730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-913765</wp:posOffset>
            </wp:positionV>
            <wp:extent cx="12700" cy="27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RIDGEBACK CAPITAL INVESTMENTS LP</w:t>
            </w:r>
          </w:p>
        </w:tc>
      </w:tr>
      <w:tr>
        <w:trPr>
          <w:trHeight w:val="556"/>
        </w:trPr>
        <w:tc>
          <w:tcPr>
            <w:tcW w:w="340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Christian Sheldon</w:t>
            </w:r>
          </w:p>
        </w:tc>
      </w:tr>
      <w:tr>
        <w:trPr>
          <w:trHeight w:val="167"/>
        </w:trPr>
        <w:tc>
          <w:tcPr>
            <w:tcW w:w="3400" w:type="dxa"/>
            <w:vAlign w:val="bottom"/>
          </w:tcPr>
          <w:p>
            <w:pPr>
              <w:spacing w:after="0"/>
              <w:rPr>
                <w:sz w:val="14"/>
                <w:szCs w:val="14"/>
                <w:color w:val="auto"/>
              </w:rPr>
            </w:pPr>
          </w:p>
        </w:tc>
        <w:tc>
          <w:tcPr>
            <w:tcW w:w="3080" w:type="dxa"/>
            <w:vAlign w:val="bottom"/>
          </w:tcPr>
          <w:p>
            <w:pPr>
              <w:ind w:left="2320"/>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Christian Sheldon</w:t>
            </w:r>
          </w:p>
        </w:tc>
      </w:tr>
      <w:tr>
        <w:trPr>
          <w:trHeight w:val="196"/>
        </w:trPr>
        <w:tc>
          <w:tcPr>
            <w:tcW w:w="3400" w:type="dxa"/>
            <w:vAlign w:val="bottom"/>
          </w:tcPr>
          <w:p>
            <w:pPr>
              <w:spacing w:after="0"/>
              <w:rPr>
                <w:sz w:val="17"/>
                <w:szCs w:val="17"/>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C.T.O</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3400" w:type="dxa"/>
            <w:vAlign w:val="bottom"/>
          </w:tcPr>
          <w:p>
            <w:pPr>
              <w:spacing w:after="0"/>
              <w:rPr>
                <w:sz w:val="20"/>
                <w:szCs w:val="20"/>
                <w:color w:val="auto"/>
              </w:rPr>
            </w:pPr>
            <w:r>
              <w:rPr>
                <w:rFonts w:ascii="Arial" w:cs="Arial" w:eastAsia="Arial" w:hAnsi="Arial"/>
                <w:sz w:val="15"/>
                <w:szCs w:val="15"/>
                <w:b w:val="1"/>
                <w:bCs w:val="1"/>
                <w:color w:val="auto"/>
              </w:rPr>
              <w:t>PURCHASERS:</w:t>
            </w: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AJU LIFE SCIENCE OVERSEAS EXPANSION</w:t>
            </w:r>
          </w:p>
        </w:tc>
      </w:tr>
      <w:tr>
        <w:trPr>
          <w:trHeight w:val="196"/>
        </w:trPr>
        <w:tc>
          <w:tcPr>
            <w:tcW w:w="3400" w:type="dxa"/>
            <w:vAlign w:val="bottom"/>
          </w:tcPr>
          <w:p>
            <w:pPr>
              <w:spacing w:after="0"/>
              <w:rPr>
                <w:sz w:val="17"/>
                <w:szCs w:val="17"/>
                <w:color w:val="auto"/>
              </w:rPr>
            </w:pPr>
          </w:p>
        </w:tc>
        <w:tc>
          <w:tcPr>
            <w:tcW w:w="8040" w:type="dxa"/>
            <w:vAlign w:val="bottom"/>
            <w:gridSpan w:val="2"/>
          </w:tcPr>
          <w:p>
            <w:pPr>
              <w:ind w:left="2320"/>
              <w:spacing w:after="0"/>
              <w:rPr>
                <w:sz w:val="20"/>
                <w:szCs w:val="20"/>
                <w:color w:val="auto"/>
              </w:rPr>
            </w:pPr>
            <w:r>
              <w:rPr>
                <w:rFonts w:ascii="Arial" w:cs="Arial" w:eastAsia="Arial" w:hAnsi="Arial"/>
                <w:sz w:val="15"/>
                <w:szCs w:val="15"/>
                <w:color w:val="auto"/>
              </w:rPr>
              <w:t>PLATFORM FUND C/O AJU IB INVESTMENT</w:t>
            </w:r>
          </w:p>
        </w:tc>
      </w:tr>
      <w:tr>
        <w:trPr>
          <w:trHeight w:val="556"/>
        </w:trPr>
        <w:tc>
          <w:tcPr>
            <w:tcW w:w="3400" w:type="dxa"/>
            <w:vAlign w:val="bottom"/>
          </w:tcPr>
          <w:p>
            <w:pPr>
              <w:spacing w:after="0"/>
              <w:rPr>
                <w:sz w:val="24"/>
                <w:szCs w:val="24"/>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Ji-Won Kim</w:t>
            </w:r>
          </w:p>
        </w:tc>
      </w:tr>
      <w:tr>
        <w:trPr>
          <w:trHeight w:val="167"/>
        </w:trPr>
        <w:tc>
          <w:tcPr>
            <w:tcW w:w="3400" w:type="dxa"/>
            <w:vAlign w:val="bottom"/>
          </w:tcPr>
          <w:p>
            <w:pPr>
              <w:spacing w:after="0"/>
              <w:rPr>
                <w:sz w:val="14"/>
                <w:szCs w:val="14"/>
                <w:color w:val="auto"/>
              </w:rPr>
            </w:pPr>
          </w:p>
        </w:tc>
        <w:tc>
          <w:tcPr>
            <w:tcW w:w="3080" w:type="dxa"/>
            <w:vAlign w:val="bottom"/>
          </w:tcPr>
          <w:p>
            <w:pPr>
              <w:ind w:left="2320"/>
              <w:spacing w:after="0" w:line="167" w:lineRule="exact"/>
              <w:rPr>
                <w:sz w:val="20"/>
                <w:szCs w:val="20"/>
                <w:color w:val="auto"/>
              </w:rPr>
            </w:pPr>
            <w:r>
              <w:rPr>
                <w:rFonts w:ascii="Arial" w:cs="Arial" w:eastAsia="Arial" w:hAnsi="Arial"/>
                <w:sz w:val="15"/>
                <w:szCs w:val="15"/>
                <w:color w:val="auto"/>
              </w:rPr>
              <w:t>Name:</w:t>
            </w:r>
          </w:p>
        </w:tc>
        <w:tc>
          <w:tcPr>
            <w:tcW w:w="4960" w:type="dxa"/>
            <w:vAlign w:val="bottom"/>
          </w:tcPr>
          <w:p>
            <w:pPr>
              <w:spacing w:after="0" w:line="167" w:lineRule="exact"/>
              <w:rPr>
                <w:sz w:val="20"/>
                <w:szCs w:val="20"/>
                <w:color w:val="auto"/>
              </w:rPr>
            </w:pPr>
            <w:r>
              <w:rPr>
                <w:rFonts w:ascii="Arial" w:cs="Arial" w:eastAsia="Arial" w:hAnsi="Arial"/>
                <w:sz w:val="15"/>
                <w:szCs w:val="15"/>
                <w:color w:val="auto"/>
              </w:rPr>
              <w:t>Ji-Won Kim</w:t>
            </w:r>
          </w:p>
        </w:tc>
      </w:tr>
      <w:tr>
        <w:trPr>
          <w:trHeight w:val="196"/>
        </w:trPr>
        <w:tc>
          <w:tcPr>
            <w:tcW w:w="3400" w:type="dxa"/>
            <w:vAlign w:val="bottom"/>
          </w:tcPr>
          <w:p>
            <w:pPr>
              <w:spacing w:after="0"/>
              <w:rPr>
                <w:sz w:val="17"/>
                <w:szCs w:val="17"/>
                <w:color w:val="auto"/>
              </w:rPr>
            </w:pPr>
          </w:p>
        </w:tc>
        <w:tc>
          <w:tcPr>
            <w:tcW w:w="3080" w:type="dxa"/>
            <w:vAlign w:val="bottom"/>
          </w:tcPr>
          <w:p>
            <w:pPr>
              <w:ind w:left="2320"/>
              <w:spacing w:after="0"/>
              <w:rPr>
                <w:sz w:val="20"/>
                <w:szCs w:val="20"/>
                <w:color w:val="auto"/>
              </w:rPr>
            </w:pPr>
            <w:r>
              <w:rPr>
                <w:rFonts w:ascii="Arial" w:cs="Arial" w:eastAsia="Arial" w:hAnsi="Arial"/>
                <w:sz w:val="15"/>
                <w:szCs w:val="15"/>
                <w:color w:val="auto"/>
              </w:rPr>
              <w:t>Title:</w:t>
            </w:r>
          </w:p>
        </w:tc>
        <w:tc>
          <w:tcPr>
            <w:tcW w:w="4960" w:type="dxa"/>
            <w:vAlign w:val="bottom"/>
          </w:tcPr>
          <w:p>
            <w:pPr>
              <w:spacing w:after="0"/>
              <w:rPr>
                <w:sz w:val="20"/>
                <w:szCs w:val="20"/>
                <w:color w:val="auto"/>
              </w:rPr>
            </w:pPr>
            <w:r>
              <w:rPr>
                <w:rFonts w:ascii="Arial" w:cs="Arial" w:eastAsia="Arial" w:hAnsi="Arial"/>
                <w:sz w:val="15"/>
                <w:szCs w:val="15"/>
                <w:color w:val="auto"/>
              </w:rPr>
              <w:t>CEO</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Fifth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SCHEDULE A</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Purchasers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VTB Capital I2BF Netherlands B.V.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Herikerbergweg 238, 1101 CM Amsterdam Zuidoost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Netherlands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Selecta RKFN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123290, Russia, Moscow, 1-y</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Magistralnyy tupik, 5A</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RUSNANO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10A prospect 60-letiya Oktyabrya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Moscow, Russia 117036</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Eminent II Venture Capital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Room A, 28th Floor, No. 7, Sec. 5</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Xinyi Rd., Xinyi District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Taipei City 110, Taiwan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Flagship Ventures Fund 2007, L.P.</w:t>
      </w:r>
    </w:p>
    <w:p>
      <w:pPr>
        <w:ind w:left="20"/>
        <w:spacing w:after="0" w:line="219" w:lineRule="auto"/>
        <w:rPr>
          <w:sz w:val="20"/>
          <w:szCs w:val="20"/>
          <w:color w:val="auto"/>
        </w:rPr>
      </w:pPr>
      <w:r>
        <w:rPr>
          <w:rFonts w:ascii="Arial" w:cs="Arial" w:eastAsia="Arial" w:hAnsi="Arial"/>
          <w:sz w:val="15"/>
          <w:szCs w:val="15"/>
          <w:color w:val="auto"/>
        </w:rPr>
        <w:t>One Memorial Drive,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w:t>
      </w:r>
    </w:p>
    <w:p>
      <w:pPr>
        <w:ind w:left="20"/>
        <w:spacing w:after="0"/>
        <w:rPr>
          <w:sz w:val="20"/>
          <w:szCs w:val="20"/>
          <w:color w:val="auto"/>
        </w:rPr>
      </w:pPr>
      <w:r>
        <w:rPr>
          <w:rFonts w:ascii="Arial" w:cs="Arial" w:eastAsia="Arial" w:hAnsi="Arial"/>
          <w:sz w:val="15"/>
          <w:szCs w:val="15"/>
          <w:color w:val="auto"/>
        </w:rPr>
        <w:t>Cambridge, MA 02142</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Polaris Venture Partners V, L.P.</w:t>
      </w:r>
    </w:p>
    <w:p>
      <w:pPr>
        <w:sectPr>
          <w:pgSz w:w="11900" w:h="16838" w:orient="portrait"/>
          <w:cols w:equalWidth="0" w:num="1">
            <w:col w:w="11480"/>
          </w:cols>
          <w:pgMar w:left="220" w:top="314" w:right="199" w:bottom="0" w:gutter="0" w:footer="0" w:header="0"/>
        </w:sectPr>
      </w:pPr>
    </w:p>
    <w:bookmarkStart w:id="272" w:name="page273"/>
    <w:bookmarkEnd w:id="272"/>
    <w:p>
      <w:pPr>
        <w:spacing w:after="0"/>
        <w:rPr>
          <w:sz w:val="20"/>
          <w:szCs w:val="20"/>
          <w:color w:val="auto"/>
        </w:rPr>
      </w:pPr>
      <w:r>
        <w:rPr>
          <w:rFonts w:ascii="Arial" w:cs="Arial" w:eastAsia="Arial" w:hAnsi="Arial"/>
          <w:sz w:val="15"/>
          <w:szCs w:val="15"/>
          <w:color w:val="auto"/>
        </w:rPr>
        <w:t>1000 Winter Street, Suite 3350</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Polaris Venture Partners Entrepreneurs’ Fund V, L.P.</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Polaris Venture Partners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Polaris Venture Partners Special Founders’ Fund V, L.P.</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1000 Winter Street, Suite 3350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Waltham, MA 02451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Amir H. Nashat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NanoDimension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NanoDimension Management Limited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Jonathan Nicholson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Centennial Towers, Suite 306B</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2454 West Bay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Grand Cayman, Cayman Islands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Leukon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TAS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36 Woodman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Newton, Massachusetts 02467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Dr. Timothy A. Springer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OrbiMed Private Investments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OrbiMed Associates III,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767 Third Avenue, 30th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Carl Gordon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Alexandria Equities, LLC</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385 E. Colorado Blvd., Suite 299, Pasadena, CA 91101</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Attn: Joel S. Marcus, CEO</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Blakeley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60 State Street, Suite 3400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02109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Jeffrey B. Larson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6 Arlington Street, Unit 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Samiei &amp; Morse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59 Farnham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Megan Kelleher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444 Far Reach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Westwood, MA 02090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Dimitris Bertsimas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43 Lantern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Belmont, MA 02478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Peter W. Doelger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144 Beacon Street, Apt. 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SILVER ROCK FINANCIAL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WELLWATER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ectPr>
          <w:pgSz w:w="11900" w:h="16838" w:orient="portrait"/>
          <w:cols w:equalWidth="0" w:num="1">
            <w:col w:w="10219"/>
          </w:cols>
          <w:pgMar w:left="240" w:top="129" w:right="1440" w:bottom="0" w:gutter="0" w:footer="0" w:header="0"/>
        </w:sectPr>
      </w:pPr>
    </w:p>
    <w:bookmarkStart w:id="273" w:name="page274"/>
    <w:bookmarkEnd w:id="273"/>
    <w:p>
      <w:pPr>
        <w:spacing w:after="0"/>
        <w:rPr>
          <w:sz w:val="20"/>
          <w:szCs w:val="20"/>
          <w:color w:val="auto"/>
        </w:rPr>
      </w:pPr>
      <w:r>
        <w:rPr>
          <w:rFonts w:ascii="Arial" w:cs="Arial" w:eastAsia="Arial" w:hAnsi="Arial"/>
          <w:sz w:val="15"/>
          <w:szCs w:val="15"/>
          <w:color w:val="auto"/>
        </w:rPr>
        <w:t>BAYSIDE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NP1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GENUNO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DNSMORE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GENTRACE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GENDOS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1250 Fourth Street, Fifth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Mark Afrasiabi</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711 El Medio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Pacific Palisades CA 90272</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Scott Cohen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405 Palisades Ave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Santa Monica CA 90402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color w:val="auto"/>
        </w:rPr>
        <w:t>Aventisub LLC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Sanofi</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54 rue La Boetie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75008 Paris :</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Facsimile : +33 1 53 77 44 53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 Vice President, Legal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Sphera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Sphera Funds Management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21 Ha’Arbaah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Platinum House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Aviv 64739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Osage University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 Monument Road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Suite 201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Bala Cynwyd, PA 19004</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Biodynamics Core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Biodynamics LLC</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15 Laura Rd.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Waban, MA 02468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AJU Life Science Overseas Expansion Platform Fund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AJU IB Investment Co. Ltd.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201 Teheran-ro, 5th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Gangnam-gu</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Seoul, Korea 135-978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Attention: Mr. Ji-won Kim, CEO</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Ridgeback Capital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500 South Pointe, Suite 220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Miami Beach, FL 33139</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WV Investment Trust B</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Attn. Alan Rottenberg, Trustee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88"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SCHEDULE B</w:t>
      </w:r>
    </w:p>
    <w:p>
      <w:pPr>
        <w:spacing w:after="0" w:line="192" w:lineRule="exact"/>
        <w:rPr>
          <w:sz w:val="20"/>
          <w:szCs w:val="20"/>
          <w:color w:val="auto"/>
        </w:rPr>
      </w:pPr>
    </w:p>
    <w:p>
      <w:pPr>
        <w:jc w:val="right"/>
        <w:ind w:right="3759"/>
        <w:spacing w:after="0"/>
        <w:rPr>
          <w:sz w:val="20"/>
          <w:szCs w:val="20"/>
          <w:color w:val="auto"/>
        </w:rPr>
      </w:pPr>
      <w:r>
        <w:rPr>
          <w:rFonts w:ascii="Arial" w:cs="Arial" w:eastAsia="Arial" w:hAnsi="Arial"/>
          <w:sz w:val="15"/>
          <w:szCs w:val="15"/>
          <w:b w:val="1"/>
          <w:bCs w:val="1"/>
          <w:u w:val="single" w:color="auto"/>
          <w:color w:val="auto"/>
        </w:rPr>
        <w:t>Licensor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Massachusetts Institute of Technology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Treasurer’s Office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238 Main Street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Cambridge, MA 02142</w:t>
      </w:r>
    </w:p>
    <w:p>
      <w:pPr>
        <w:sectPr>
          <w:pgSz w:w="11900" w:h="16838" w:orient="portrait"/>
          <w:cols w:equalWidth="0" w:num="1">
            <w:col w:w="10219"/>
          </w:cols>
          <w:pgMar w:left="240" w:top="129" w:right="1440" w:bottom="0" w:gutter="0" w:footer="0" w:header="0"/>
        </w:sectPr>
      </w:pPr>
    </w:p>
    <w:bookmarkStart w:id="274" w:name="page275"/>
    <w:bookmarkEnd w:id="274"/>
    <w:p>
      <w:pPr>
        <w:spacing w:after="0"/>
        <w:rPr>
          <w:sz w:val="20"/>
          <w:szCs w:val="20"/>
          <w:color w:val="auto"/>
        </w:rPr>
      </w:pPr>
      <w:r>
        <w:rPr>
          <w:rFonts w:ascii="Arial" w:cs="Arial" w:eastAsia="Arial" w:hAnsi="Arial"/>
          <w:sz w:val="15"/>
          <w:szCs w:val="15"/>
          <w:color w:val="auto"/>
        </w:rPr>
        <w:t>Attention: Philip Rotner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Fax: 617.258.6676</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President and Fellows of Harvard College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Harvard University Office of Technology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Michal Preminger, Senior Director of Business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1350 Massachusetts Ave, Suite 727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Cambridge,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617-432-3896</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617-432-2788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michal_preminger@harvard.edu</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Brigham and Women’s Hospital,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Research and Licensing</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101 Huntington Ave, 4th Floor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02199</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Arlene Parquette, Licensing Associate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phone: 617-954-9381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617-954-9361</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Children’s Medical Center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Intellectual Property Office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Children’s Hospital Boston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300 Longwood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Nurjana Bachman, PhD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Ph: (617) 919-3028</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 919-3031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Nurjana.Bachman@Childrens.Harvard.edu</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Immune Disease Institute, Inc.</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Office of Technology Development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800 Huntington Avenue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Boston, MA 02115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Attn: Ryan M. Dietz, Director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Tel: 617.278.3463</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Fax: 617.278.3395</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dietz@idi.harvard.edu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Project Company Reporting Requirements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840" w:type="dxa"/>
            <w:vAlign w:val="bottom"/>
            <w:gridSpan w:val="3"/>
          </w:tcPr>
          <w:p>
            <w:pPr>
              <w:spacing w:after="0"/>
              <w:rPr>
                <w:sz w:val="20"/>
                <w:szCs w:val="20"/>
                <w:color w:val="auto"/>
              </w:rPr>
            </w:pPr>
            <w:r>
              <w:rPr>
                <w:rFonts w:ascii="Arial" w:cs="Arial" w:eastAsia="Arial" w:hAnsi="Arial"/>
                <w:sz w:val="12"/>
                <w:szCs w:val="12"/>
                <w:b w:val="1"/>
                <w:bCs w:val="1"/>
                <w:color w:val="auto"/>
              </w:rPr>
              <w:t>Document</w:t>
            </w:r>
          </w:p>
        </w:tc>
        <w:tc>
          <w:tcPr>
            <w:tcW w:w="5600" w:type="dxa"/>
            <w:vAlign w:val="bottom"/>
          </w:tcPr>
          <w:p>
            <w:pPr>
              <w:ind w:left="2180"/>
              <w:spacing w:after="0"/>
              <w:rPr>
                <w:sz w:val="20"/>
                <w:szCs w:val="20"/>
                <w:color w:val="auto"/>
              </w:rPr>
            </w:pPr>
            <w:r>
              <w:rPr>
                <w:rFonts w:ascii="Arial" w:cs="Arial" w:eastAsia="Arial" w:hAnsi="Arial"/>
                <w:sz w:val="12"/>
                <w:szCs w:val="12"/>
                <w:b w:val="1"/>
                <w:bCs w:val="1"/>
                <w:color w:val="auto"/>
              </w:rPr>
              <w:t>Deadline for submitting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580" w:type="dxa"/>
            <w:vAlign w:val="bottom"/>
            <w:tcBorders>
              <w:top w:val="single" w:sz="8" w:color="auto"/>
            </w:tcBorders>
            <w:shd w:val="clear" w:color="auto" w:fill="CCEEFF"/>
          </w:tcPr>
          <w:p>
            <w:pPr>
              <w:spacing w:after="0" w:line="167" w:lineRule="exact"/>
              <w:rPr>
                <w:sz w:val="20"/>
                <w:szCs w:val="20"/>
                <w:color w:val="auto"/>
              </w:rPr>
            </w:pPr>
            <w:r>
              <w:rPr>
                <w:rFonts w:ascii="Arial" w:cs="Arial" w:eastAsia="Arial" w:hAnsi="Arial"/>
                <w:sz w:val="15"/>
                <w:szCs w:val="15"/>
                <w:color w:val="auto"/>
              </w:rPr>
              <w:t>Balance Sheet (Form № 1, approved by the Order of the Ministry of Finance of the</w:t>
            </w:r>
          </w:p>
        </w:tc>
        <w:tc>
          <w:tcPr>
            <w:tcW w:w="240" w:type="dxa"/>
            <w:vAlign w:val="bottom"/>
            <w:tcBorders>
              <w:top w:val="single" w:sz="8" w:color="CCEEFF"/>
            </w:tcBorders>
            <w:shd w:val="clear" w:color="auto" w:fill="CCEEFF"/>
          </w:tcPr>
          <w:p>
            <w:pPr>
              <w:spacing w:after="0"/>
              <w:rPr>
                <w:sz w:val="14"/>
                <w:szCs w:val="14"/>
                <w:color w:val="auto"/>
              </w:rPr>
            </w:pPr>
          </w:p>
        </w:tc>
        <w:tc>
          <w:tcPr>
            <w:tcW w:w="5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Russian Federation № 67n «On the forms of accounting of organizations» (onward -</w:t>
            </w: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Quarterly, no later than 30 (thirty) days after the end of the reporting 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«Order № 67n»))</w:t>
            </w:r>
          </w:p>
        </w:tc>
        <w:tc>
          <w:tcPr>
            <w:tcW w:w="5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statement (Form № 2 approved by Order № 67n)</w:t>
            </w: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Quarterly, no later than 30 (thirty) days after the end of the reporting quarter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Statement of changes in the equity (form № 3, approved by Order № 67n)</w:t>
            </w: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Annually, no later than 90 (ninety) days after the end of the reporting year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Statement of cash flows (Form № 4, approved by Order № 67n)</w:t>
            </w: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Annually, no later than 90 (ninety) days after the end of the reporting year</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Annex to the balance sheet (Form № 5, approved by Order № 67n)</w:t>
            </w:r>
          </w:p>
        </w:tc>
        <w:tc>
          <w:tcPr>
            <w:tcW w:w="5600" w:type="dxa"/>
            <w:vAlign w:val="bottom"/>
            <w:shd w:val="clear" w:color="auto" w:fill="CCEEFF"/>
          </w:tcPr>
          <w:p>
            <w:pPr>
              <w:spacing w:after="0"/>
              <w:rPr>
                <w:sz w:val="20"/>
                <w:szCs w:val="20"/>
                <w:color w:val="auto"/>
              </w:rPr>
            </w:pPr>
            <w:r>
              <w:rPr>
                <w:rFonts w:ascii="Arial" w:cs="Arial" w:eastAsia="Arial" w:hAnsi="Arial"/>
                <w:sz w:val="15"/>
                <w:szCs w:val="15"/>
                <w:color w:val="auto"/>
              </w:rPr>
              <w:t>Annually, no later than 90 (ninety) days after the end of the reporting year</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40"/>
          </w:cols>
          <w:pgMar w:left="240" w:top="129" w:right="219" w:bottom="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Audit report</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Tax returns for income tax, VAT and property tax</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Statistical reports (forms of The State Committee of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3714115" cy="20002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714115" cy="2000250"/>
                    </a:xfrm>
                    <a:prstGeom prst="rect">
                      <a:avLst/>
                    </a:prstGeom>
                    <a:noFill/>
                  </pic:spPr>
                </pic:pic>
              </a:graphicData>
            </a:graphic>
          </wp:anchor>
        </w:drawing>
      </w:r>
    </w:p>
    <w:p>
      <w:pPr>
        <w:spacing w:after="0" w:line="178" w:lineRule="exact"/>
        <w:rPr>
          <w:sz w:val="20"/>
          <w:szCs w:val="20"/>
          <w:color w:val="auto"/>
        </w:rPr>
      </w:pPr>
    </w:p>
    <w:p>
      <w:pPr>
        <w:ind w:left="200" w:hanging="88"/>
        <w:spacing w:after="0" w:line="289" w:lineRule="auto"/>
        <w:rPr>
          <w:sz w:val="20"/>
          <w:szCs w:val="20"/>
          <w:color w:val="auto"/>
        </w:rPr>
      </w:pPr>
      <w:r>
        <w:rPr>
          <w:rFonts w:ascii="Arial" w:cs="Arial" w:eastAsia="Arial" w:hAnsi="Arial"/>
          <w:sz w:val="15"/>
          <w:szCs w:val="15"/>
          <w:color w:val="auto"/>
        </w:rPr>
        <w:t>- Information about the presence and movement of fixed assets (funds) and other non-financial assets 7/10/2009 № 132</w:t>
      </w:r>
    </w:p>
    <w:p>
      <w:pPr>
        <w:spacing w:after="0" w:line="141" w:lineRule="exact"/>
        <w:rPr>
          <w:sz w:val="20"/>
          <w:szCs w:val="20"/>
          <w:color w:val="auto"/>
        </w:rPr>
      </w:pPr>
    </w:p>
    <w:p>
      <w:pPr>
        <w:ind w:left="200" w:hanging="96"/>
        <w:spacing w:after="0"/>
        <w:tabs>
          <w:tab w:leader="none" w:pos="20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main data of the activity of the organization 7/28/2009 № 153</w:t>
      </w:r>
    </w:p>
    <w:p>
      <w:pPr>
        <w:spacing w:after="0" w:line="198" w:lineRule="exact"/>
        <w:rPr>
          <w:rFonts w:ascii="Arial" w:cs="Arial" w:eastAsia="Arial" w:hAnsi="Arial"/>
          <w:sz w:val="15"/>
          <w:szCs w:val="15"/>
          <w:color w:val="auto"/>
        </w:rPr>
      </w:pPr>
    </w:p>
    <w:p>
      <w:pPr>
        <w:ind w:left="200" w:right="840" w:hanging="96"/>
        <w:spacing w:after="0" w:line="289" w:lineRule="auto"/>
        <w:tabs>
          <w:tab w:leader="none" w:pos="20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Information about the shipment of goods, works and services related to nanotechnologies 2/8/2010 № 83</w:t>
      </w:r>
    </w:p>
    <w:p>
      <w:pPr>
        <w:spacing w:after="0" w:line="140" w:lineRule="exact"/>
        <w:rPr>
          <w:rFonts w:ascii="Arial" w:cs="Arial" w:eastAsia="Arial" w:hAnsi="Arial"/>
          <w:sz w:val="15"/>
          <w:szCs w:val="15"/>
          <w:color w:val="auto"/>
        </w:rPr>
      </w:pPr>
    </w:p>
    <w:p>
      <w:pPr>
        <w:ind w:left="200" w:right="380" w:hanging="96"/>
        <w:spacing w:after="0" w:line="289" w:lineRule="auto"/>
        <w:tabs>
          <w:tab w:leader="none" w:pos="20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Data on production output by (Russian) National Classification of Products by Economic Activities (NCPEA) 1/28/2010 № 76</w:t>
      </w:r>
    </w:p>
    <w:p>
      <w:pPr>
        <w:spacing w:after="0" w:line="140" w:lineRule="exact"/>
        <w:rPr>
          <w:rFonts w:ascii="Arial" w:cs="Arial" w:eastAsia="Arial" w:hAnsi="Arial"/>
          <w:sz w:val="15"/>
          <w:szCs w:val="15"/>
          <w:color w:val="auto"/>
        </w:rPr>
      </w:pPr>
    </w:p>
    <w:p>
      <w:pPr>
        <w:ind w:left="200" w:right="520" w:hanging="96"/>
        <w:spacing w:after="0" w:line="289" w:lineRule="auto"/>
        <w:tabs>
          <w:tab w:leader="none" w:pos="20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Information about creation and use of advanced manufacturing technologies 10/30/2009 № 237</w:t>
      </w:r>
    </w:p>
    <w:p>
      <w:pPr>
        <w:spacing w:after="0" w:line="140" w:lineRule="exact"/>
        <w:rPr>
          <w:rFonts w:ascii="Arial" w:cs="Arial" w:eastAsia="Arial" w:hAnsi="Arial"/>
          <w:sz w:val="15"/>
          <w:szCs w:val="15"/>
          <w:color w:val="auto"/>
        </w:rPr>
      </w:pPr>
    </w:p>
    <w:p>
      <w:pPr>
        <w:ind w:left="200" w:hanging="96"/>
        <w:spacing w:after="0"/>
        <w:tabs>
          <w:tab w:leader="none" w:pos="20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Information about the innovation activity of the organization 10/30/2009 № 237</w:t>
      </w:r>
    </w:p>
    <w:p>
      <w:pPr>
        <w:spacing w:after="0" w:line="20" w:lineRule="exact"/>
        <w:rPr>
          <w:sz w:val="20"/>
          <w:szCs w:val="20"/>
          <w:color w:val="auto"/>
        </w:rPr>
      </w:pPr>
      <w:r>
        <w:rPr>
          <w:sz w:val="20"/>
          <w:szCs w:val="20"/>
          <w:color w:val="auto"/>
        </w:rPr>
        <w:br w:type="column"/>
      </w:r>
    </w:p>
    <w:p>
      <w:pPr>
        <w:ind w:right="120"/>
        <w:spacing w:after="0" w:line="289" w:lineRule="auto"/>
        <w:rPr>
          <w:sz w:val="20"/>
          <w:szCs w:val="20"/>
          <w:color w:val="auto"/>
        </w:rPr>
      </w:pPr>
      <w:r>
        <w:rPr>
          <w:rFonts w:ascii="Arial" w:cs="Arial" w:eastAsia="Arial" w:hAnsi="Arial"/>
          <w:sz w:val="15"/>
          <w:szCs w:val="15"/>
          <w:color w:val="auto"/>
        </w:rPr>
        <w:t>Annually, no later than 20 (twenty) business days from the date of approval at the annual shareholders’ meeting of the Russian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-256540</wp:posOffset>
            </wp:positionV>
            <wp:extent cx="7266305" cy="2355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90 (ninety) days after the end of the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-102235</wp:posOffset>
            </wp:positionV>
            <wp:extent cx="7266305" cy="22358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6305" cy="223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90 (ninety) days after the end of the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1130300</wp:posOffset>
            </wp:positionV>
            <wp:extent cx="7285990" cy="2730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682" w:lineRule="exact"/>
        <w:rPr>
          <w:sz w:val="20"/>
          <w:szCs w:val="20"/>
          <w:color w:val="auto"/>
        </w:rPr>
      </w:pPr>
    </w:p>
    <w:p>
      <w:pPr>
        <w:sectPr>
          <w:pgSz w:w="11900" w:h="16838" w:orient="portrait"/>
          <w:cols w:equalWidth="0" w:num="2">
            <w:col w:w="5420" w:space="420"/>
            <w:col w:w="5600"/>
          </w:cols>
          <w:pgMar w:left="240" w:top="129" w:right="2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right="5980" w:hanging="96"/>
        <w:spacing w:after="0" w:line="289" w:lineRule="auto"/>
        <w:tabs>
          <w:tab w:leader="none" w:pos="201"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Information about commercial technology exchange with foreign countries (partners) 8/20/2008 № 199</w:t>
      </w:r>
    </w:p>
    <w:p>
      <w:pPr>
        <w:spacing w:after="0" w:line="140" w:lineRule="exact"/>
        <w:rPr>
          <w:rFonts w:ascii="Arial" w:cs="Arial" w:eastAsia="Arial" w:hAnsi="Arial"/>
          <w:sz w:val="15"/>
          <w:szCs w:val="15"/>
          <w:color w:val="auto"/>
        </w:rPr>
      </w:pPr>
    </w:p>
    <w:p>
      <w:pPr>
        <w:ind w:left="200" w:hanging="96"/>
        <w:spacing w:after="0"/>
        <w:tabs>
          <w:tab w:leader="none" w:pos="20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Information about investments in non-financial assets 7/10/2009 №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-455295</wp:posOffset>
            </wp:positionV>
            <wp:extent cx="7266305" cy="60198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6305" cy="601980"/>
                    </a:xfrm>
                    <a:prstGeom prst="rect">
                      <a:avLst/>
                    </a:prstGeom>
                    <a:noFill/>
                  </pic:spPr>
                </pic:pic>
              </a:graphicData>
            </a:graphic>
          </wp:anchor>
        </w:drawing>
      </w:r>
    </w:p>
    <w:p>
      <w:pPr>
        <w:sectPr>
          <w:pgSz w:w="11900" w:h="16838" w:orient="portrait"/>
          <w:cols w:equalWidth="0" w:num="1">
            <w:col w:w="11440"/>
          </w:cols>
          <w:pgMar w:left="240" w:top="129" w:right="219" w:bottom="0" w:gutter="0" w:footer="0" w:header="0"/>
          <w:type w:val="continuous"/>
        </w:sectPr>
      </w:pPr>
    </w:p>
    <w:bookmarkStart w:id="275" w:name="page276"/>
    <w:bookmarkEnd w:id="275"/>
    <w:p>
      <w:pPr>
        <w:ind w:left="207" w:hanging="96"/>
        <w:spacing w:after="0"/>
        <w:tabs>
          <w:tab w:leader="none" w:pos="20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Information about investment activity 8/14/2008 № 189</w:t>
      </w:r>
    </w:p>
    <w:p>
      <w:pPr>
        <w:spacing w:after="0" w:line="198" w:lineRule="exact"/>
        <w:rPr>
          <w:rFonts w:ascii="Arial" w:cs="Arial" w:eastAsia="Arial" w:hAnsi="Arial"/>
          <w:sz w:val="15"/>
          <w:szCs w:val="15"/>
          <w:color w:val="auto"/>
        </w:rPr>
      </w:pPr>
    </w:p>
    <w:p>
      <w:pPr>
        <w:ind w:left="207" w:hanging="96"/>
        <w:spacing w:after="0"/>
        <w:tabs>
          <w:tab w:leader="none" w:pos="20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Information on the number and wages of workers 8/26/2009 № 184</w:t>
      </w:r>
    </w:p>
    <w:p>
      <w:pPr>
        <w:spacing w:after="0" w:line="198" w:lineRule="exact"/>
        <w:rPr>
          <w:rFonts w:ascii="Arial" w:cs="Arial" w:eastAsia="Arial" w:hAnsi="Arial"/>
          <w:sz w:val="15"/>
          <w:szCs w:val="15"/>
          <w:color w:val="auto"/>
        </w:rPr>
      </w:pPr>
    </w:p>
    <w:p>
      <w:pPr>
        <w:ind w:left="207" w:hanging="96"/>
        <w:spacing w:after="0"/>
        <w:tabs>
          <w:tab w:leader="none" w:pos="207"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Information about the financial status of the organization 7/16/2009 № 139</w:t>
      </w:r>
    </w:p>
    <w:p>
      <w:pPr>
        <w:spacing w:after="0" w:line="209" w:lineRule="exact"/>
        <w:rPr>
          <w:rFonts w:ascii="Arial" w:cs="Arial" w:eastAsia="Arial" w:hAnsi="Arial"/>
          <w:sz w:val="14"/>
          <w:szCs w:val="14"/>
          <w:color w:val="auto"/>
        </w:rPr>
      </w:pPr>
    </w:p>
    <w:p>
      <w:pPr>
        <w:ind w:left="207" w:hanging="96"/>
        <w:spacing w:after="0"/>
        <w:tabs>
          <w:tab w:leader="none" w:pos="207"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Information on financial investments 7/16/2009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-808355</wp:posOffset>
            </wp:positionV>
            <wp:extent cx="7266305" cy="82359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6305" cy="823595"/>
                    </a:xfrm>
                    <a:prstGeom prst="rect">
                      <a:avLst/>
                    </a:prstGeom>
                    <a:noFill/>
                  </pic:spPr>
                </pic:pic>
              </a:graphicData>
            </a:graphic>
          </wp:anchor>
        </w:drawing>
      </w:r>
    </w:p>
    <w:p>
      <w:pPr>
        <w:sectPr>
          <w:pgSz w:w="11900" w:h="16838" w:orient="portrait"/>
          <w:cols w:equalWidth="0" w:num="1">
            <w:col w:w="11447"/>
          </w:cols>
          <w:pgMar w:left="233" w:top="129" w:right="219" w:bottom="0" w:gutter="0" w:footer="0" w:header="0"/>
        </w:sectPr>
      </w:pPr>
    </w:p>
    <w:p>
      <w:pPr>
        <w:spacing w:after="0" w:line="198" w:lineRule="exact"/>
        <w:rPr>
          <w:sz w:val="20"/>
          <w:szCs w:val="20"/>
          <w:color w:val="auto"/>
        </w:rPr>
      </w:pPr>
    </w:p>
    <w:p>
      <w:pPr>
        <w:ind w:left="7" w:right="180"/>
        <w:spacing w:after="0" w:line="289" w:lineRule="auto"/>
        <w:rPr>
          <w:sz w:val="20"/>
          <w:szCs w:val="20"/>
          <w:color w:val="auto"/>
        </w:rPr>
      </w:pPr>
      <w:r>
        <w:rPr>
          <w:rFonts w:ascii="Arial" w:cs="Arial" w:eastAsia="Arial" w:hAnsi="Arial"/>
          <w:sz w:val="15"/>
          <w:szCs w:val="15"/>
          <w:color w:val="auto"/>
        </w:rPr>
        <w:t>Appendix №4 to form number P-1 approved by the Order of the (Russian) Federal State Statistics Service 2/8/2010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380"/>
        <w:spacing w:after="0" w:line="289" w:lineRule="auto"/>
        <w:rPr>
          <w:sz w:val="20"/>
          <w:szCs w:val="20"/>
          <w:color w:val="auto"/>
        </w:rPr>
      </w:pPr>
      <w:r>
        <w:rPr>
          <w:rFonts w:ascii="Arial" w:cs="Arial" w:eastAsia="Arial" w:hAnsi="Arial"/>
          <w:sz w:val="15"/>
          <w:szCs w:val="15"/>
          <w:color w:val="auto"/>
        </w:rPr>
        <w:t>Statement of cash flows (using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6305" cy="2355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2355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213" w:lineRule="exact"/>
        <w:rPr>
          <w:sz w:val="20"/>
          <w:szCs w:val="20"/>
          <w:color w:val="auto"/>
        </w:rPr>
      </w:pPr>
    </w:p>
    <w:p>
      <w:pPr>
        <w:ind w:left="7"/>
        <w:spacing w:after="0"/>
        <w:rPr>
          <w:sz w:val="20"/>
          <w:szCs w:val="20"/>
          <w:color w:val="auto"/>
        </w:rPr>
      </w:pPr>
      <w:r>
        <w:rPr>
          <w:rFonts w:ascii="Arial" w:cs="Arial" w:eastAsia="Arial" w:hAnsi="Arial"/>
          <w:sz w:val="14"/>
          <w:szCs w:val="14"/>
          <w:color w:val="auto"/>
        </w:rPr>
        <w:t>Income statement (using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66305" cy="2355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375" w:lineRule="exact"/>
        <w:rPr>
          <w:sz w:val="20"/>
          <w:szCs w:val="20"/>
          <w:color w:val="auto"/>
        </w:rPr>
      </w:pPr>
    </w:p>
    <w:p>
      <w:pPr>
        <w:ind w:left="7"/>
        <w:spacing w:after="0"/>
        <w:rPr>
          <w:sz w:val="20"/>
          <w:szCs w:val="20"/>
          <w:color w:val="auto"/>
        </w:rPr>
      </w:pPr>
      <w:r>
        <w:rPr>
          <w:rFonts w:ascii="Arial" w:cs="Arial" w:eastAsia="Arial" w:hAnsi="Arial"/>
          <w:sz w:val="14"/>
          <w:szCs w:val="14"/>
          <w:color w:val="auto"/>
        </w:rPr>
        <w:t>Balance sheet (using form mutually agreeable to the Project Company and Rusnano)</w:t>
      </w:r>
    </w:p>
    <w:p>
      <w:pPr>
        <w:spacing w:after="0" w:line="302" w:lineRule="exact"/>
        <w:rPr>
          <w:sz w:val="20"/>
          <w:szCs w:val="20"/>
          <w:color w:val="auto"/>
        </w:rPr>
      </w:pPr>
    </w:p>
    <w:p>
      <w:pPr>
        <w:ind w:left="7" w:right="440"/>
        <w:spacing w:after="0" w:line="289" w:lineRule="auto"/>
        <w:rPr>
          <w:sz w:val="20"/>
          <w:szCs w:val="20"/>
          <w:color w:val="auto"/>
        </w:rPr>
      </w:pPr>
      <w:r>
        <w:rPr>
          <w:rFonts w:ascii="Arial" w:cs="Arial" w:eastAsia="Arial" w:hAnsi="Arial"/>
          <w:sz w:val="15"/>
          <w:szCs w:val="15"/>
          <w:color w:val="auto"/>
        </w:rPr>
        <w:t>Certificate of Incorporation (original / certified copy) on the last working day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220"/>
        <w:spacing w:after="0" w:line="289" w:lineRule="auto"/>
        <w:rPr>
          <w:sz w:val="20"/>
          <w:szCs w:val="20"/>
          <w:color w:val="auto"/>
        </w:rPr>
      </w:pPr>
      <w:r>
        <w:rPr>
          <w:rFonts w:ascii="Arial" w:cs="Arial" w:eastAsia="Arial" w:hAnsi="Arial"/>
          <w:sz w:val="15"/>
          <w:szCs w:val="15"/>
          <w:color w:val="auto"/>
        </w:rPr>
        <w:t>Protocols of meetings of Russian Entity’s Board of Directors and participant(s) with all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right="240"/>
        <w:spacing w:after="0" w:line="327" w:lineRule="auto"/>
        <w:rPr>
          <w:sz w:val="20"/>
          <w:szCs w:val="20"/>
          <w:color w:val="auto"/>
        </w:rPr>
      </w:pPr>
      <w:r>
        <w:rPr>
          <w:rFonts w:ascii="Arial" w:cs="Arial" w:eastAsia="Arial" w:hAnsi="Arial"/>
          <w:sz w:val="14"/>
          <w:szCs w:val="14"/>
          <w:color w:val="auto"/>
        </w:rPr>
        <w:t>Statement of claim, court/arbitrage ruling determining the action with respect to the Russian Entity bankruptcy proceedings and/or the initiation of bankruptcy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266305" cy="2355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97" w:lineRule="exact"/>
        <w:rPr>
          <w:sz w:val="20"/>
          <w:szCs w:val="20"/>
          <w:color w:val="auto"/>
        </w:rPr>
      </w:pPr>
    </w:p>
    <w:p>
      <w:pPr>
        <w:ind w:left="7"/>
        <w:spacing w:after="0" w:line="302" w:lineRule="auto"/>
        <w:rPr>
          <w:sz w:val="20"/>
          <w:szCs w:val="20"/>
          <w:color w:val="auto"/>
        </w:rPr>
      </w:pPr>
      <w:r>
        <w:rPr>
          <w:rFonts w:ascii="Arial" w:cs="Arial" w:eastAsia="Arial" w:hAnsi="Arial"/>
          <w:sz w:val="14"/>
          <w:szCs w:val="14"/>
          <w:color w:val="auto"/>
        </w:rPr>
        <w:t>Statement of claim, charges against the Russian Entity, settlement of which may materially affect the financial condition or business activities of Russian Entity (a substantial impact is a claim on more than 10% of Russian Entity’s current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66305" cy="35306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6305" cy="353060"/>
                    </a:xfrm>
                    <a:prstGeom prst="rect">
                      <a:avLst/>
                    </a:prstGeom>
                    <a:noFill/>
                  </pic:spPr>
                </pic:pic>
              </a:graphicData>
            </a:graphic>
          </wp:anchor>
        </w:drawing>
      </w:r>
    </w:p>
    <w:p>
      <w:pPr>
        <w:spacing w:after="0" w:line="113" w:lineRule="exact"/>
        <w:rPr>
          <w:sz w:val="20"/>
          <w:szCs w:val="20"/>
          <w:color w:val="auto"/>
        </w:rPr>
      </w:pPr>
    </w:p>
    <w:p>
      <w:pPr>
        <w:ind w:left="7" w:right="120"/>
        <w:spacing w:after="0" w:line="289" w:lineRule="auto"/>
        <w:rPr>
          <w:sz w:val="20"/>
          <w:szCs w:val="20"/>
          <w:color w:val="auto"/>
        </w:rPr>
      </w:pPr>
      <w:r>
        <w:rPr>
          <w:rFonts w:ascii="Arial" w:cs="Arial" w:eastAsia="Arial" w:hAnsi="Arial"/>
          <w:sz w:val="15"/>
          <w:szCs w:val="15"/>
          <w:color w:val="auto"/>
        </w:rPr>
        <w:t>Information on enterprises (organizations) engaged in production activities in the field of nanoindustry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121" w:lineRule="exact"/>
        <w:rPr>
          <w:sz w:val="20"/>
          <w:szCs w:val="20"/>
          <w:color w:val="auto"/>
        </w:rPr>
      </w:pPr>
    </w:p>
    <w:p>
      <w:pPr>
        <w:ind w:left="7"/>
        <w:spacing w:after="0" w:line="289" w:lineRule="auto"/>
        <w:rPr>
          <w:sz w:val="20"/>
          <w:szCs w:val="20"/>
          <w:color w:val="auto"/>
        </w:rPr>
      </w:pPr>
      <w:r>
        <w:rPr>
          <w:rFonts w:ascii="Arial" w:cs="Arial" w:eastAsia="Arial" w:hAnsi="Arial"/>
          <w:sz w:val="15"/>
          <w:szCs w:val="15"/>
          <w:color w:val="auto"/>
        </w:rPr>
        <w:t>List of the affiliated persons of the Russian Entity, which shall include, as relevant: (1) any member of its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-256540</wp:posOffset>
            </wp:positionV>
            <wp:extent cx="7266305" cy="2355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400"/>
        <w:spacing w:after="0" w:line="227" w:lineRule="auto"/>
        <w:rPr>
          <w:sz w:val="20"/>
          <w:szCs w:val="20"/>
          <w:color w:val="auto"/>
        </w:rPr>
      </w:pPr>
      <w:r>
        <w:rPr>
          <w:rFonts w:ascii="Arial" w:cs="Arial" w:eastAsia="Arial" w:hAnsi="Arial"/>
          <w:sz w:val="15"/>
          <w:szCs w:val="15"/>
          <w:color w:val="auto"/>
        </w:rPr>
        <w:t>Quarterly, no later than the 20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(twentieth) day of the month following the reporting period</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Monthly, no later than 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(fifth) business day of the month following the reporting month</w:t>
      </w:r>
    </w:p>
    <w:p>
      <w:pPr>
        <w:spacing w:after="0" w:line="256"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color w:val="auto"/>
        </w:rPr>
        <w:t>Quarterly, within 5 (five) business days after the date of submission of the Russian Entity’s financial statements for the corresponding period</w:t>
      </w:r>
    </w:p>
    <w:p>
      <w:pPr>
        <w:spacing w:after="0" w:line="141" w:lineRule="exact"/>
        <w:rPr>
          <w:sz w:val="20"/>
          <w:szCs w:val="20"/>
          <w:color w:val="auto"/>
        </w:rPr>
      </w:pPr>
    </w:p>
    <w:p>
      <w:pPr>
        <w:ind w:right="500"/>
        <w:spacing w:after="0" w:line="289" w:lineRule="auto"/>
        <w:rPr>
          <w:sz w:val="20"/>
          <w:szCs w:val="20"/>
          <w:color w:val="auto"/>
        </w:rPr>
      </w:pPr>
      <w:r>
        <w:rPr>
          <w:rFonts w:ascii="Arial" w:cs="Arial" w:eastAsia="Arial" w:hAnsi="Arial"/>
          <w:sz w:val="15"/>
          <w:szCs w:val="15"/>
          <w:color w:val="auto"/>
        </w:rPr>
        <w:t>Quarterly, within 5 (five) business days after the date of submission of the Russian Entity’s financial statements for the corresponding period</w:t>
      </w:r>
    </w:p>
    <w:p>
      <w:pPr>
        <w:spacing w:after="0" w:line="141"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Annually no later than 5 (five) business days after the end of the reporting year and after applying the changes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Within 5 (five) business days after conducting the meeting</w:t>
      </w:r>
    </w:p>
    <w:p>
      <w:pPr>
        <w:spacing w:after="0" w:line="291" w:lineRule="exact"/>
        <w:rPr>
          <w:sz w:val="20"/>
          <w:szCs w:val="20"/>
          <w:color w:val="auto"/>
        </w:rPr>
      </w:pPr>
    </w:p>
    <w:p>
      <w:pPr>
        <w:ind w:right="440"/>
        <w:spacing w:after="0" w:line="289" w:lineRule="auto"/>
        <w:rPr>
          <w:sz w:val="20"/>
          <w:szCs w:val="20"/>
          <w:color w:val="auto"/>
        </w:rPr>
      </w:pPr>
      <w:r>
        <w:rPr>
          <w:rFonts w:ascii="Arial" w:cs="Arial" w:eastAsia="Arial" w:hAnsi="Arial"/>
          <w:sz w:val="15"/>
          <w:szCs w:val="15"/>
          <w:color w:val="auto"/>
        </w:rPr>
        <w:t>Within 5 (five) business days after receipt of the statement of claim or ruling by the Russian Entity</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Within 5 (five) working days after receipt of the statement of claim by the Russian Entity</w:t>
      </w:r>
    </w:p>
    <w:p>
      <w:pPr>
        <w:spacing w:after="0" w:line="395" w:lineRule="exact"/>
        <w:rPr>
          <w:sz w:val="20"/>
          <w:szCs w:val="20"/>
          <w:color w:val="auto"/>
        </w:rPr>
      </w:pPr>
    </w:p>
    <w:p>
      <w:pPr>
        <w:ind w:right="800"/>
        <w:spacing w:after="0" w:line="289" w:lineRule="auto"/>
        <w:rPr>
          <w:sz w:val="20"/>
          <w:szCs w:val="20"/>
          <w:color w:val="auto"/>
        </w:rPr>
      </w:pPr>
      <w:r>
        <w:rPr>
          <w:rFonts w:ascii="Arial" w:cs="Arial" w:eastAsia="Arial" w:hAnsi="Arial"/>
          <w:sz w:val="15"/>
          <w:szCs w:val="15"/>
          <w:color w:val="auto"/>
        </w:rPr>
        <w:t>Within a month after the beginning of the development of products, related to nanotechnologies.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5 (five) business days after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247650</wp:posOffset>
            </wp:positionV>
            <wp:extent cx="7285990"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5607" w:space="240"/>
            <w:col w:w="5600"/>
          </w:cols>
          <w:pgMar w:left="233" w:top="129" w:right="219"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directors, advisory board or other similar board or body; (2) any member of its executive body; (3) any person having executive authority, acting singly, on behalf of the Russian Entity; (4) persons in the same group of companies with the Russian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66305" cy="7061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6305" cy="706120"/>
                    </a:xfrm>
                    <a:prstGeom prst="rect">
                      <a:avLst/>
                    </a:prstGeom>
                    <a:noFill/>
                  </pic:spPr>
                </pic:pic>
              </a:graphicData>
            </a:graphic>
          </wp:anchor>
        </w:drawing>
      </w:r>
    </w:p>
    <w:p>
      <w:pPr>
        <w:ind w:left="7" w:hanging="7"/>
        <w:spacing w:after="0" w:line="294" w:lineRule="auto"/>
        <w:tabs>
          <w:tab w:leader="none" w:pos="226" w:val="left"/>
        </w:tabs>
        <w:numPr>
          <w:ilvl w:val="0"/>
          <w:numId w:val="177"/>
        </w:numPr>
        <w:rPr>
          <w:rFonts w:ascii="Arial" w:cs="Arial" w:eastAsia="Arial" w:hAnsi="Arial"/>
          <w:sz w:val="14"/>
          <w:szCs w:val="14"/>
          <w:color w:val="auto"/>
        </w:rPr>
      </w:pPr>
      <w:r>
        <w:rPr>
          <w:rFonts w:ascii="Arial" w:cs="Arial" w:eastAsia="Arial" w:hAnsi="Arial"/>
          <w:sz w:val="14"/>
          <w:szCs w:val="14"/>
          <w:color w:val="auto"/>
        </w:rPr>
        <w:t>person(s) having control over 20% of the participation interests in the charter capital of the Russian Entity; and (6) person(s) in which the Russian Entity controls over 20% of its voting stock, other ownership interests or participation interests in its charter capital.</w:t>
      </w:r>
    </w:p>
    <w:p>
      <w:pPr>
        <w:spacing w:after="0" w:line="139" w:lineRule="exact"/>
        <w:rPr>
          <w:sz w:val="20"/>
          <w:szCs w:val="20"/>
          <w:color w:val="auto"/>
        </w:rPr>
      </w:pPr>
    </w:p>
    <w:p>
      <w:pPr>
        <w:ind w:left="7" w:right="60"/>
        <w:spacing w:after="0" w:line="371" w:lineRule="auto"/>
        <w:rPr>
          <w:sz w:val="20"/>
          <w:szCs w:val="20"/>
          <w:color w:val="auto"/>
        </w:rPr>
      </w:pPr>
      <w:r>
        <w:rPr>
          <w:rFonts w:ascii="Arial" w:cs="Arial" w:eastAsia="Arial" w:hAnsi="Arial"/>
          <w:sz w:val="13"/>
          <w:szCs w:val="13"/>
          <w:color w:val="auto"/>
        </w:rPr>
        <w:t>Annual report on the progress of the Project (including performance against the Business Plan and R&amp;D Plan) in the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-286385</wp:posOffset>
            </wp:positionV>
            <wp:extent cx="7266305" cy="2355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6305" cy="235585"/>
                    </a:xfrm>
                    <a:prstGeom prst="rect">
                      <a:avLst/>
                    </a:prstGeom>
                    <a:noFill/>
                  </pic:spPr>
                </pic:pic>
              </a:graphicData>
            </a:graphic>
          </wp:anchor>
        </w:drawing>
      </w:r>
    </w:p>
    <w:p>
      <w:pPr>
        <w:spacing w:after="0" w:line="74" w:lineRule="exact"/>
        <w:rPr>
          <w:sz w:val="20"/>
          <w:szCs w:val="20"/>
          <w:color w:val="auto"/>
        </w:rPr>
      </w:pPr>
    </w:p>
    <w:p>
      <w:pPr>
        <w:ind w:left="7"/>
        <w:spacing w:after="0"/>
        <w:rPr>
          <w:sz w:val="20"/>
          <w:szCs w:val="20"/>
          <w:color w:val="auto"/>
        </w:rPr>
      </w:pPr>
      <w:r>
        <w:rPr>
          <w:rFonts w:ascii="Arial" w:cs="Arial" w:eastAsia="Arial" w:hAnsi="Arial"/>
          <w:sz w:val="14"/>
          <w:szCs w:val="14"/>
          <w:color w:val="auto"/>
        </w:rPr>
        <w:t>Accounting policies of the Russian Entity for the purposes of accounting and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266305" cy="1174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spacing w:after="0" w:line="190" w:lineRule="exact"/>
        <w:rPr>
          <w:sz w:val="20"/>
          <w:szCs w:val="20"/>
          <w:color w:val="auto"/>
        </w:rPr>
      </w:pPr>
    </w:p>
    <w:p>
      <w:pPr>
        <w:ind w:left="7" w:right="40"/>
        <w:spacing w:after="0" w:line="273" w:lineRule="auto"/>
        <w:rPr>
          <w:sz w:val="20"/>
          <w:szCs w:val="20"/>
          <w:color w:val="auto"/>
        </w:rPr>
      </w:pPr>
      <w:r>
        <w:rPr>
          <w:rFonts w:ascii="Arial" w:cs="Arial" w:eastAsia="Arial" w:hAnsi="Arial"/>
          <w:sz w:val="15"/>
          <w:szCs w:val="15"/>
          <w:color w:val="auto"/>
        </w:rPr>
        <w:t>Is Quarterly report on the progress of the Project (including performance against the Business Plan and R&amp;D Plan) in the form mutually agreeable to the Project Company and Rusnano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66305" cy="35306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6305" cy="353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reporting year, and after the application of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Annually, no later than 20 (twenty) business days after the end of the reporting year</w:t>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Annually, no later than 90 (ninety) days after the end of the reporting year</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Quarterly no later than 30 (thirty) days after the end of the reporting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306070</wp:posOffset>
            </wp:positionV>
            <wp:extent cx="7285990" cy="273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430" w:lineRule="exact"/>
        <w:rPr>
          <w:sz w:val="20"/>
          <w:szCs w:val="20"/>
          <w:color w:val="auto"/>
        </w:rPr>
      </w:pPr>
    </w:p>
    <w:p>
      <w:pPr>
        <w:sectPr>
          <w:pgSz w:w="11900" w:h="16838" w:orient="portrait"/>
          <w:cols w:equalWidth="0" w:num="2">
            <w:col w:w="5607" w:space="240"/>
            <w:col w:w="5600"/>
          </w:cols>
          <w:pgMar w:left="233" w:top="129" w:right="219" w:bottom="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JOINDER AGREEMENT TO FIFTH AMENDED AND RESTATED</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INVESTORS’ RIGHTS AGREEMENT</w:t>
      </w:r>
    </w:p>
    <w:p>
      <w:pPr>
        <w:spacing w:after="0" w:line="188" w:lineRule="exact"/>
        <w:rPr>
          <w:sz w:val="20"/>
          <w:szCs w:val="20"/>
          <w:color w:val="auto"/>
        </w:rPr>
      </w:pPr>
    </w:p>
    <w:p>
      <w:pPr>
        <w:ind w:left="7" w:right="60" w:firstLine="556"/>
        <w:spacing w:after="0" w:line="327" w:lineRule="auto"/>
        <w:rPr>
          <w:sz w:val="20"/>
          <w:szCs w:val="20"/>
          <w:color w:val="auto"/>
        </w:rPr>
      </w:pPr>
      <w:r>
        <w:rPr>
          <w:rFonts w:ascii="Arial" w:cs="Arial" w:eastAsia="Arial" w:hAnsi="Arial"/>
          <w:sz w:val="14"/>
          <w:szCs w:val="14"/>
          <w:color w:val="auto"/>
        </w:rPr>
        <w:t>The undersigned is executing and delivering this Joinder Agreement pursuant to the Fifth Amended and Restated Investors’ Rights Agreement, dated as of August 17, 2015 (as the same may hereafter be amended, the “</w:t>
      </w:r>
      <w:r>
        <w:rPr>
          <w:rFonts w:ascii="Arial" w:cs="Arial" w:eastAsia="Arial" w:hAnsi="Arial"/>
          <w:sz w:val="14"/>
          <w:szCs w:val="14"/>
          <w:u w:val="single" w:color="auto"/>
          <w:color w:val="auto"/>
        </w:rPr>
        <w:t>Agreement</w:t>
      </w:r>
      <w:r>
        <w:rPr>
          <w:rFonts w:ascii="Arial" w:cs="Arial" w:eastAsia="Arial" w:hAnsi="Arial"/>
          <w:sz w:val="14"/>
          <w:szCs w:val="14"/>
          <w:color w:val="auto"/>
        </w:rPr>
        <w:t>”), by and among Selecta Biosciences,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other parties named therein.</w:t>
      </w:r>
    </w:p>
    <w:p>
      <w:pPr>
        <w:spacing w:after="0" w:line="117"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By executing and delivering to the Company this Joinder Agreement, the undersigned hereby (a) agrees that it is a “Purchaser”, as defined in the Agreement; (b) agrees that it is a party to the Agreement for all purposes; and (c) adopts the Agreement with the same force and effect as if the undersigned were originally a party thereto. Any notice required or permitted by the Agreement shall be given to the undersigned at the address listed below its signature hereto.</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color w:val="auto"/>
        </w:rPr>
        <w:t>Accordingly, the undersigned has executed and delivered this Joinder Agreement as of the 16 day of September, 2015.</w:t>
      </w:r>
    </w:p>
    <w:p>
      <w:pPr>
        <w:spacing w:after="0" w:line="198"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WV INVESTMENT TRUST B</w:t>
      </w:r>
    </w:p>
    <w:p>
      <w:pPr>
        <w:spacing w:after="0" w:line="198" w:lineRule="exact"/>
        <w:rPr>
          <w:sz w:val="20"/>
          <w:szCs w:val="20"/>
          <w:color w:val="auto"/>
        </w:rPr>
      </w:pPr>
    </w:p>
    <w:p>
      <w:pPr>
        <w:ind w:left="5747"/>
        <w:spacing w:after="0"/>
        <w:tabs>
          <w:tab w:leader="none" w:pos="6207" w:val="left"/>
        </w:tabs>
        <w:rPr>
          <w:sz w:val="20"/>
          <w:szCs w:val="20"/>
          <w:color w:val="auto"/>
        </w:rPr>
      </w:pPr>
      <w:r>
        <w:rPr>
          <w:rFonts w:ascii="Arial" w:cs="Arial" w:eastAsia="Arial" w:hAnsi="Arial"/>
          <w:sz w:val="15"/>
          <w:szCs w:val="15"/>
          <w:color w:val="auto"/>
        </w:rPr>
        <w:t>By:</w:t>
        <w:tab/>
        <w:t>/s/ Alan W. Rottenberg</w:t>
      </w:r>
    </w:p>
    <w:p>
      <w:pPr>
        <w:spacing w:after="0" w:line="2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Alan W. Rottenberg, as trustee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-108585</wp:posOffset>
            </wp:positionV>
            <wp:extent cx="3316605"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316605" cy="7620"/>
                    </a:xfrm>
                    <a:prstGeom prst="rect">
                      <a:avLst/>
                    </a:prstGeom>
                    <a:noFill/>
                  </pic:spPr>
                </pic:pic>
              </a:graphicData>
            </a:graphic>
          </wp:anchor>
        </w:drawing>
      </w:r>
    </w:p>
    <w:p>
      <w:pPr>
        <w:ind w:left="5747"/>
        <w:spacing w:after="0"/>
        <w:rPr>
          <w:sz w:val="20"/>
          <w:szCs w:val="20"/>
          <w:color w:val="auto"/>
        </w:rPr>
      </w:pPr>
      <w:r>
        <w:rPr>
          <w:rFonts w:ascii="Arial" w:cs="Arial" w:eastAsia="Arial" w:hAnsi="Arial"/>
          <w:sz w:val="15"/>
          <w:szCs w:val="15"/>
          <w:color w:val="auto"/>
        </w:rPr>
        <w:t>not individually</w:t>
      </w:r>
    </w:p>
    <w:p>
      <w:pPr>
        <w:spacing w:after="0" w:line="188"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Address:</w:t>
      </w:r>
    </w:p>
    <w:p>
      <w:pPr>
        <w:spacing w:after="0" w:line="2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Attn. Alan W. Rottenberg, Trustee</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Goulston &amp; Storrs</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400 Atlantic Avenue</w:t>
      </w:r>
    </w:p>
    <w:p>
      <w:pPr>
        <w:spacing w:after="0" w:line="13" w:lineRule="exact"/>
        <w:rPr>
          <w:sz w:val="20"/>
          <w:szCs w:val="20"/>
          <w:color w:val="auto"/>
        </w:rPr>
      </w:pPr>
    </w:p>
    <w:p>
      <w:pPr>
        <w:ind w:left="5747"/>
        <w:spacing w:after="0"/>
        <w:rPr>
          <w:sz w:val="20"/>
          <w:szCs w:val="20"/>
          <w:color w:val="auto"/>
        </w:rPr>
      </w:pPr>
      <w:r>
        <w:rPr>
          <w:rFonts w:ascii="Arial" w:cs="Arial" w:eastAsia="Arial" w:hAnsi="Arial"/>
          <w:sz w:val="15"/>
          <w:szCs w:val="15"/>
          <w:color w:val="auto"/>
        </w:rPr>
        <w:t>Boston, MA 02110</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color w:val="auto"/>
        </w:rPr>
        <w:t>Accepted and agreed:</w:t>
      </w:r>
    </w:p>
    <w:p>
      <w:pPr>
        <w:sectPr>
          <w:pgSz w:w="11900" w:h="16838" w:orient="portrait"/>
          <w:cols w:equalWidth="0" w:num="1">
            <w:col w:w="11447"/>
          </w:cols>
          <w:pgMar w:left="233" w:top="129" w:right="219" w:bottom="0" w:gutter="0" w:footer="0" w:header="0"/>
          <w:type w:val="continuous"/>
        </w:sectPr>
      </w:pPr>
    </w:p>
    <w:bookmarkStart w:id="276" w:name="page277"/>
    <w:bookmarkEnd w:id="276"/>
    <w:p>
      <w:pPr>
        <w:spacing w:after="0"/>
        <w:rPr>
          <w:sz w:val="20"/>
          <w:szCs w:val="20"/>
          <w:color w:val="auto"/>
        </w:rPr>
      </w:pPr>
      <w:r>
        <w:rPr>
          <w:rFonts w:ascii="Arial" w:cs="Arial" w:eastAsia="Arial" w:hAnsi="Arial"/>
          <w:sz w:val="14"/>
          <w:szCs w:val="14"/>
          <w:color w:val="auto"/>
        </w:rPr>
        <w:t>SELECTA BIOSCIENCES, INC.</w:t>
      </w:r>
    </w:p>
    <w:p>
      <w:pPr>
        <w:spacing w:after="0" w:line="395" w:lineRule="exact"/>
        <w:rPr>
          <w:sz w:val="20"/>
          <w:szCs w:val="20"/>
          <w:color w:val="auto"/>
        </w:rPr>
      </w:pPr>
    </w:p>
    <w:p>
      <w:pPr>
        <w:spacing w:after="0"/>
        <w:tabs>
          <w:tab w:leader="none" w:pos="4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Name: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-108585</wp:posOffset>
            </wp:positionV>
            <wp:extent cx="3324225"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0219"/>
          </w:cols>
          <w:pgMar w:left="240" w:top="314" w:right="1440" w:bottom="1440" w:gutter="0" w:footer="0" w:header="0"/>
        </w:sectPr>
      </w:pPr>
    </w:p>
    <w:bookmarkStart w:id="277" w:name="page278"/>
    <w:bookmarkEnd w:id="277"/>
    <w:p>
      <w:pPr>
        <w:spacing w:after="0" w:line="5" w:lineRule="exact"/>
        <w:rPr>
          <w:sz w:val="20"/>
          <w:szCs w:val="20"/>
          <w:color w:val="auto"/>
        </w:rPr>
      </w:pPr>
    </w:p>
    <w:p>
      <w:pPr>
        <w:ind w:left="10720"/>
        <w:spacing w:after="0"/>
        <w:rPr>
          <w:sz w:val="20"/>
          <w:szCs w:val="20"/>
          <w:color w:val="auto"/>
        </w:rPr>
      </w:pPr>
      <w:r>
        <w:rPr>
          <w:rFonts w:ascii="Arial" w:cs="Arial" w:eastAsia="Arial" w:hAnsi="Arial"/>
          <w:sz w:val="14"/>
          <w:szCs w:val="14"/>
          <w:b w:val="1"/>
          <w:bCs w:val="1"/>
          <w:color w:val="auto"/>
        </w:rPr>
        <w:t>Exhibit 4.3</w:t>
      </w:r>
    </w:p>
    <w:p>
      <w:pPr>
        <w:spacing w:after="0" w:line="216" w:lineRule="exact"/>
        <w:rPr>
          <w:sz w:val="20"/>
          <w:szCs w:val="20"/>
          <w:color w:val="auto"/>
        </w:rPr>
      </w:pPr>
    </w:p>
    <w:p>
      <w:pPr>
        <w:ind w:right="300"/>
        <w:spacing w:after="0" w:line="268" w:lineRule="auto"/>
        <w:rPr>
          <w:sz w:val="20"/>
          <w:szCs w:val="20"/>
          <w:color w:val="auto"/>
        </w:rPr>
      </w:pPr>
      <w:r>
        <w:rPr>
          <w:rFonts w:ascii="Arial" w:cs="Arial" w:eastAsia="Arial" w:hAnsi="Arial"/>
          <w:sz w:val="15"/>
          <w:szCs w:val="15"/>
          <w:color w:val="auto"/>
        </w:rPr>
        <w:t>THIS WARRANT TO PURCHASE COMMON STOCK AND THE SECURITIES ISSUABLE UPON EXERCISE HEREOF HAVE NOT BEEN REGISTERED OR QUALIFIED UNDER THE SECURITIES ACT OF 1933, AS AMENDED, OR APPLICABLE STATE SECURITIES LAWS. SUCH SECURITIES MAY NOT BE TRANSFERRED OR OTHERWISE DISPOSED OF UNLESS THEY HAVE BEEN SO REGISTERED AND QUALIFIED OR AN OPINION OF COUNSEL, SATISFACTORY TO THE COMPANY, THAT REGISTRATION AND QUALIFICATION IS NOT REQUIRED IS FURNISHED TO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gridSpan w:val="3"/>
          </w:tcPr>
          <w:p>
            <w:pPr>
              <w:spacing w:after="0"/>
              <w:rPr>
                <w:sz w:val="20"/>
                <w:szCs w:val="20"/>
                <w:color w:val="auto"/>
              </w:rPr>
            </w:pPr>
            <w:r>
              <w:rPr>
                <w:rFonts w:ascii="Arial" w:cs="Arial" w:eastAsia="Arial" w:hAnsi="Arial"/>
                <w:sz w:val="15"/>
                <w:szCs w:val="15"/>
                <w:color w:val="auto"/>
              </w:rPr>
              <w:t>Warrant No. 2015 —</w:t>
            </w:r>
          </w:p>
        </w:tc>
        <w:tc>
          <w:tcPr>
            <w:tcW w:w="6040" w:type="dxa"/>
            <w:vAlign w:val="bottom"/>
          </w:tcPr>
          <w:p>
            <w:pPr>
              <w:ind w:left="5200"/>
              <w:spacing w:after="0"/>
              <w:rPr>
                <w:sz w:val="20"/>
                <w:szCs w:val="20"/>
                <w:color w:val="auto"/>
              </w:rPr>
            </w:pPr>
            <w:r>
              <w:rPr>
                <w:rFonts w:ascii="Arial" w:cs="Arial" w:eastAsia="Arial" w:hAnsi="Arial"/>
                <w:sz w:val="15"/>
                <w:szCs w:val="15"/>
                <w:color w:val="auto"/>
                <w:w w:val="91"/>
              </w:rPr>
              <w:t>July 24, 2015</w:t>
            </w:r>
          </w:p>
        </w:tc>
      </w:tr>
      <w:tr>
        <w:trPr>
          <w:trHeight w:val="371"/>
        </w:trPr>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20" w:type="dxa"/>
            <w:vAlign w:val="bottom"/>
            <w:gridSpan w:val="2"/>
          </w:tcPr>
          <w:p>
            <w:pPr>
              <w:jc w:val="center"/>
              <w:ind w:right="3943"/>
              <w:spacing w:after="0"/>
              <w:rPr>
                <w:sz w:val="20"/>
                <w:szCs w:val="20"/>
                <w:color w:val="auto"/>
              </w:rPr>
            </w:pPr>
            <w:r>
              <w:rPr>
                <w:rFonts w:ascii="Arial" w:cs="Arial" w:eastAsia="Arial" w:hAnsi="Arial"/>
                <w:sz w:val="15"/>
                <w:szCs w:val="15"/>
                <w:b w:val="1"/>
                <w:bCs w:val="1"/>
                <w:color w:val="auto"/>
              </w:rPr>
              <w:t>SELECTA BIOSCIENCES, INC.</w:t>
            </w:r>
          </w:p>
        </w:tc>
      </w:tr>
      <w:tr>
        <w:trPr>
          <w:trHeight w:val="371"/>
        </w:trPr>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20" w:type="dxa"/>
            <w:vAlign w:val="bottom"/>
            <w:gridSpan w:val="2"/>
          </w:tcPr>
          <w:p>
            <w:pPr>
              <w:jc w:val="center"/>
              <w:ind w:right="3943"/>
              <w:spacing w:after="0"/>
              <w:rPr>
                <w:sz w:val="20"/>
                <w:szCs w:val="20"/>
                <w:color w:val="auto"/>
              </w:rPr>
            </w:pPr>
            <w:r>
              <w:rPr>
                <w:rFonts w:ascii="Arial" w:cs="Arial" w:eastAsia="Arial" w:hAnsi="Arial"/>
                <w:sz w:val="15"/>
                <w:szCs w:val="15"/>
                <w:b w:val="1"/>
                <w:bCs w:val="1"/>
                <w:color w:val="auto"/>
              </w:rPr>
              <w:t>WARRANT TO PURCHASE COMMON STOCK</w:t>
            </w:r>
          </w:p>
        </w:tc>
      </w:tr>
      <w:tr>
        <w:trPr>
          <w:trHeight w:val="336"/>
        </w:trPr>
        <w:tc>
          <w:tcPr>
            <w:tcW w:w="5400" w:type="dxa"/>
            <w:vAlign w:val="bottom"/>
            <w:gridSpan w:val="3"/>
          </w:tcPr>
          <w:p>
            <w:pPr>
              <w:ind w:left="540"/>
              <w:spacing w:after="0"/>
              <w:rPr>
                <w:sz w:val="20"/>
                <w:szCs w:val="20"/>
                <w:color w:val="auto"/>
              </w:rPr>
            </w:pPr>
            <w:r>
              <w:rPr>
                <w:rFonts w:ascii="Arial" w:cs="Arial" w:eastAsia="Arial" w:hAnsi="Arial"/>
                <w:sz w:val="15"/>
                <w:szCs w:val="15"/>
                <w:color w:val="auto"/>
              </w:rPr>
              <w:t>This Warrant to Purchase Common Stock (this “Warrant”) is issued to</w:t>
            </w:r>
          </w:p>
        </w:tc>
        <w:tc>
          <w:tcPr>
            <w:tcW w:w="6040" w:type="dxa"/>
            <w:vAlign w:val="bottom"/>
          </w:tcPr>
          <w:p>
            <w:pPr>
              <w:ind w:left="520"/>
              <w:spacing w:after="0"/>
              <w:rPr>
                <w:sz w:val="20"/>
                <w:szCs w:val="20"/>
                <w:color w:val="auto"/>
              </w:rPr>
            </w:pPr>
            <w:r>
              <w:rPr>
                <w:rFonts w:ascii="Arial" w:cs="Arial" w:eastAsia="Arial" w:hAnsi="Arial"/>
                <w:sz w:val="15"/>
                <w:szCs w:val="15"/>
                <w:color w:val="auto"/>
              </w:rPr>
              <w:t>or its registered assigns by Selecta Biosciences, Inc., a Delaware corporation (the</w:t>
            </w:r>
          </w:p>
        </w:tc>
      </w:tr>
      <w:tr>
        <w:trPr>
          <w:trHeight w:val="20"/>
        </w:trPr>
        <w:tc>
          <w:tcPr>
            <w:tcW w:w="3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This Warrant is one of several like warrants (collectively, the “</w:t>
      </w:r>
      <w:r>
        <w:rPr>
          <w:rFonts w:ascii="Arial" w:cs="Arial" w:eastAsia="Arial" w:hAnsi="Arial"/>
          <w:sz w:val="14"/>
          <w:szCs w:val="14"/>
          <w:u w:val="single" w:color="auto"/>
          <w:color w:val="auto"/>
        </w:rPr>
        <w:t>Warrants</w:t>
      </w:r>
      <w:r>
        <w:rPr>
          <w:rFonts w:ascii="Arial" w:cs="Arial" w:eastAsia="Arial" w:hAnsi="Arial"/>
          <w:sz w:val="14"/>
          <w:szCs w:val="14"/>
          <w:color w:val="auto"/>
        </w:rPr>
        <w:t>”) being issued in connection with the issuance by the Company to the holder (the “</w:t>
      </w:r>
      <w:r>
        <w:rPr>
          <w:rFonts w:ascii="Arial" w:cs="Arial" w:eastAsia="Arial" w:hAnsi="Arial"/>
          <w:sz w:val="14"/>
          <w:szCs w:val="14"/>
          <w:u w:val="single" w:color="auto"/>
          <w:color w:val="auto"/>
        </w:rPr>
        <w:t>Holder</w:t>
      </w:r>
      <w:r>
        <w:rPr>
          <w:rFonts w:ascii="Arial" w:cs="Arial" w:eastAsia="Arial" w:hAnsi="Arial"/>
          <w:sz w:val="14"/>
          <w:szCs w:val="14"/>
          <w:color w:val="auto"/>
        </w:rPr>
        <w:t>”) of one or more Secured Convertible Promissory Notes (each, a “</w:t>
      </w:r>
      <w:r>
        <w:rPr>
          <w:rFonts w:ascii="Arial" w:cs="Arial" w:eastAsia="Arial" w:hAnsi="Arial"/>
          <w:sz w:val="14"/>
          <w:szCs w:val="14"/>
          <w:u w:val="single" w:color="auto"/>
          <w:color w:val="auto"/>
        </w:rPr>
        <w:t>Note</w:t>
      </w:r>
      <w:r>
        <w:rPr>
          <w:rFonts w:ascii="Arial" w:cs="Arial" w:eastAsia="Arial" w:hAnsi="Arial"/>
          <w:sz w:val="14"/>
          <w:szCs w:val="14"/>
          <w:color w:val="auto"/>
        </w:rPr>
        <w:t>”) pursuant to that certain Securities Purchase Agreement by and among the Company, the Holder and the other parties named therein, dated as of April 10, 2015. By its acceptance hereof, the Holder hereby agrees to be bound by the terms and conditions of this Warrant.</w:t>
      </w:r>
    </w:p>
    <w:p>
      <w:pPr>
        <w:spacing w:after="0" w:line="133" w:lineRule="exact"/>
        <w:rPr>
          <w:sz w:val="20"/>
          <w:szCs w:val="20"/>
          <w:color w:val="auto"/>
        </w:rPr>
      </w:pPr>
    </w:p>
    <w:p>
      <w:pPr>
        <w:ind w:left="1100" w:hanging="551"/>
        <w:spacing w:after="0"/>
        <w:tabs>
          <w:tab w:leader="none" w:pos="1100"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General Terms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right="160" w:firstLine="1104"/>
        <w:spacing w:after="0" w:line="289" w:lineRule="auto"/>
        <w:tabs>
          <w:tab w:leader="none" w:pos="1665" w:val="left"/>
        </w:tabs>
        <w:numPr>
          <w:ilvl w:val="1"/>
          <w:numId w:val="178"/>
        </w:numPr>
        <w:rPr>
          <w:rFonts w:ascii="Arial" w:cs="Arial" w:eastAsia="Arial" w:hAnsi="Arial"/>
          <w:sz w:val="15"/>
          <w:szCs w:val="15"/>
          <w:color w:val="auto"/>
        </w:rPr>
      </w:pPr>
      <w:r>
        <w:rPr>
          <w:rFonts w:ascii="Arial" w:cs="Arial" w:eastAsia="Arial" w:hAnsi="Arial"/>
          <w:sz w:val="15"/>
          <w:szCs w:val="15"/>
          <w:u w:val="single" w:color="auto"/>
          <w:color w:val="auto"/>
        </w:rPr>
        <w:t>The Shares</w:t>
      </w:r>
      <w:r>
        <w:rPr>
          <w:rFonts w:ascii="Arial" w:cs="Arial" w:eastAsia="Arial" w:hAnsi="Arial"/>
          <w:sz w:val="15"/>
          <w:szCs w:val="15"/>
          <w:color w:val="auto"/>
        </w:rPr>
        <w:t>. The term “</w:t>
      </w:r>
      <w:r>
        <w:rPr>
          <w:rFonts w:ascii="Arial" w:cs="Arial" w:eastAsia="Arial" w:hAnsi="Arial"/>
          <w:sz w:val="15"/>
          <w:szCs w:val="15"/>
          <w:u w:val="single" w:color="auto"/>
          <w:color w:val="auto"/>
        </w:rPr>
        <w:t>Shares</w:t>
      </w:r>
      <w:r>
        <w:rPr>
          <w:rFonts w:ascii="Arial" w:cs="Arial" w:eastAsia="Arial" w:hAnsi="Arial"/>
          <w:sz w:val="15"/>
          <w:szCs w:val="15"/>
          <w:color w:val="auto"/>
        </w:rPr>
        <w:t>” shall mean the shares of the Common Stock of the Company, $0.0001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for which this Warrant shall be exercisable from time to time.</w:t>
      </w:r>
    </w:p>
    <w:p>
      <w:pPr>
        <w:spacing w:after="0" w:line="140" w:lineRule="exact"/>
        <w:rPr>
          <w:rFonts w:ascii="Arial" w:cs="Arial" w:eastAsia="Arial" w:hAnsi="Arial"/>
          <w:sz w:val="15"/>
          <w:szCs w:val="15"/>
          <w:color w:val="auto"/>
        </w:rPr>
      </w:pPr>
    </w:p>
    <w:p>
      <w:pPr>
        <w:ind w:right="840" w:firstLine="1104"/>
        <w:spacing w:after="0" w:line="289" w:lineRule="auto"/>
        <w:tabs>
          <w:tab w:leader="none" w:pos="1674" w:val="left"/>
        </w:tabs>
        <w:numPr>
          <w:ilvl w:val="1"/>
          <w:numId w:val="178"/>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(the “</w:t>
      </w:r>
      <w:r>
        <w:rPr>
          <w:rFonts w:ascii="Arial" w:cs="Arial" w:eastAsia="Arial" w:hAnsi="Arial"/>
          <w:sz w:val="15"/>
          <w:szCs w:val="15"/>
          <w:u w:val="single" w:color="auto"/>
          <w:color w:val="auto"/>
        </w:rPr>
        <w:t>Exercise Price</w:t>
      </w:r>
      <w:r>
        <w:rPr>
          <w:rFonts w:ascii="Arial" w:cs="Arial" w:eastAsia="Arial" w:hAnsi="Arial"/>
          <w:sz w:val="15"/>
          <w:szCs w:val="15"/>
          <w:color w:val="auto"/>
        </w:rPr>
        <w:t>”) for each Share shall be $4.50 (as adjusted for any stock dividends, combinations, splits, recapitalizations and similar events affecting the Common Stock).</w:t>
      </w:r>
    </w:p>
    <w:p>
      <w:pPr>
        <w:spacing w:after="0" w:line="140" w:lineRule="exact"/>
        <w:rPr>
          <w:rFonts w:ascii="Arial" w:cs="Arial" w:eastAsia="Arial" w:hAnsi="Arial"/>
          <w:sz w:val="15"/>
          <w:szCs w:val="15"/>
          <w:color w:val="auto"/>
        </w:rPr>
      </w:pPr>
    </w:p>
    <w:p>
      <w:pPr>
        <w:ind w:right="60" w:firstLine="1104"/>
        <w:spacing w:after="0" w:line="289" w:lineRule="auto"/>
        <w:tabs>
          <w:tab w:leader="none" w:pos="1677" w:val="left"/>
        </w:tabs>
        <w:numPr>
          <w:ilvl w:val="1"/>
          <w:numId w:val="178"/>
        </w:numPr>
        <w:rPr>
          <w:rFonts w:ascii="Arial" w:cs="Arial" w:eastAsia="Arial" w:hAnsi="Arial"/>
          <w:sz w:val="15"/>
          <w:szCs w:val="15"/>
          <w:color w:val="auto"/>
        </w:rPr>
      </w:pPr>
      <w:r>
        <w:rPr>
          <w:rFonts w:ascii="Arial" w:cs="Arial" w:eastAsia="Arial" w:hAnsi="Arial"/>
          <w:sz w:val="15"/>
          <w:szCs w:val="15"/>
          <w:u w:val="single" w:color="auto"/>
          <w:color w:val="auto"/>
        </w:rPr>
        <w:t>Exercise Period</w:t>
      </w:r>
      <w:r>
        <w:rPr>
          <w:rFonts w:ascii="Arial" w:cs="Arial" w:eastAsia="Arial" w:hAnsi="Arial"/>
          <w:sz w:val="15"/>
          <w:szCs w:val="15"/>
          <w:color w:val="auto"/>
        </w:rPr>
        <w:t xml:space="preserve">. This Warrant shall be exercisable, in whole or in part, during the term commencing on the date of this Warrant as set forth above and ending on the expiration of this Warrant pursuant to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hereof (the “</w:t>
      </w:r>
      <w:r>
        <w:rPr>
          <w:rFonts w:ascii="Arial" w:cs="Arial" w:eastAsia="Arial" w:hAnsi="Arial"/>
          <w:sz w:val="15"/>
          <w:szCs w:val="15"/>
          <w:u w:val="single" w:color="auto"/>
          <w:color w:val="auto"/>
        </w:rPr>
        <w:t>Exercise Period</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right="200" w:firstLine="549"/>
        <w:spacing w:after="0" w:line="268" w:lineRule="auto"/>
        <w:tabs>
          <w:tab w:leader="none" w:pos="1112"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Purchase of Shares</w:t>
      </w:r>
      <w:r>
        <w:rPr>
          <w:rFonts w:ascii="Arial" w:cs="Arial" w:eastAsia="Arial" w:hAnsi="Arial"/>
          <w:sz w:val="15"/>
          <w:szCs w:val="15"/>
          <w:color w:val="auto"/>
        </w:rPr>
        <w:t>. Subject to the terms and conditions hereinafter set forth, the holder of this Warrant is entitled, at any time during the Exercise Period, upon surrender of this Warrant at the principal office of the Company (or at such other place as the Company shall notify the holder hereof in writing), to purchase from the Company up to the number of fully paid and nonassessable shares of Common Stock that equals the quotient (rounded down to the nearest whole share) obtained by dividing (a) an amount equal to twenty percent (20%) of the aggregate original principal amount of the Note(s) issued to the Holder by (b) the Exercise Price.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69" w:lineRule="exact"/>
        <w:rPr>
          <w:rFonts w:ascii="Arial" w:cs="Arial" w:eastAsia="Arial" w:hAnsi="Arial"/>
          <w:sz w:val="15"/>
          <w:szCs w:val="15"/>
          <w:color w:val="auto"/>
        </w:rPr>
      </w:pPr>
    </w:p>
    <w:p>
      <w:pPr>
        <w:ind w:right="120" w:firstLine="549"/>
        <w:spacing w:after="0" w:line="289" w:lineRule="auto"/>
        <w:tabs>
          <w:tab w:leader="none" w:pos="1112"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While this Warrant remains outstanding and exercisable in accordance with </w:t>
      </w:r>
      <w:r>
        <w:rPr>
          <w:rFonts w:ascii="Arial" w:cs="Arial" w:eastAsia="Arial" w:hAnsi="Arial"/>
          <w:sz w:val="15"/>
          <w:szCs w:val="15"/>
          <w:u w:val="single" w:color="auto"/>
          <w:color w:val="auto"/>
        </w:rPr>
        <w:t>Section 1(c)</w:t>
      </w:r>
      <w:r>
        <w:rPr>
          <w:rFonts w:ascii="Arial" w:cs="Arial" w:eastAsia="Arial" w:hAnsi="Arial"/>
          <w:sz w:val="15"/>
          <w:szCs w:val="15"/>
          <w:color w:val="auto"/>
        </w:rPr>
        <w:t xml:space="preserve"> above, the Holder may exercise, in whole or in part, the purchase rights evidenced hereby. Such exercise shall be effected by:</w:t>
      </w:r>
    </w:p>
    <w:p>
      <w:pPr>
        <w:spacing w:after="0" w:line="140" w:lineRule="exact"/>
        <w:rPr>
          <w:rFonts w:ascii="Arial" w:cs="Arial" w:eastAsia="Arial" w:hAnsi="Arial"/>
          <w:sz w:val="15"/>
          <w:szCs w:val="15"/>
          <w:color w:val="auto"/>
        </w:rPr>
      </w:pPr>
    </w:p>
    <w:p>
      <w:pPr>
        <w:ind w:right="80" w:firstLine="1104"/>
        <w:spacing w:after="0" w:line="289" w:lineRule="auto"/>
        <w:tabs>
          <w:tab w:leader="none" w:pos="1665" w:val="left"/>
        </w:tabs>
        <w:numPr>
          <w:ilvl w:val="1"/>
          <w:numId w:val="178"/>
        </w:numPr>
        <w:rPr>
          <w:rFonts w:ascii="Arial" w:cs="Arial" w:eastAsia="Arial" w:hAnsi="Arial"/>
          <w:sz w:val="15"/>
          <w:szCs w:val="15"/>
          <w:color w:val="auto"/>
        </w:rPr>
      </w:pPr>
      <w:r>
        <w:rPr>
          <w:rFonts w:ascii="Arial" w:cs="Arial" w:eastAsia="Arial" w:hAnsi="Arial"/>
          <w:sz w:val="15"/>
          <w:szCs w:val="15"/>
          <w:color w:val="auto"/>
        </w:rPr>
        <w:t xml:space="preserve">the surrender to the President, Treasurer or Secretary of the Company at its principal offices of the Warrant, together with a notice of exercise substantially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Notice of Exercise</w:t>
      </w:r>
      <w:r>
        <w:rPr>
          <w:rFonts w:ascii="Arial" w:cs="Arial" w:eastAsia="Arial" w:hAnsi="Arial"/>
          <w:sz w:val="15"/>
          <w:szCs w:val="15"/>
          <w:color w:val="auto"/>
        </w:rPr>
        <w:t>”); and</w:t>
      </w:r>
    </w:p>
    <w:p>
      <w:pPr>
        <w:spacing w:after="0" w:line="140" w:lineRule="exact"/>
        <w:rPr>
          <w:rFonts w:ascii="Arial" w:cs="Arial" w:eastAsia="Arial" w:hAnsi="Arial"/>
          <w:sz w:val="15"/>
          <w:szCs w:val="15"/>
          <w:color w:val="auto"/>
        </w:rPr>
      </w:pPr>
    </w:p>
    <w:p>
      <w:pPr>
        <w:ind w:right="220" w:firstLine="1104"/>
        <w:spacing w:after="0" w:line="289" w:lineRule="auto"/>
        <w:tabs>
          <w:tab w:leader="none" w:pos="1674"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the payment to the Company, in cash, by certified or official bank check payable to the Company, or wire transfer of funds to an account designated by the Company, of an amount equal to the aggregate Exercise Price for the number of Shares being purchased.</w:t>
      </w:r>
    </w:p>
    <w:p>
      <w:pPr>
        <w:spacing w:after="0" w:line="140" w:lineRule="exact"/>
        <w:rPr>
          <w:rFonts w:ascii="Arial" w:cs="Arial" w:eastAsia="Arial" w:hAnsi="Arial"/>
          <w:sz w:val="15"/>
          <w:szCs w:val="15"/>
          <w:color w:val="auto"/>
        </w:rPr>
      </w:pPr>
    </w:p>
    <w:p>
      <w:pPr>
        <w:ind w:right="140" w:firstLine="549"/>
        <w:spacing w:after="0" w:line="302" w:lineRule="auto"/>
        <w:tabs>
          <w:tab w:leader="none" w:pos="1112" w:val="left"/>
        </w:tabs>
        <w:numPr>
          <w:ilvl w:val="0"/>
          <w:numId w:val="178"/>
        </w:numPr>
        <w:rPr>
          <w:rFonts w:ascii="Arial" w:cs="Arial" w:eastAsia="Arial" w:hAnsi="Arial"/>
          <w:sz w:val="14"/>
          <w:szCs w:val="14"/>
          <w:color w:val="auto"/>
        </w:rPr>
      </w:pPr>
      <w:r>
        <w:rPr>
          <w:rFonts w:ascii="Arial" w:cs="Arial" w:eastAsia="Arial" w:hAnsi="Arial"/>
          <w:sz w:val="14"/>
          <w:szCs w:val="14"/>
          <w:u w:val="single" w:color="auto"/>
          <w:color w:val="auto"/>
        </w:rPr>
        <w:t>Net Exercise</w:t>
      </w:r>
      <w:r>
        <w:rPr>
          <w:rFonts w:ascii="Arial" w:cs="Arial" w:eastAsia="Arial" w:hAnsi="Arial"/>
          <w:sz w:val="14"/>
          <w:szCs w:val="14"/>
          <w:color w:val="auto"/>
        </w:rPr>
        <w:t>. Notwithstanding any provisions herein to the contrary, in lieu of exercising this Warrant as set forth in Section 3 above, the Holder may elect to receive shares of Common Stock equal to the value (as determined below) of this Warrant (or the portion thereof being canceled) by surrender of this Warrant at the primary office of the Company, together with the Notice of Exercise, in which event the Company shall issue to the Holder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-1771015</wp:posOffset>
            </wp:positionV>
            <wp:extent cx="7285990"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spacing w:after="0"/>
              <w:rPr>
                <w:sz w:val="15"/>
                <w:szCs w:val="15"/>
                <w:color w:val="auto"/>
              </w:rPr>
            </w:pPr>
          </w:p>
        </w:tc>
        <w:tc>
          <w:tcPr>
            <w:tcW w:w="10300" w:type="dxa"/>
            <w:vAlign w:val="bottom"/>
            <w:gridSpan w:val="3"/>
          </w:tcPr>
          <w:p>
            <w:pPr>
              <w:jc w:val="center"/>
              <w:ind w:right="860"/>
              <w:spacing w:after="0"/>
              <w:rPr>
                <w:sz w:val="20"/>
                <w:szCs w:val="20"/>
                <w:color w:val="auto"/>
              </w:rPr>
            </w:pPr>
            <w:r>
              <w:rPr>
                <w:rFonts w:ascii="Arial" w:cs="Arial" w:eastAsia="Arial" w:hAnsi="Arial"/>
                <w:sz w:val="15"/>
                <w:szCs w:val="15"/>
                <w:color w:val="auto"/>
                <w:w w:val="96"/>
              </w:rPr>
              <w:t>CS = WCS x (CMP-WP)</w:t>
            </w:r>
          </w:p>
        </w:tc>
      </w:tr>
      <w:tr>
        <w:trPr>
          <w:trHeight w:val="200"/>
        </w:trPr>
        <w:tc>
          <w:tcPr>
            <w:tcW w:w="10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00" w:type="dxa"/>
            <w:vAlign w:val="bottom"/>
            <w:tcBorders>
              <w:top w:val="single" w:sz="8" w:color="auto"/>
            </w:tcBorders>
          </w:tcPr>
          <w:p>
            <w:pPr>
              <w:jc w:val="center"/>
              <w:ind w:right="283"/>
              <w:spacing w:after="0"/>
              <w:rPr>
                <w:sz w:val="20"/>
                <w:szCs w:val="20"/>
                <w:color w:val="auto"/>
              </w:rPr>
            </w:pPr>
            <w:r>
              <w:rPr>
                <w:rFonts w:ascii="Arial" w:cs="Arial" w:eastAsia="Arial" w:hAnsi="Arial"/>
                <w:sz w:val="15"/>
                <w:szCs w:val="15"/>
                <w:color w:val="auto"/>
                <w:w w:val="95"/>
              </w:rPr>
              <w:t>CMP</w:t>
            </w:r>
          </w:p>
        </w:tc>
        <w:tc>
          <w:tcPr>
            <w:tcW w:w="4800" w:type="dxa"/>
            <w:vAlign w:val="bottom"/>
          </w:tcPr>
          <w:p>
            <w:pPr>
              <w:spacing w:after="0"/>
              <w:rPr>
                <w:sz w:val="17"/>
                <w:szCs w:val="17"/>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5"/>
                <w:szCs w:val="15"/>
                <w:color w:val="auto"/>
              </w:rPr>
              <w:t>Where:</w:t>
            </w:r>
          </w:p>
        </w:tc>
        <w:tc>
          <w:tcPr>
            <w:tcW w:w="4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CS</w:t>
            </w: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equals the number of shares of Common Stock to be issued to the Holder</w:t>
            </w:r>
          </w:p>
        </w:tc>
      </w:tr>
      <w:tr>
        <w:trPr>
          <w:trHeight w:val="360"/>
        </w:trPr>
        <w:tc>
          <w:tcPr>
            <w:tcW w:w="1000" w:type="dxa"/>
            <w:vAlign w:val="bottom"/>
          </w:tcPr>
          <w:p>
            <w:pPr>
              <w:ind w:left="540"/>
              <w:spacing w:after="0"/>
              <w:rPr>
                <w:sz w:val="20"/>
                <w:szCs w:val="20"/>
                <w:color w:val="auto"/>
              </w:rPr>
            </w:pPr>
            <w:r>
              <w:rPr>
                <w:rFonts w:ascii="Arial" w:cs="Arial" w:eastAsia="Arial" w:hAnsi="Arial"/>
                <w:sz w:val="15"/>
                <w:szCs w:val="15"/>
                <w:color w:val="auto"/>
              </w:rPr>
              <w:t>WCS</w:t>
            </w:r>
          </w:p>
        </w:tc>
        <w:tc>
          <w:tcPr>
            <w:tcW w:w="10300" w:type="dxa"/>
            <w:vAlign w:val="bottom"/>
            <w:gridSpan w:val="3"/>
          </w:tcPr>
          <w:p>
            <w:pPr>
              <w:ind w:left="120"/>
              <w:spacing w:after="0"/>
              <w:rPr>
                <w:sz w:val="20"/>
                <w:szCs w:val="20"/>
                <w:color w:val="auto"/>
              </w:rPr>
            </w:pPr>
            <w:r>
              <w:rPr>
                <w:rFonts w:ascii="Arial" w:cs="Arial" w:eastAsia="Arial" w:hAnsi="Arial"/>
                <w:sz w:val="15"/>
                <w:szCs w:val="15"/>
                <w:color w:val="auto"/>
                <w:w w:val="92"/>
              </w:rPr>
              <w:t>equals the number of shares of Common Stock purchasable under the Warrant or, if only a portion of the Warrant is being exercised, the portion of the Warrant being</w:t>
            </w:r>
          </w:p>
        </w:tc>
      </w:tr>
      <w:tr>
        <w:trPr>
          <w:trHeight w:val="196"/>
        </w:trPr>
        <w:tc>
          <w:tcPr>
            <w:tcW w:w="1000" w:type="dxa"/>
            <w:vAlign w:val="bottom"/>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exercised, at the date of such calculation</w:t>
            </w: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CMP</w:t>
            </w: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equals the Current Market Price (as defined below) at the date of such calculation</w:t>
            </w: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WP</w:t>
            </w:r>
          </w:p>
        </w:tc>
        <w:tc>
          <w:tcPr>
            <w:tcW w:w="10300" w:type="dxa"/>
            <w:vAlign w:val="bottom"/>
            <w:gridSpan w:val="3"/>
          </w:tcPr>
          <w:p>
            <w:pPr>
              <w:ind w:left="120"/>
              <w:spacing w:after="0"/>
              <w:rPr>
                <w:sz w:val="20"/>
                <w:szCs w:val="20"/>
                <w:color w:val="auto"/>
              </w:rPr>
            </w:pPr>
            <w:r>
              <w:rPr>
                <w:rFonts w:ascii="Arial" w:cs="Arial" w:eastAsia="Arial" w:hAnsi="Arial"/>
                <w:sz w:val="15"/>
                <w:szCs w:val="15"/>
                <w:color w:val="auto"/>
              </w:rPr>
              <w:t>equals the Exercise Price as adjusted to the date of such calculation</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the “</w:t>
      </w:r>
      <w:r>
        <w:rPr>
          <w:rFonts w:ascii="Arial" w:cs="Arial" w:eastAsia="Arial" w:hAnsi="Arial"/>
          <w:sz w:val="15"/>
          <w:szCs w:val="15"/>
          <w:u w:val="single" w:color="auto"/>
          <w:color w:val="auto"/>
        </w:rPr>
        <w:t>Current Market Price</w:t>
      </w:r>
      <w:r>
        <w:rPr>
          <w:rFonts w:ascii="Arial" w:cs="Arial" w:eastAsia="Arial" w:hAnsi="Arial"/>
          <w:sz w:val="15"/>
          <w:szCs w:val="15"/>
          <w:color w:val="auto"/>
        </w:rPr>
        <w:t>” of Common Stock shall mean with respect to each share of Common Stock:</w:t>
      </w:r>
    </w:p>
    <w:p>
      <w:pPr>
        <w:spacing w:after="0" w:line="198" w:lineRule="exact"/>
        <w:rPr>
          <w:sz w:val="20"/>
          <w:szCs w:val="20"/>
          <w:color w:val="auto"/>
        </w:rPr>
      </w:pPr>
    </w:p>
    <w:p>
      <w:pPr>
        <w:ind w:right="120" w:firstLine="1104"/>
        <w:spacing w:after="0" w:line="289" w:lineRule="auto"/>
        <w:tabs>
          <w:tab w:leader="none" w:pos="1665"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if the Common Stock is traded on a national securities exchange, the fair market value shall be deemed to be the average of the closing prices over a twenty-one (21) day period ending three days before the day the current fair market value of the Common Stock is being determined; or</w:t>
      </w:r>
    </w:p>
    <w:p>
      <w:pPr>
        <w:spacing w:after="0" w:line="140" w:lineRule="exact"/>
        <w:rPr>
          <w:rFonts w:ascii="Arial" w:cs="Arial" w:eastAsia="Arial" w:hAnsi="Arial"/>
          <w:sz w:val="15"/>
          <w:szCs w:val="15"/>
          <w:color w:val="auto"/>
        </w:rPr>
      </w:pPr>
    </w:p>
    <w:p>
      <w:pPr>
        <w:ind w:right="280" w:firstLine="1104"/>
        <w:spacing w:after="0" w:line="273" w:lineRule="auto"/>
        <w:tabs>
          <w:tab w:leader="none" w:pos="1674" w:val="left"/>
        </w:tabs>
        <w:numPr>
          <w:ilvl w:val="0"/>
          <w:numId w:val="179"/>
        </w:numPr>
        <w:rPr>
          <w:rFonts w:ascii="Arial" w:cs="Arial" w:eastAsia="Arial" w:hAnsi="Arial"/>
          <w:sz w:val="15"/>
          <w:szCs w:val="15"/>
          <w:color w:val="auto"/>
        </w:rPr>
      </w:pPr>
      <w:r>
        <w:rPr>
          <w:rFonts w:ascii="Arial" w:cs="Arial" w:eastAsia="Arial" w:hAnsi="Arial"/>
          <w:sz w:val="15"/>
          <w:szCs w:val="15"/>
          <w:color w:val="auto"/>
        </w:rPr>
        <w:t>if the Common Stock is not listed on a national securities exchange but is actively traded over-the-counter, the fair market value shall be deemed to be the average of the closing bid and asked prices reported by the National Quotation Bureau (or similar system) over the twenty-one (21) day period ending three days before the day the current fair market value of the Common Stock is being determined;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firstLine="1104"/>
        <w:spacing w:after="0" w:line="264" w:lineRule="auto"/>
        <w:tabs>
          <w:tab w:leader="none" w:pos="1677" w:val="left"/>
        </w:tabs>
        <w:numPr>
          <w:ilvl w:val="1"/>
          <w:numId w:val="180"/>
        </w:numPr>
        <w:rPr>
          <w:rFonts w:ascii="Arial" w:cs="Arial" w:eastAsia="Arial" w:hAnsi="Arial"/>
          <w:sz w:val="15"/>
          <w:szCs w:val="15"/>
          <w:color w:val="auto"/>
        </w:rPr>
      </w:pPr>
      <w:r>
        <w:rPr>
          <w:rFonts w:ascii="Arial" w:cs="Arial" w:eastAsia="Arial" w:hAnsi="Arial"/>
          <w:sz w:val="15"/>
          <w:szCs w:val="15"/>
          <w:color w:val="auto"/>
        </w:rPr>
        <w:t>if at any time the Common Stock is not listed on any national securities exchange or actively traded in the over-the-counter market, the current fair market value of Common Stock shall be the price per share which the Company could obtain from a willing buyer (not a current employee or director) for shares of Common Stock sold by the Company, for authorized but unissued shares, as determined in good faith by the Board, unless the Company shall become subject to a merger, acquisition or other consolidation pursuant to which the holders of Common Stock receive securities and/or other property in exchange for their Common Stock, in which case the fair market value of Common Stock at the time of such merger, acquisition or other consolidation shall be deemed to be the value of the securities and other property received by the holders of the Common Stock per share of Common Stock pursuant to such merger, acquisition or other consolidation.</w:t>
      </w:r>
    </w:p>
    <w:p>
      <w:pPr>
        <w:spacing w:after="0" w:line="158" w:lineRule="exact"/>
        <w:rPr>
          <w:rFonts w:ascii="Arial" w:cs="Arial" w:eastAsia="Arial" w:hAnsi="Arial"/>
          <w:sz w:val="15"/>
          <w:szCs w:val="15"/>
          <w:color w:val="auto"/>
        </w:rPr>
      </w:pPr>
    </w:p>
    <w:p>
      <w:pPr>
        <w:ind w:right="80" w:firstLine="549"/>
        <w:spacing w:after="0" w:line="334" w:lineRule="auto"/>
        <w:tabs>
          <w:tab w:leader="none" w:pos="1112"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Certificates for Shares</w:t>
      </w:r>
      <w:r>
        <w:rPr>
          <w:rFonts w:ascii="Arial" w:cs="Arial" w:eastAsia="Arial" w:hAnsi="Arial"/>
          <w:sz w:val="13"/>
          <w:szCs w:val="13"/>
          <w:color w:val="auto"/>
        </w:rPr>
        <w:t>. Upon the exercise of the purchase rights evidenced by this Warrant, one or more certificates for the number of Shares so purchased shall be issued as soon as practicable thereafter, and in any event within five (5) days of the delivery of the Notice of Exercise notice and payment therefor; and, unless this Warrant has expired, a new Warrant representing the number of shares (except a remaining fractional share), if any, with respect to which this Warrant shall not then have been exercised shall also be issued</w:t>
      </w:r>
    </w:p>
    <w:p>
      <w:pPr>
        <w:sectPr>
          <w:pgSz w:w="11900" w:h="16844" w:orient="portrait"/>
          <w:cols w:equalWidth="0" w:num="1">
            <w:col w:w="11440"/>
          </w:cols>
          <w:pgMar w:left="240" w:top="331" w:right="219" w:bottom="0" w:gutter="0" w:footer="0" w:header="0"/>
        </w:sectPr>
      </w:pPr>
    </w:p>
    <w:bookmarkStart w:id="278" w:name="page279"/>
    <w:bookmarkEnd w:id="278"/>
    <w:p>
      <w:pPr>
        <w:ind w:right="40"/>
        <w:spacing w:after="0" w:line="293" w:lineRule="auto"/>
        <w:rPr>
          <w:sz w:val="20"/>
          <w:szCs w:val="20"/>
          <w:color w:val="auto"/>
        </w:rPr>
      </w:pPr>
      <w:r>
        <w:rPr>
          <w:rFonts w:ascii="Arial" w:cs="Arial" w:eastAsia="Arial" w:hAnsi="Arial"/>
          <w:sz w:val="14"/>
          <w:szCs w:val="14"/>
          <w:color w:val="auto"/>
        </w:rPr>
        <w:t>to the Holder hereof within such time. Upon exercise, the holder of this Warrant shall for all purposes be deemed to have become the holder of record of the shares of Common Stock issued upon such exercise on the date on which the Warrant was surrendered and payment of the Warrant Price and any applicable taxes was made, irrespective of the date of delivery of such certificate, except that, if the date of such surrender and payment is a date when the stock transfer books of the Company are closed, the Holders shall be deemed to have become the holder of such shares at the close of business on the next succeeding date on which the stock transfer books are open.</w:t>
      </w:r>
    </w:p>
    <w:p>
      <w:pPr>
        <w:spacing w:after="0" w:line="140" w:lineRule="exact"/>
        <w:rPr>
          <w:sz w:val="20"/>
          <w:szCs w:val="20"/>
          <w:color w:val="auto"/>
        </w:rPr>
      </w:pPr>
    </w:p>
    <w:p>
      <w:pPr>
        <w:ind w:right="420" w:firstLine="549"/>
        <w:spacing w:after="0" w:line="371" w:lineRule="auto"/>
        <w:tabs>
          <w:tab w:leader="none" w:pos="1112"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Issuance of Shares</w:t>
      </w:r>
      <w:r>
        <w:rPr>
          <w:rFonts w:ascii="Arial" w:cs="Arial" w:eastAsia="Arial" w:hAnsi="Arial"/>
          <w:sz w:val="13"/>
          <w:szCs w:val="13"/>
          <w:color w:val="auto"/>
        </w:rPr>
        <w:t>. The Company covenants that the Shares, when issued pursuant to the exercise of this Warrant, will be duly and validly issued, fully paid and nonassessable and free from all taxes, liens, and charges with respect to the issuance thereof and will have all of the rights, privileges and preferences of the Common Stock.</w:t>
      </w:r>
    </w:p>
    <w:p>
      <w:pPr>
        <w:spacing w:after="0" w:line="93" w:lineRule="exact"/>
        <w:rPr>
          <w:rFonts w:ascii="Arial" w:cs="Arial" w:eastAsia="Arial" w:hAnsi="Arial"/>
          <w:sz w:val="13"/>
          <w:szCs w:val="13"/>
          <w:color w:val="auto"/>
        </w:rPr>
      </w:pPr>
    </w:p>
    <w:p>
      <w:pPr>
        <w:ind w:right="180" w:firstLine="549"/>
        <w:spacing w:after="0" w:line="289" w:lineRule="auto"/>
        <w:tabs>
          <w:tab w:leader="none" w:pos="1112"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Adjustment of Exercise Price and Number of Shares</w:t>
      </w:r>
      <w:r>
        <w:rPr>
          <w:rFonts w:ascii="Arial" w:cs="Arial" w:eastAsia="Arial" w:hAnsi="Arial"/>
          <w:sz w:val="15"/>
          <w:szCs w:val="15"/>
          <w:color w:val="auto"/>
        </w:rPr>
        <w:t>. The number of and kind of securities purchasable upon exercise of this Warrant and the Exercise Price shall be subject to adjustment from time to time as follows:</w:t>
      </w:r>
    </w:p>
    <w:p>
      <w:pPr>
        <w:spacing w:after="0" w:line="140" w:lineRule="exact"/>
        <w:rPr>
          <w:rFonts w:ascii="Arial" w:cs="Arial" w:eastAsia="Arial" w:hAnsi="Arial"/>
          <w:sz w:val="15"/>
          <w:szCs w:val="15"/>
          <w:color w:val="auto"/>
        </w:rPr>
      </w:pPr>
    </w:p>
    <w:p>
      <w:pPr>
        <w:ind w:right="80" w:firstLine="1104"/>
        <w:spacing w:after="0" w:line="286" w:lineRule="auto"/>
        <w:tabs>
          <w:tab w:leader="none" w:pos="1665"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Subdivisions, Combinations and Other Issuances</w:t>
      </w:r>
      <w:r>
        <w:rPr>
          <w:rFonts w:ascii="Arial" w:cs="Arial" w:eastAsia="Arial" w:hAnsi="Arial"/>
          <w:sz w:val="14"/>
          <w:szCs w:val="14"/>
          <w:color w:val="auto"/>
        </w:rPr>
        <w:t xml:space="preserve">. If the Company shall, from and after the date hereof and at any time prior to the expiration of this Warrant subdivide the outstanding shares of Common Stock, by split-up or otherwise, or combine the outstanding shares of Common Stock, or issue shares of Common Stock as a dividend,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w:t>
      </w:r>
      <w:r>
        <w:rPr>
          <w:rFonts w:ascii="Arial" w:cs="Arial" w:eastAsia="Arial" w:hAnsi="Arial"/>
          <w:sz w:val="14"/>
          <w:szCs w:val="14"/>
          <w:u w:val="single" w:color="auto"/>
          <w:color w:val="auto"/>
        </w:rPr>
        <w:t>Section 7(a)</w:t>
      </w:r>
      <w:r>
        <w:rPr>
          <w:rFonts w:ascii="Arial" w:cs="Arial" w:eastAsia="Arial" w:hAnsi="Arial"/>
          <w:sz w:val="14"/>
          <w:szCs w:val="14"/>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1104"/>
        <w:spacing w:after="0" w:line="284" w:lineRule="auto"/>
        <w:tabs>
          <w:tab w:leader="none" w:pos="1674" w:val="left"/>
        </w:tabs>
        <w:numPr>
          <w:ilvl w:val="1"/>
          <w:numId w:val="183"/>
        </w:numPr>
        <w:rPr>
          <w:rFonts w:ascii="Arial" w:cs="Arial" w:eastAsia="Arial" w:hAnsi="Arial"/>
          <w:sz w:val="14"/>
          <w:szCs w:val="14"/>
          <w:color w:val="auto"/>
        </w:rPr>
      </w:pPr>
      <w:r>
        <w:rPr>
          <w:rFonts w:ascii="Arial" w:cs="Arial" w:eastAsia="Arial" w:hAnsi="Arial"/>
          <w:sz w:val="14"/>
          <w:szCs w:val="14"/>
          <w:u w:val="single" w:color="auto"/>
          <w:color w:val="auto"/>
        </w:rPr>
        <w:t>Reclassifications, Reorganizations, Conversions</w:t>
      </w:r>
      <w:r>
        <w:rPr>
          <w:rFonts w:ascii="Arial" w:cs="Arial" w:eastAsia="Arial" w:hAnsi="Arial"/>
          <w:sz w:val="14"/>
          <w:szCs w:val="14"/>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4"/>
          <w:szCs w:val="14"/>
          <w:u w:val="single" w:color="auto"/>
          <w:color w:val="auto"/>
        </w:rPr>
        <w:t>Section 7(a)</w:t>
      </w:r>
      <w:r>
        <w:rPr>
          <w:rFonts w:ascii="Arial" w:cs="Arial" w:eastAsia="Arial" w:hAnsi="Arial"/>
          <w:sz w:val="14"/>
          <w:szCs w:val="14"/>
          <w:color w:val="auto"/>
        </w:rPr>
        <w:t xml:space="preserve"> above), then the holder of this Warrant shall have the right at any time prior to the expiration of this Warrant to purchase, at a total price equal to that payable upon the exercise of this Warrant, the kind and amount of shares of stock and other securities and property receivable in connection with such reclassification, reorganization, change or conversion by a holder of the same number of Shares as were purchasable by the holder of this Warrant immediately prior to such reclassification, reorganization, change or conversion. In any such case, appropriate provisions shall be made with respect to the rights and interest of the holder of this Warrant so that the provisions hereof shall thereafter be applicable with respect to any shares of stock or other securities and property deliverable upon exercise hereof, and appropriate adjustments shall be made to the Exercise Price per Share payable hereunder, provided the aggregate Exercise Price shall remain the same.</w:t>
      </w:r>
    </w:p>
    <w:p>
      <w:pPr>
        <w:spacing w:after="0" w:line="148" w:lineRule="exact"/>
        <w:rPr>
          <w:rFonts w:ascii="Arial" w:cs="Arial" w:eastAsia="Arial" w:hAnsi="Arial"/>
          <w:sz w:val="14"/>
          <w:szCs w:val="14"/>
          <w:color w:val="auto"/>
        </w:rPr>
      </w:pPr>
    </w:p>
    <w:p>
      <w:pPr>
        <w:ind w:right="380" w:firstLine="1104"/>
        <w:spacing w:after="0" w:line="273" w:lineRule="auto"/>
        <w:tabs>
          <w:tab w:leader="none" w:pos="1677"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Notice of Adjustment</w:t>
      </w:r>
      <w:r>
        <w:rPr>
          <w:rFonts w:ascii="Arial" w:cs="Arial" w:eastAsia="Arial" w:hAnsi="Arial"/>
          <w:sz w:val="15"/>
          <w:szCs w:val="15"/>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52" w:lineRule="exact"/>
        <w:rPr>
          <w:rFonts w:ascii="Arial" w:cs="Arial" w:eastAsia="Arial" w:hAnsi="Arial"/>
          <w:sz w:val="15"/>
          <w:szCs w:val="15"/>
          <w:color w:val="auto"/>
        </w:rPr>
      </w:pPr>
    </w:p>
    <w:p>
      <w:pPr>
        <w:ind w:right="20" w:firstLine="1104"/>
        <w:spacing w:after="0" w:line="263" w:lineRule="auto"/>
        <w:tabs>
          <w:tab w:leader="none" w:pos="1674"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Other Action Affecting Shares</w:t>
      </w:r>
      <w:r>
        <w:rPr>
          <w:rFonts w:ascii="Arial" w:cs="Arial" w:eastAsia="Arial" w:hAnsi="Arial"/>
          <w:sz w:val="15"/>
          <w:szCs w:val="15"/>
          <w:color w:val="auto"/>
        </w:rPr>
        <w:t xml:space="preserve">. In the event that the Company shall make a distribution in respect of the outstanding shares of Common Stock that is not elsewhere described in this </w:t>
      </w:r>
      <w:r>
        <w:rPr>
          <w:rFonts w:ascii="Arial" w:cs="Arial" w:eastAsia="Arial" w:hAnsi="Arial"/>
          <w:sz w:val="15"/>
          <w:szCs w:val="15"/>
          <w:u w:val="single" w:color="auto"/>
          <w:color w:val="auto"/>
        </w:rPr>
        <w:t>Section 7</w:t>
      </w:r>
      <w:r>
        <w:rPr>
          <w:rFonts w:ascii="Arial" w:cs="Arial" w:eastAsia="Arial" w:hAnsi="Arial"/>
          <w:sz w:val="15"/>
          <w:szCs w:val="15"/>
          <w:color w:val="auto"/>
        </w:rPr>
        <w:t>, the Holder shall be entitled, upon exercise of this Warrant, to receive from the Company its pro rata share of any such distribution such that the Holder receives, upon exercise of this Warrant, the same type and amount of property which such Holder would have received if such Holder had exercised this Warrant immediately prior to such distribution or the date the Company shall take a record of the holders of its shares for purposes of such distribution, as applicable, and, from and after the date of such distribution, the Company shall hold and set aside (or cause to be held and set aside in a commercially reasonable manner) an amount of such property equal to the Holder’s pro rata portion thereof for distribution to the Holder pursuant hereto. The Company shall provide the Holder with at least ten (10) days’ prior written notice of the declaration or payment of any such distribution in respect of the outstanding shares of Common Stock.</w:t>
      </w:r>
    </w:p>
    <w:p>
      <w:pPr>
        <w:spacing w:after="0" w:line="159" w:lineRule="exact"/>
        <w:rPr>
          <w:rFonts w:ascii="Arial" w:cs="Arial" w:eastAsia="Arial" w:hAnsi="Arial"/>
          <w:sz w:val="15"/>
          <w:szCs w:val="15"/>
          <w:color w:val="auto"/>
        </w:rPr>
      </w:pPr>
    </w:p>
    <w:p>
      <w:pPr>
        <w:ind w:right="600" w:firstLine="549"/>
        <w:spacing w:after="0" w:line="289" w:lineRule="auto"/>
        <w:tabs>
          <w:tab w:leader="none" w:pos="1112"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No Fractional Shares or Scrip</w:t>
      </w:r>
      <w:r>
        <w:rPr>
          <w:rFonts w:ascii="Arial" w:cs="Arial" w:eastAsia="Arial" w:hAnsi="Arial"/>
          <w:sz w:val="15"/>
          <w:szCs w:val="15"/>
          <w:color w:val="auto"/>
        </w:rPr>
        <w:t>. No fractional shares or scrip representing fractional shares shall be issued upon the exercise of this Warrant, but in lieu of such fractional shares the Company shall make a cash payment therefor on the basis of the fair market value thereof then in effect.</w:t>
      </w:r>
    </w:p>
    <w:p>
      <w:pPr>
        <w:spacing w:after="0" w:line="140" w:lineRule="exact"/>
        <w:rPr>
          <w:rFonts w:ascii="Arial" w:cs="Arial" w:eastAsia="Arial" w:hAnsi="Arial"/>
          <w:sz w:val="15"/>
          <w:szCs w:val="15"/>
          <w:color w:val="auto"/>
        </w:rPr>
      </w:pPr>
    </w:p>
    <w:p>
      <w:pPr>
        <w:ind w:left="1100" w:hanging="551"/>
        <w:spacing w:after="0"/>
        <w:tabs>
          <w:tab w:leader="none" w:pos="1100" w:val="left"/>
        </w:tabs>
        <w:numPr>
          <w:ilvl w:val="0"/>
          <w:numId w:val="184"/>
        </w:numPr>
        <w:rPr>
          <w:rFonts w:ascii="Arial" w:cs="Arial" w:eastAsia="Arial" w:hAnsi="Arial"/>
          <w:sz w:val="15"/>
          <w:szCs w:val="15"/>
          <w:color w:val="auto"/>
        </w:rPr>
      </w:pPr>
      <w:r>
        <w:rPr>
          <w:rFonts w:ascii="Arial" w:cs="Arial" w:eastAsia="Arial" w:hAnsi="Arial"/>
          <w:sz w:val="15"/>
          <w:szCs w:val="15"/>
          <w:u w:val="single" w:color="auto"/>
          <w:color w:val="auto"/>
        </w:rPr>
        <w:t>Restrictive Legend</w:t>
      </w:r>
      <w:r>
        <w:rPr>
          <w:rFonts w:ascii="Arial" w:cs="Arial" w:eastAsia="Arial" w:hAnsi="Arial"/>
          <w:sz w:val="15"/>
          <w:szCs w:val="15"/>
          <w:color w:val="auto"/>
        </w:rPr>
        <w:t>.</w:t>
      </w:r>
    </w:p>
    <w:p>
      <w:pPr>
        <w:spacing w:after="0" w:line="198" w:lineRule="exact"/>
        <w:rPr>
          <w:sz w:val="20"/>
          <w:szCs w:val="20"/>
          <w:color w:val="auto"/>
        </w:rPr>
      </w:pPr>
    </w:p>
    <w:p>
      <w:pPr>
        <w:ind w:right="120" w:firstLine="556"/>
        <w:spacing w:after="0" w:line="289" w:lineRule="auto"/>
        <w:rPr>
          <w:sz w:val="20"/>
          <w:szCs w:val="20"/>
          <w:color w:val="auto"/>
        </w:rPr>
      </w:pPr>
      <w:r>
        <w:rPr>
          <w:rFonts w:ascii="Arial" w:cs="Arial" w:eastAsia="Arial" w:hAnsi="Arial"/>
          <w:sz w:val="15"/>
          <w:szCs w:val="15"/>
          <w:color w:val="auto"/>
        </w:rPr>
        <w:t>The Shares issuable upon exercise of this Warrant (unless registered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be stamped or imprinted with a legend in substantially the following form:</w:t>
      </w:r>
    </w:p>
    <w:p>
      <w:pPr>
        <w:spacing w:after="0" w:line="141"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THESE SECURITIES HAVE NOT BEEN REGISTERED OR QUALIFIED UNDER THE SECURITIES ACT OF 1933, AS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160"/>
        <w:spacing w:after="0" w:line="273" w:lineRule="auto"/>
        <w:rPr>
          <w:sz w:val="20"/>
          <w:szCs w:val="20"/>
          <w:color w:val="auto"/>
        </w:rPr>
      </w:pPr>
      <w:r>
        <w:rPr>
          <w:rFonts w:ascii="Arial" w:cs="Arial" w:eastAsia="Arial" w:hAnsi="Arial"/>
          <w:sz w:val="15"/>
          <w:szCs w:val="15"/>
          <w:color w:val="auto"/>
        </w:rPr>
        <w:t>AMENDED, OR APPLICABLE STATE SECURITIES LAWS AND MAY NOT BE TRANSFERRED OR OTHERWISE DISPOSED OF UNLESS THEY HAVE BEEN SO REGISTERED AND QUALIFIED UNDER SUCH ACT AND ALL SUCH APPLICABLE LAWS OR AN OPINION OF COUNSEL, SATISFACTORY TO THE COMPANY, THAT REGISTRATION AND QUALIFICATION IS NOT REQUIRED IS FURNISHED TO THE COMPANY.</w:t>
      </w:r>
    </w:p>
    <w:p>
      <w:pPr>
        <w:spacing w:after="0" w:line="153" w:lineRule="exact"/>
        <w:rPr>
          <w:sz w:val="20"/>
          <w:szCs w:val="20"/>
          <w:color w:val="auto"/>
        </w:rPr>
      </w:pPr>
    </w:p>
    <w:p>
      <w:pPr>
        <w:ind w:right="40" w:firstLine="549"/>
        <w:spacing w:after="0" w:line="280" w:lineRule="auto"/>
        <w:tabs>
          <w:tab w:leader="none" w:pos="1108" w:val="left"/>
        </w:tabs>
        <w:numPr>
          <w:ilvl w:val="0"/>
          <w:numId w:val="185"/>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Warrant shall not, without the prior written consent of the Company, be assignable or transferable by the Holder, either voluntarily or by operation of law, and shall be exercisable only by the Holder; provided, however, that the Holder may assign this Warrant to any Affiliate without the consent of any other party. For this purpose, “Affiliate” shall mean any person or entity who is an “affiliate” as defined in Rule 12b-2 of the General Rules and Regulations under the Securities Exchange Act of 1934, as amended, or any wholly-owned subsidiary of a Purchaser or any partnership which is (or may be in the future) established by a Purchaser and which is managed by such Purchaser’s Affiliate. Upon surrender of this Warrant to the Company or, if the Company so instructs the Holder in writing, at the office of its stock transfer agent, if any, with assignment documentation duly executed and funds sufficient to pay any transfer tax, and, provided that the Holder complies with the provisions of this Warrant, the Company shall, without charge, execute and deliver a new Warrant in the name of the permitted assignee named in such instrument of assignment, and this Warrant shall promptly be canceled. Any transferee of this Warrant, by acceptance thereof, agrees to assume all of the obligations of the Holder and to be bound by all of the terms and provisions of this Warrant. Prior to any proposed transfer of this Warrant, the Holder shall give written notice to the Company of its intention to effect such transfer, identifying the transferee and describing the manner of the proposed transfer and, if requested by the Company, accompanied by (a) an investment letter executed by the transferee in form and substance reasonably acceptable to the Company and (b) an opinion of counsel satisfactory to the Company to the effect that the proposed transfer may be effected without registration under the Securities Act and without registration or qualification under applicable state or other securities laws. Any attempted assignment, transfer, pledge, hypothecation or other disposition of this Warrant in any way contrary to the provisions of this Warrant, or any levy of execution, attachment or other process attempted upon the Warrant, shall be void and without effect.</w:t>
      </w:r>
    </w:p>
    <w:p>
      <w:pPr>
        <w:spacing w:after="0" w:line="152" w:lineRule="exact"/>
        <w:rPr>
          <w:rFonts w:ascii="Arial" w:cs="Arial" w:eastAsia="Arial" w:hAnsi="Arial"/>
          <w:sz w:val="14"/>
          <w:szCs w:val="14"/>
          <w:color w:val="auto"/>
        </w:rPr>
      </w:pPr>
    </w:p>
    <w:p>
      <w:pPr>
        <w:ind w:firstLine="549"/>
        <w:spacing w:after="0" w:line="264" w:lineRule="auto"/>
        <w:tabs>
          <w:tab w:leader="none" w:pos="1102"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Rights of Stockholders</w:t>
      </w:r>
      <w:r>
        <w:rPr>
          <w:rFonts w:ascii="Arial" w:cs="Arial" w:eastAsia="Arial" w:hAnsi="Arial"/>
          <w:sz w:val="15"/>
          <w:szCs w:val="15"/>
          <w:color w:val="auto"/>
        </w:rPr>
        <w:t xml:space="preserve">. Except as expressly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no holder of this Warrant shall be entitled, as a Warrant holder, to vote or receive dividends or be deemed the holder of the Shares or any other securities of the Company which may at any time be issuable on the exercise hereof for any purpose, nor shall anything contained herein be construed to confer upon the holder of this Warrant, as such, any of the rights of a stockholder of the Company or any right to vote for the election of directors or upon any matter submitted to stockholders at any meeting thereof, or to give or withhold consent to any corporate action (whether upon any recapitalization, issuance of stock, reclassification of stock, change of par value, consolidation, merger, conveyance, or otherwise) or to receive notice of meetings, or to receive dividends or subscription rights until the Warrant shall have been exercised.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hanging="551"/>
        <w:spacing w:after="0"/>
        <w:tabs>
          <w:tab w:leader="none" w:pos="1100"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Expiration of Warrant</w:t>
      </w:r>
      <w:r>
        <w:rPr>
          <w:rFonts w:ascii="Arial" w:cs="Arial" w:eastAsia="Arial" w:hAnsi="Arial"/>
          <w:sz w:val="14"/>
          <w:szCs w:val="14"/>
          <w:color w:val="auto"/>
        </w:rPr>
        <w:t>. This Warrant shall expire and shall no longer be exercisable at 5:00 p.m., local time in Boston, Massachusetts, on the 3rd anniversary of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date hereof.</w:t>
      </w:r>
    </w:p>
    <w:p>
      <w:pPr>
        <w:sectPr>
          <w:pgSz w:w="11900" w:h="16838" w:orient="portrait"/>
          <w:cols w:equalWidth="0" w:num="1">
            <w:col w:w="11440"/>
          </w:cols>
          <w:pgMar w:left="240" w:top="129" w:right="219" w:bottom="0" w:gutter="0" w:footer="0" w:header="0"/>
        </w:sectPr>
      </w:pPr>
    </w:p>
    <w:bookmarkStart w:id="279" w:name="page280"/>
    <w:bookmarkEnd w:id="279"/>
    <w:p>
      <w:pPr>
        <w:ind w:left="1100" w:hanging="551"/>
        <w:spacing w:after="0"/>
        <w:tabs>
          <w:tab w:leader="none" w:pos="1100"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required or permitted under this Warrant shall be in writing and delivered in accordance with the Purchase Agreement.</w:t>
      </w:r>
    </w:p>
    <w:p>
      <w:pPr>
        <w:spacing w:after="0" w:line="198" w:lineRule="exact"/>
        <w:rPr>
          <w:rFonts w:ascii="Arial" w:cs="Arial" w:eastAsia="Arial" w:hAnsi="Arial"/>
          <w:sz w:val="15"/>
          <w:szCs w:val="15"/>
          <w:color w:val="auto"/>
        </w:rPr>
      </w:pPr>
    </w:p>
    <w:p>
      <w:pPr>
        <w:ind w:right="180" w:firstLine="549"/>
        <w:spacing w:after="0" w:line="289" w:lineRule="auto"/>
        <w:tabs>
          <w:tab w:leader="none" w:pos="11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Warrant and all actions arising out of or in connection with this Agreement shall be governed by and construed in accordance with the laws of The Commonwealth of Massachusetts, without regard to principles of conflicts of law.</w:t>
      </w:r>
    </w:p>
    <w:p>
      <w:pPr>
        <w:spacing w:after="0" w:line="140" w:lineRule="exact"/>
        <w:rPr>
          <w:rFonts w:ascii="Arial" w:cs="Arial" w:eastAsia="Arial" w:hAnsi="Arial"/>
          <w:sz w:val="15"/>
          <w:szCs w:val="15"/>
          <w:color w:val="auto"/>
        </w:rPr>
      </w:pPr>
    </w:p>
    <w:p>
      <w:pPr>
        <w:ind w:right="240" w:firstLine="549"/>
        <w:spacing w:after="0" w:line="289" w:lineRule="auto"/>
        <w:tabs>
          <w:tab w:leader="none" w:pos="11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Rights and Obligations Survive Exercise of Warrant</w:t>
      </w:r>
      <w:r>
        <w:rPr>
          <w:rFonts w:ascii="Arial" w:cs="Arial" w:eastAsia="Arial" w:hAnsi="Arial"/>
          <w:sz w:val="15"/>
          <w:szCs w:val="15"/>
          <w:color w:val="auto"/>
        </w:rPr>
        <w:t>. Unless otherwise provided herein, the rights and obligations of the Company and of the holder of this Warrant shall survive the exercise of this Warrant.</w:t>
      </w:r>
    </w:p>
    <w:p>
      <w:pPr>
        <w:spacing w:after="0" w:line="140" w:lineRule="exact"/>
        <w:rPr>
          <w:rFonts w:ascii="Arial" w:cs="Arial" w:eastAsia="Arial" w:hAnsi="Arial"/>
          <w:sz w:val="15"/>
          <w:szCs w:val="15"/>
          <w:color w:val="auto"/>
        </w:rPr>
      </w:pPr>
    </w:p>
    <w:p>
      <w:pPr>
        <w:ind w:right="260" w:firstLine="549"/>
        <w:spacing w:after="0" w:line="289" w:lineRule="auto"/>
        <w:tabs>
          <w:tab w:leader="none" w:pos="11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Facsimile Signatures</w:t>
      </w:r>
      <w:r>
        <w:rPr>
          <w:rFonts w:ascii="Arial" w:cs="Arial" w:eastAsia="Arial" w:hAnsi="Arial"/>
          <w:sz w:val="15"/>
          <w:szCs w:val="15"/>
          <w:color w:val="auto"/>
        </w:rPr>
        <w:t>. A signature of any party to this Warrant transmitted by facsimile, electronic mail (including pdf) or other electronic means is deemed to have been duly and validly delivered and be valid and effective for all purposes.</w:t>
      </w:r>
    </w:p>
    <w:p>
      <w:pPr>
        <w:spacing w:after="0" w:line="140" w:lineRule="exact"/>
        <w:rPr>
          <w:rFonts w:ascii="Arial" w:cs="Arial" w:eastAsia="Arial" w:hAnsi="Arial"/>
          <w:sz w:val="15"/>
          <w:szCs w:val="15"/>
          <w:color w:val="auto"/>
        </w:rPr>
      </w:pPr>
    </w:p>
    <w:p>
      <w:pPr>
        <w:jc w:val="both"/>
        <w:ind w:right="80" w:firstLine="549"/>
        <w:spacing w:after="0" w:line="265" w:lineRule="auto"/>
        <w:tabs>
          <w:tab w:leader="none" w:pos="11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Amendments</w:t>
      </w:r>
      <w:r>
        <w:rPr>
          <w:rFonts w:ascii="Arial" w:cs="Arial" w:eastAsia="Arial" w:hAnsi="Arial"/>
          <w:sz w:val="15"/>
          <w:szCs w:val="15"/>
          <w:color w:val="auto"/>
        </w:rPr>
        <w:t>. Except as otherwise expressly set forth in this Warrant, any term of this Warrant may be amended or waived (either retroactively or prospectively) with the written consent of the Company and the holders of Warrants issued in connection with the Notes representing at least 66.67% of the aggregate number of Shares then issuable upon exercise of all such Warrants issued in connection with the Notes (the “</w:t>
      </w:r>
      <w:r>
        <w:rPr>
          <w:rFonts w:ascii="Arial" w:cs="Arial" w:eastAsia="Arial" w:hAnsi="Arial"/>
          <w:sz w:val="15"/>
          <w:szCs w:val="15"/>
          <w:u w:val="single" w:color="auto"/>
          <w:color w:val="auto"/>
        </w:rPr>
        <w:t>Required Holders</w:t>
      </w:r>
      <w:r>
        <w:rPr>
          <w:rFonts w:ascii="Arial" w:cs="Arial" w:eastAsia="Arial" w:hAnsi="Arial"/>
          <w:sz w:val="15"/>
          <w:szCs w:val="15"/>
          <w:color w:val="auto"/>
        </w:rPr>
        <w:t xml:space="preserve">”); provided that all holders of Warrants shall have been provided notice at least ten business days in advance of the effective date of any such amendment or waiver. Any amendment or waiver effected in accordance with this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shall be binding upon the Holder, each holder of a Warrant issued in connection with the Notes and the Company.</w:t>
      </w:r>
    </w:p>
    <w:p>
      <w:pPr>
        <w:spacing w:after="0" w:line="159" w:lineRule="exact"/>
        <w:rPr>
          <w:rFonts w:ascii="Arial" w:cs="Arial" w:eastAsia="Arial" w:hAnsi="Arial"/>
          <w:sz w:val="15"/>
          <w:szCs w:val="15"/>
          <w:color w:val="auto"/>
        </w:rPr>
      </w:pPr>
    </w:p>
    <w:p>
      <w:pPr>
        <w:ind w:right="80" w:firstLine="549"/>
        <w:spacing w:after="0" w:line="327" w:lineRule="auto"/>
        <w:tabs>
          <w:tab w:leader="none" w:pos="1108"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No waiver of any provision or consent to any action shall constitute a waiver of any other provision or consent to any other action, whether or not similar. No waiver or consent shall constitute a continuing waiver or consent or commit a party to provide a waiver in the future except to the extent specifically set forth in writing.</w:t>
      </w:r>
    </w:p>
    <w:p>
      <w:pPr>
        <w:spacing w:after="0" w:line="117" w:lineRule="exact"/>
        <w:rPr>
          <w:rFonts w:ascii="Arial" w:cs="Arial" w:eastAsia="Arial" w:hAnsi="Arial"/>
          <w:sz w:val="14"/>
          <w:szCs w:val="14"/>
          <w:color w:val="auto"/>
        </w:rPr>
      </w:pPr>
    </w:p>
    <w:p>
      <w:pPr>
        <w:ind w:firstLine="549"/>
        <w:spacing w:after="0" w:line="264" w:lineRule="auto"/>
        <w:tabs>
          <w:tab w:leader="none" w:pos="1108"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Lock-up</w:t>
      </w:r>
      <w:r>
        <w:rPr>
          <w:rFonts w:ascii="Arial" w:cs="Arial" w:eastAsia="Arial" w:hAnsi="Arial"/>
          <w:sz w:val="15"/>
          <w:szCs w:val="15"/>
          <w:color w:val="auto"/>
        </w:rPr>
        <w:t>. The Holder agrees that upon the request of the Company or the managing underwriter(s) of any offering of securities of the Company that is the subject of a registration statement filed under the Securities Act, for a period of time (not to exceed 180 days, plus such additional number of days (not to exceed 35) as may reasonably be requested to enable the underwriter(s) of such offering to comply with NASD Rule 2711(f) of the Financial Industry Regulatory Authority Manual or any amendment or successor thereto) from the effective date of the registration statement under the Act for such offering, the Holder will not sell, make any short sale of, loan, grant any option for the purchase of, or otherwise dispose of any Shares, or any shares of the Company’s capital stock into which any such Shares may be converted or exchanged, without the prior written consent of the Company and such underwriters.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WITNESS WHEREOF, the parties hereto have caused this Warrant to be duly executed and delivered by their proper and duly authorized officers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above.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-108585</wp:posOffset>
            </wp:positionV>
            <wp:extent cx="3147695"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14605</wp:posOffset>
            </wp:positionV>
            <wp:extent cx="284607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846070"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-108585</wp:posOffset>
            </wp:positionV>
            <wp:extent cx="316992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16992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Title: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to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EXHIBIT A</w:t>
            </w:r>
          </w:p>
        </w:tc>
        <w:tc>
          <w:tcPr>
            <w:tcW w:w="2560" w:type="dxa"/>
            <w:vAlign w:val="bottom"/>
            <w:gridSpan w:val="2"/>
          </w:tcPr>
          <w:p>
            <w:pPr>
              <w:spacing w:after="0"/>
              <w:rPr>
                <w:sz w:val="15"/>
                <w:szCs w:val="15"/>
                <w:color w:val="auto"/>
              </w:rPr>
            </w:pPr>
          </w:p>
        </w:tc>
      </w:tr>
      <w:tr>
        <w:trPr>
          <w:trHeight w:val="351"/>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520" w:type="dxa"/>
            <w:vAlign w:val="bottom"/>
            <w:gridSpan w:val="5"/>
          </w:tcPr>
          <w:p>
            <w:pPr>
              <w:jc w:val="center"/>
              <w:ind w:right="1420"/>
              <w:spacing w:after="0"/>
              <w:rPr>
                <w:sz w:val="20"/>
                <w:szCs w:val="20"/>
                <w:color w:val="auto"/>
              </w:rPr>
            </w:pPr>
            <w:r>
              <w:rPr>
                <w:rFonts w:ascii="Arial" w:cs="Arial" w:eastAsia="Arial" w:hAnsi="Arial"/>
                <w:sz w:val="15"/>
                <w:szCs w:val="15"/>
                <w:b w:val="1"/>
                <w:bCs w:val="1"/>
                <w:color w:val="auto"/>
              </w:rPr>
              <w:t>NOTICE OF EXERCISE</w:t>
            </w:r>
          </w:p>
        </w:tc>
      </w:tr>
      <w:tr>
        <w:trPr>
          <w:trHeight w:val="375"/>
        </w:trPr>
        <w:tc>
          <w:tcPr>
            <w:tcW w:w="400" w:type="dxa"/>
            <w:vAlign w:val="bottom"/>
          </w:tcPr>
          <w:p>
            <w:pPr>
              <w:spacing w:after="0"/>
              <w:rPr>
                <w:sz w:val="20"/>
                <w:szCs w:val="20"/>
                <w:color w:val="auto"/>
              </w:rPr>
            </w:pPr>
            <w:r>
              <w:rPr>
                <w:rFonts w:ascii="Arial" w:cs="Arial" w:eastAsia="Arial" w:hAnsi="Arial"/>
                <w:sz w:val="15"/>
                <w:szCs w:val="15"/>
                <w:color w:val="auto"/>
              </w:rPr>
              <w:t>TO:</w:t>
            </w:r>
          </w:p>
        </w:tc>
        <w:tc>
          <w:tcPr>
            <w:tcW w:w="3760" w:type="dxa"/>
            <w:vAlign w:val="bottom"/>
            <w:gridSpan w:val="2"/>
          </w:tcPr>
          <w:p>
            <w:pPr>
              <w:ind w:left="160"/>
              <w:spacing w:after="0"/>
              <w:rPr>
                <w:sz w:val="20"/>
                <w:szCs w:val="20"/>
                <w:color w:val="auto"/>
              </w:rPr>
            </w:pPr>
            <w:r>
              <w:rPr>
                <w:rFonts w:ascii="Arial" w:cs="Arial" w:eastAsia="Arial" w:hAnsi="Arial"/>
                <w:sz w:val="15"/>
                <w:szCs w:val="15"/>
                <w:color w:val="auto"/>
              </w:rPr>
              <w:t>Selecta Biosciences, Inc.</w:t>
            </w:r>
          </w:p>
        </w:tc>
        <w:tc>
          <w:tcPr>
            <w:tcW w:w="7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185"/>
        </w:trPr>
        <w:tc>
          <w:tcPr>
            <w:tcW w:w="400" w:type="dxa"/>
            <w:vAlign w:val="bottom"/>
          </w:tcPr>
          <w:p>
            <w:pPr>
              <w:spacing w:after="0"/>
              <w:rPr>
                <w:sz w:val="16"/>
                <w:szCs w:val="16"/>
                <w:color w:val="auto"/>
              </w:rPr>
            </w:pPr>
          </w:p>
        </w:tc>
        <w:tc>
          <w:tcPr>
            <w:tcW w:w="3760" w:type="dxa"/>
            <w:vAlign w:val="bottom"/>
            <w:gridSpan w:val="2"/>
          </w:tcPr>
          <w:p>
            <w:pPr>
              <w:ind w:left="140"/>
              <w:spacing w:after="0"/>
              <w:rPr>
                <w:sz w:val="20"/>
                <w:szCs w:val="20"/>
                <w:color w:val="auto"/>
              </w:rPr>
            </w:pPr>
            <w:r>
              <w:rPr>
                <w:rFonts w:ascii="Arial" w:cs="Arial" w:eastAsia="Arial" w:hAnsi="Arial"/>
                <w:sz w:val="15"/>
                <w:szCs w:val="15"/>
                <w:color w:val="auto"/>
              </w:rPr>
              <w:t>480 Arsenal Street, Building One</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5"/>
        </w:trPr>
        <w:tc>
          <w:tcPr>
            <w:tcW w:w="400" w:type="dxa"/>
            <w:vAlign w:val="bottom"/>
          </w:tcPr>
          <w:p>
            <w:pPr>
              <w:spacing w:after="0"/>
              <w:rPr>
                <w:sz w:val="16"/>
                <w:szCs w:val="16"/>
                <w:color w:val="auto"/>
              </w:rPr>
            </w:pPr>
          </w:p>
        </w:tc>
        <w:tc>
          <w:tcPr>
            <w:tcW w:w="3760" w:type="dxa"/>
            <w:vAlign w:val="bottom"/>
            <w:gridSpan w:val="2"/>
          </w:tcPr>
          <w:p>
            <w:pPr>
              <w:ind w:left="140"/>
              <w:spacing w:after="0"/>
              <w:rPr>
                <w:sz w:val="20"/>
                <w:szCs w:val="20"/>
                <w:color w:val="auto"/>
              </w:rPr>
            </w:pPr>
            <w:r>
              <w:rPr>
                <w:rFonts w:ascii="Arial" w:cs="Arial" w:eastAsia="Arial" w:hAnsi="Arial"/>
                <w:sz w:val="15"/>
                <w:szCs w:val="15"/>
                <w:color w:val="auto"/>
              </w:rPr>
              <w:t>Watertown, Massachusetts 02472</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3760" w:type="dxa"/>
            <w:vAlign w:val="bottom"/>
            <w:gridSpan w:val="2"/>
          </w:tcPr>
          <w:p>
            <w:pPr>
              <w:ind w:left="140"/>
              <w:spacing w:after="0"/>
              <w:rPr>
                <w:sz w:val="20"/>
                <w:szCs w:val="20"/>
                <w:color w:val="auto"/>
              </w:rPr>
            </w:pPr>
            <w:r>
              <w:rPr>
                <w:rFonts w:ascii="Arial" w:cs="Arial" w:eastAsia="Arial" w:hAnsi="Arial"/>
                <w:sz w:val="15"/>
                <w:szCs w:val="15"/>
                <w:color w:val="auto"/>
              </w:rPr>
              <w:t>Attention: President</w:t>
            </w: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71"/>
        </w:trPr>
        <w:tc>
          <w:tcPr>
            <w:tcW w:w="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5"/>
                <w:szCs w:val="15"/>
                <w:color w:val="auto"/>
              </w:rPr>
              <w:t>1.</w:t>
            </w:r>
          </w:p>
        </w:tc>
        <w:tc>
          <w:tcPr>
            <w:tcW w:w="3280" w:type="dxa"/>
            <w:vAlign w:val="bottom"/>
          </w:tcPr>
          <w:p>
            <w:pPr>
              <w:ind w:left="220"/>
              <w:spacing w:after="0"/>
              <w:rPr>
                <w:sz w:val="20"/>
                <w:szCs w:val="20"/>
                <w:color w:val="auto"/>
              </w:rPr>
            </w:pPr>
            <w:r>
              <w:rPr>
                <w:rFonts w:ascii="Arial" w:cs="Arial" w:eastAsia="Arial" w:hAnsi="Arial"/>
                <w:sz w:val="15"/>
                <w:szCs w:val="15"/>
                <w:color w:val="auto"/>
              </w:rPr>
              <w:t>The undersigned hereby elects to purchase</w:t>
            </w:r>
          </w:p>
        </w:tc>
        <w:tc>
          <w:tcPr>
            <w:tcW w:w="1160" w:type="dxa"/>
            <w:vAlign w:val="bottom"/>
            <w:gridSpan w:val="2"/>
          </w:tcPr>
          <w:p>
            <w:pPr>
              <w:ind w:left="420"/>
              <w:spacing w:after="0"/>
              <w:rPr>
                <w:sz w:val="20"/>
                <w:szCs w:val="20"/>
                <w:color w:val="auto"/>
              </w:rPr>
            </w:pPr>
            <w:r>
              <w:rPr>
                <w:rFonts w:ascii="Arial" w:cs="Arial" w:eastAsia="Arial" w:hAnsi="Arial"/>
                <w:sz w:val="15"/>
                <w:szCs w:val="15"/>
                <w:color w:val="auto"/>
              </w:rPr>
              <w:t>shares of</w:t>
            </w:r>
          </w:p>
        </w:tc>
        <w:tc>
          <w:tcPr>
            <w:tcW w:w="3360" w:type="dxa"/>
            <w:vAlign w:val="bottom"/>
            <w:gridSpan w:val="3"/>
          </w:tcPr>
          <w:p>
            <w:pPr>
              <w:ind w:left="540"/>
              <w:spacing w:after="0"/>
              <w:rPr>
                <w:sz w:val="20"/>
                <w:szCs w:val="20"/>
                <w:color w:val="auto"/>
              </w:rPr>
            </w:pPr>
            <w:r>
              <w:rPr>
                <w:rFonts w:ascii="Arial" w:cs="Arial" w:eastAsia="Arial" w:hAnsi="Arial"/>
                <w:sz w:val="15"/>
                <w:szCs w:val="15"/>
                <w:color w:val="auto"/>
                <w:w w:val="91"/>
              </w:rPr>
              <w:t>pursuant to the terms of the attached Warrant.</w:t>
            </w:r>
          </w:p>
        </w:tc>
      </w:tr>
    </w:tbl>
    <w:p>
      <w:pPr>
        <w:spacing w:after="0" w:line="175" w:lineRule="exact"/>
        <w:rPr>
          <w:sz w:val="20"/>
          <w:szCs w:val="20"/>
          <w:color w:val="auto"/>
        </w:rPr>
      </w:pPr>
    </w:p>
    <w:p>
      <w:pPr>
        <w:ind w:left="1100" w:hanging="551"/>
        <w:spacing w:after="0"/>
        <w:tabs>
          <w:tab w:leader="none" w:pos="11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Method of Exercise (Please check the applicable blank):</w:t>
      </w:r>
    </w:p>
    <w:p>
      <w:pPr>
        <w:spacing w:after="0" w:line="198" w:lineRule="exact"/>
        <w:rPr>
          <w:rFonts w:ascii="Arial" w:cs="Arial" w:eastAsia="Arial" w:hAnsi="Arial"/>
          <w:sz w:val="15"/>
          <w:szCs w:val="15"/>
          <w:color w:val="auto"/>
        </w:rPr>
      </w:pPr>
    </w:p>
    <w:p>
      <w:pPr>
        <w:ind w:left="1600" w:right="60" w:hanging="556"/>
        <w:spacing w:after="0" w:line="289" w:lineRule="auto"/>
        <w:rPr>
          <w:rFonts w:ascii="Arial" w:cs="Arial" w:eastAsia="Arial" w:hAnsi="Arial"/>
          <w:sz w:val="15"/>
          <w:szCs w:val="15"/>
          <w:color w:val="auto"/>
        </w:rPr>
      </w:pPr>
      <w:r>
        <w:rPr>
          <w:rFonts w:ascii="Arial" w:cs="Arial" w:eastAsia="Arial" w:hAnsi="Arial"/>
          <w:sz w:val="15"/>
          <w:szCs w:val="15"/>
          <w:color w:val="auto"/>
        </w:rPr>
        <w:t>oThe undersigned elects to exercise the attached Warrant by means of a cash payment, and tenders herewith payment in full for the purchase price of the shares being purchased, together with all applicable transfer taxes, if any.</w:t>
      </w:r>
    </w:p>
    <w:p>
      <w:pPr>
        <w:spacing w:after="0" w:line="140"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o</w:t>
      </w:r>
      <w:r>
        <w:rPr>
          <w:rFonts w:ascii="Arial" w:cs="Arial" w:eastAsia="Arial" w:hAnsi="Arial"/>
          <w:sz w:val="13"/>
          <w:szCs w:val="13"/>
          <w:color w:val="auto"/>
        </w:rPr>
        <w:t>The undersigned elects to exercise the attached Warrant by means of the net exercise provisions of Section 4 of the Warrant.</w:t>
      </w:r>
    </w:p>
    <w:p>
      <w:pPr>
        <w:spacing w:after="0" w:line="198" w:lineRule="exact"/>
        <w:rPr>
          <w:rFonts w:ascii="Arial" w:cs="Arial" w:eastAsia="Arial" w:hAnsi="Arial"/>
          <w:sz w:val="15"/>
          <w:szCs w:val="15"/>
          <w:color w:val="auto"/>
        </w:rPr>
      </w:pPr>
    </w:p>
    <w:p>
      <w:pPr>
        <w:ind w:left="1100" w:hanging="551"/>
        <w:spacing w:after="0"/>
        <w:tabs>
          <w:tab w:leader="none" w:pos="11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said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367665</wp:posOffset>
            </wp:positionV>
            <wp:extent cx="2905125"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905125" cy="76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375285</wp:posOffset>
            </wp:positionV>
            <wp:extent cx="2905125"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905125" cy="762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132715</wp:posOffset>
            </wp:positionV>
            <wp:extent cx="2905125"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905125"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367665</wp:posOffset>
            </wp:positionV>
            <wp:extent cx="2235835"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235835" cy="7620"/>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sectPr>
      </w:pPr>
    </w:p>
    <w:p>
      <w:pPr>
        <w:spacing w:after="0" w:line="200" w:lineRule="exact"/>
        <w:rPr>
          <w:sz w:val="20"/>
          <w:szCs w:val="20"/>
          <w:color w:val="auto"/>
        </w:rPr>
      </w:pPr>
    </w:p>
    <w:p>
      <w:pPr>
        <w:spacing w:after="0" w:line="380"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(Signature)</w:t>
      </w:r>
    </w:p>
    <w:p>
      <w:pPr>
        <w:sectPr>
          <w:pgSz w:w="11900" w:h="16838" w:orient="portrait"/>
          <w:cols w:equalWidth="0" w:num="1">
            <w:col w:w="11420"/>
          </w:cols>
          <w:pgMar w:left="240" w:top="129" w:right="239" w:bottom="0" w:gutter="0" w:footer="0" w:header="0"/>
          <w:type w:val="continuous"/>
        </w:sectPr>
      </w:pPr>
    </w:p>
    <w:bookmarkStart w:id="280" w:name="page281"/>
    <w:bookmarkEnd w:id="280"/>
    <w:p>
      <w:pPr>
        <w:jc w:val="right"/>
        <w:ind w:right="29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5178425</wp:posOffset>
            </wp:positionH>
            <wp:positionV relativeFrom="page">
              <wp:posOffset>324485</wp:posOffset>
            </wp:positionV>
            <wp:extent cx="2235835"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235835" cy="7620"/>
                    </a:xfrm>
                    <a:prstGeom prst="rect">
                      <a:avLst/>
                    </a:prstGeom>
                    <a:noFill/>
                  </pic:spPr>
                </pic:pic>
              </a:graphicData>
            </a:graphic>
          </wp:anchor>
        </w:drawing>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250190</wp:posOffset>
            </wp:positionV>
            <wp:extent cx="2235835"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235835" cy="762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250190</wp:posOffset>
            </wp:positionV>
            <wp:extent cx="2125345"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375" w:lineRule="exact"/>
        <w:rPr>
          <w:sz w:val="20"/>
          <w:szCs w:val="20"/>
          <w:color w:val="auto"/>
        </w:rPr>
      </w:pPr>
    </w:p>
    <w:p>
      <w:pPr>
        <w:ind w:left="260"/>
        <w:spacing w:after="0"/>
        <w:tabs>
          <w:tab w:leader="none" w:pos="826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188595</wp:posOffset>
            </wp:positionV>
            <wp:extent cx="7285990" cy="2730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281" w:name="page282"/>
    <w:bookmarkEnd w:id="281"/>
    <w:p>
      <w:pPr>
        <w:ind w:left="10720"/>
        <w:spacing w:after="0"/>
        <w:rPr>
          <w:sz w:val="20"/>
          <w:szCs w:val="20"/>
          <w:color w:val="auto"/>
        </w:rPr>
      </w:pPr>
      <w:r>
        <w:rPr>
          <w:rFonts w:ascii="Arial" w:cs="Arial" w:eastAsia="Arial" w:hAnsi="Arial"/>
          <w:sz w:val="14"/>
          <w:szCs w:val="14"/>
          <w:b w:val="1"/>
          <w:bCs w:val="1"/>
          <w:color w:val="auto"/>
        </w:rPr>
        <w:t>Exhibit 4.4</w:t>
      </w:r>
    </w:p>
    <w:p>
      <w:pPr>
        <w:spacing w:after="0" w:line="216" w:lineRule="exact"/>
        <w:rPr>
          <w:sz w:val="20"/>
          <w:szCs w:val="20"/>
          <w:color w:val="auto"/>
        </w:rPr>
      </w:pPr>
    </w:p>
    <w:p>
      <w:pPr>
        <w:ind w:right="300"/>
        <w:spacing w:after="0" w:line="268" w:lineRule="auto"/>
        <w:rPr>
          <w:sz w:val="20"/>
          <w:szCs w:val="20"/>
          <w:color w:val="auto"/>
        </w:rPr>
      </w:pPr>
      <w:r>
        <w:rPr>
          <w:rFonts w:ascii="Arial" w:cs="Arial" w:eastAsia="Arial" w:hAnsi="Arial"/>
          <w:sz w:val="15"/>
          <w:szCs w:val="15"/>
          <w:color w:val="auto"/>
        </w:rPr>
        <w:t>THIS WARRANT TO PURCHASE COMMON STOCK AND THE SECURITIES ISSUABLE UPON EXERCISE HEREOF HAVE NOT BEEN REGISTERED OR QUALIFIED UNDER THE SECURITIES ACT OF 1933, AS AMENDED, OR APPLICABLE STATE SECURITIES LAWS. SUCH SECURITIES MAY NOT BE TRANSFERRED OR OTHERWISE DISPOSED OF UNLESS THEY HAVE BEEN SO REGISTERED AND QUALIFIED OR AN OPINION OF COUNSEL, SATISFACTORY TO THE COMPANY, THAT REGISTRATION AND QUALIFICATION IS NOT REQUIRED IS FURNISHED TO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gridSpan w:val="3"/>
          </w:tcPr>
          <w:p>
            <w:pPr>
              <w:spacing w:after="0"/>
              <w:rPr>
                <w:sz w:val="20"/>
                <w:szCs w:val="20"/>
                <w:color w:val="auto"/>
              </w:rPr>
            </w:pPr>
            <w:r>
              <w:rPr>
                <w:rFonts w:ascii="Arial" w:cs="Arial" w:eastAsia="Arial" w:hAnsi="Arial"/>
                <w:sz w:val="15"/>
                <w:szCs w:val="15"/>
                <w:color w:val="auto"/>
              </w:rPr>
              <w:t>Warrant No. 2015 –</w:t>
            </w:r>
          </w:p>
        </w:tc>
        <w:tc>
          <w:tcPr>
            <w:tcW w:w="6260" w:type="dxa"/>
            <w:vAlign w:val="bottom"/>
            <w:gridSpan w:val="3"/>
          </w:tcPr>
          <w:p>
            <w:pPr>
              <w:jc w:val="right"/>
              <w:spacing w:after="0"/>
              <w:rPr>
                <w:sz w:val="20"/>
                <w:szCs w:val="20"/>
                <w:color w:val="auto"/>
              </w:rPr>
            </w:pPr>
            <w:r>
              <w:rPr>
                <w:rFonts w:ascii="Arial" w:cs="Arial" w:eastAsia="Arial" w:hAnsi="Arial"/>
                <w:sz w:val="15"/>
                <w:szCs w:val="15"/>
                <w:color w:val="auto"/>
              </w:rPr>
              <w:t>, 2015</w:t>
            </w:r>
          </w:p>
        </w:tc>
      </w:tr>
      <w:tr>
        <w:trPr>
          <w:trHeight w:val="359"/>
        </w:trPr>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20" w:type="dxa"/>
            <w:vAlign w:val="bottom"/>
            <w:gridSpan w:val="4"/>
          </w:tcPr>
          <w:p>
            <w:pPr>
              <w:jc w:val="center"/>
              <w:ind w:right="4120"/>
              <w:spacing w:after="0"/>
              <w:rPr>
                <w:sz w:val="20"/>
                <w:szCs w:val="20"/>
                <w:color w:val="auto"/>
              </w:rPr>
            </w:pPr>
            <w:r>
              <w:rPr>
                <w:rFonts w:ascii="Arial" w:cs="Arial" w:eastAsia="Arial" w:hAnsi="Arial"/>
                <w:sz w:val="15"/>
                <w:szCs w:val="15"/>
                <w:b w:val="1"/>
                <w:bCs w:val="1"/>
                <w:color w:val="auto"/>
              </w:rPr>
              <w:t>SELECTA BIOSCIENCES, INC.</w:t>
            </w:r>
          </w:p>
        </w:tc>
      </w:tr>
      <w:tr>
        <w:trPr>
          <w:trHeight w:val="371"/>
        </w:trPr>
        <w:tc>
          <w:tcPr>
            <w:tcW w:w="3620" w:type="dxa"/>
            <w:vAlign w:val="bottom"/>
          </w:tcPr>
          <w:p>
            <w:pPr>
              <w:spacing w:after="0"/>
              <w:rPr>
                <w:sz w:val="24"/>
                <w:szCs w:val="24"/>
                <w:color w:val="auto"/>
              </w:rPr>
            </w:pPr>
          </w:p>
        </w:tc>
        <w:tc>
          <w:tcPr>
            <w:tcW w:w="7820" w:type="dxa"/>
            <w:vAlign w:val="bottom"/>
            <w:gridSpan w:val="5"/>
          </w:tcPr>
          <w:p>
            <w:pPr>
              <w:jc w:val="center"/>
              <w:ind w:right="3620"/>
              <w:spacing w:after="0"/>
              <w:rPr>
                <w:sz w:val="20"/>
                <w:szCs w:val="20"/>
                <w:color w:val="auto"/>
              </w:rPr>
            </w:pPr>
            <w:r>
              <w:rPr>
                <w:rFonts w:ascii="Arial" w:cs="Arial" w:eastAsia="Arial" w:hAnsi="Arial"/>
                <w:sz w:val="15"/>
                <w:szCs w:val="15"/>
                <w:b w:val="1"/>
                <w:bCs w:val="1"/>
                <w:color w:val="auto"/>
              </w:rPr>
              <w:t>WARRANT TO PURCHASE COMMON STOCK</w:t>
            </w:r>
          </w:p>
        </w:tc>
      </w:tr>
      <w:tr>
        <w:trPr>
          <w:trHeight w:val="336"/>
        </w:trPr>
        <w:tc>
          <w:tcPr>
            <w:tcW w:w="5180" w:type="dxa"/>
            <w:vAlign w:val="bottom"/>
            <w:gridSpan w:val="3"/>
          </w:tcPr>
          <w:p>
            <w:pPr>
              <w:ind w:left="640"/>
              <w:spacing w:after="0"/>
              <w:rPr>
                <w:sz w:val="20"/>
                <w:szCs w:val="20"/>
                <w:color w:val="auto"/>
              </w:rPr>
            </w:pPr>
            <w:r>
              <w:rPr>
                <w:rFonts w:ascii="Arial" w:cs="Arial" w:eastAsia="Arial" w:hAnsi="Arial"/>
                <w:sz w:val="15"/>
                <w:szCs w:val="15"/>
                <w:color w:val="auto"/>
                <w:w w:val="98"/>
              </w:rPr>
              <w:t>This Warrant to Purchase Common Stock (this “Warrant”) is issued to</w:t>
            </w:r>
          </w:p>
        </w:tc>
        <w:tc>
          <w:tcPr>
            <w:tcW w:w="6260" w:type="dxa"/>
            <w:vAlign w:val="bottom"/>
            <w:gridSpan w:val="3"/>
          </w:tcPr>
          <w:p>
            <w:pPr>
              <w:jc w:val="right"/>
              <w:ind w:right="180"/>
              <w:spacing w:after="0"/>
              <w:rPr>
                <w:sz w:val="20"/>
                <w:szCs w:val="20"/>
                <w:color w:val="auto"/>
              </w:rPr>
            </w:pPr>
            <w:r>
              <w:rPr>
                <w:rFonts w:ascii="Arial" w:cs="Arial" w:eastAsia="Arial" w:hAnsi="Arial"/>
                <w:sz w:val="15"/>
                <w:szCs w:val="15"/>
                <w:color w:val="auto"/>
                <w:w w:val="96"/>
              </w:rPr>
              <w:t>or its registered assigns by Selecta Biosciences, Inc., a Delaware corporation (the “Company”).</w:t>
            </w:r>
          </w:p>
        </w:tc>
      </w:tr>
      <w:tr>
        <w:trPr>
          <w:trHeight w:val="20"/>
        </w:trPr>
        <w:tc>
          <w:tcPr>
            <w:tcW w:w="3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This Warrant is one of several like warrants (collectively, the “</w:t>
      </w:r>
      <w:r>
        <w:rPr>
          <w:rFonts w:ascii="Arial" w:cs="Arial" w:eastAsia="Arial" w:hAnsi="Arial"/>
          <w:sz w:val="15"/>
          <w:szCs w:val="15"/>
          <w:u w:val="single" w:color="auto"/>
          <w:color w:val="auto"/>
        </w:rPr>
        <w:t>Warrants</w:t>
      </w:r>
      <w:r>
        <w:rPr>
          <w:rFonts w:ascii="Arial" w:cs="Arial" w:eastAsia="Arial" w:hAnsi="Arial"/>
          <w:sz w:val="15"/>
          <w:szCs w:val="15"/>
          <w:color w:val="auto"/>
        </w:rPr>
        <w:t>”) being issued in connection with the issuance by the Company to the holder (the “</w:t>
      </w:r>
      <w:r>
        <w:rPr>
          <w:rFonts w:ascii="Arial" w:cs="Arial" w:eastAsia="Arial" w:hAnsi="Arial"/>
          <w:sz w:val="15"/>
          <w:szCs w:val="15"/>
          <w:u w:val="single" w:color="auto"/>
          <w:color w:val="auto"/>
        </w:rPr>
        <w:t>Holder</w:t>
      </w:r>
      <w:r>
        <w:rPr>
          <w:rFonts w:ascii="Arial" w:cs="Arial" w:eastAsia="Arial" w:hAnsi="Arial"/>
          <w:sz w:val="15"/>
          <w:szCs w:val="15"/>
          <w:color w:val="auto"/>
        </w:rPr>
        <w:t>”) of shares of the Company’s Series E Convertible Preferred Stock, $0.0001 par value per share, pursuant to that certain Series E Preferred Stock Purchase Agreement by and among the Company, the Holder and the other parties named therein, dated as of August 27, 2015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By its acceptance hereof, the Holder hereby agrees to be bound by the terms and conditions of this Warrant.</w:t>
      </w:r>
    </w:p>
    <w:p>
      <w:pPr>
        <w:spacing w:after="0" w:line="156" w:lineRule="exact"/>
        <w:rPr>
          <w:sz w:val="20"/>
          <w:szCs w:val="20"/>
          <w:color w:val="auto"/>
        </w:rPr>
      </w:pPr>
    </w:p>
    <w:p>
      <w:pPr>
        <w:ind w:left="1200" w:hanging="533"/>
        <w:spacing w:after="0"/>
        <w:tabs>
          <w:tab w:leader="none" w:pos="1200" w:val="left"/>
        </w:tabs>
        <w:numPr>
          <w:ilvl w:val="2"/>
          <w:numId w:val="189"/>
        </w:numPr>
        <w:rPr>
          <w:rFonts w:ascii="Arial" w:cs="Arial" w:eastAsia="Arial" w:hAnsi="Arial"/>
          <w:sz w:val="15"/>
          <w:szCs w:val="15"/>
          <w:color w:val="auto"/>
        </w:rPr>
      </w:pPr>
      <w:r>
        <w:rPr>
          <w:rFonts w:ascii="Arial" w:cs="Arial" w:eastAsia="Arial" w:hAnsi="Arial"/>
          <w:sz w:val="15"/>
          <w:szCs w:val="15"/>
          <w:u w:val="single" w:color="auto"/>
          <w:color w:val="auto"/>
        </w:rPr>
        <w:t>General Terms.</w:t>
      </w:r>
    </w:p>
    <w:p>
      <w:pPr>
        <w:spacing w:after="0" w:line="198" w:lineRule="exact"/>
        <w:rPr>
          <w:rFonts w:ascii="Arial" w:cs="Arial" w:eastAsia="Arial" w:hAnsi="Arial"/>
          <w:sz w:val="15"/>
          <w:szCs w:val="15"/>
          <w:color w:val="auto"/>
        </w:rPr>
      </w:pPr>
    </w:p>
    <w:p>
      <w:pPr>
        <w:ind w:right="120" w:firstLine="1193"/>
        <w:spacing w:after="0" w:line="289" w:lineRule="auto"/>
        <w:tabs>
          <w:tab w:leader="none" w:pos="1661" w:val="left"/>
        </w:tabs>
        <w:numPr>
          <w:ilvl w:val="3"/>
          <w:numId w:val="189"/>
        </w:numPr>
        <w:rPr>
          <w:rFonts w:ascii="Arial" w:cs="Arial" w:eastAsia="Arial" w:hAnsi="Arial"/>
          <w:sz w:val="15"/>
          <w:szCs w:val="15"/>
          <w:color w:val="auto"/>
        </w:rPr>
      </w:pPr>
      <w:r>
        <w:rPr>
          <w:rFonts w:ascii="Arial" w:cs="Arial" w:eastAsia="Arial" w:hAnsi="Arial"/>
          <w:sz w:val="15"/>
          <w:szCs w:val="15"/>
          <w:u w:val="single" w:color="auto"/>
          <w:color w:val="auto"/>
        </w:rPr>
        <w:t>The Shares</w:t>
      </w:r>
      <w:r>
        <w:rPr>
          <w:rFonts w:ascii="Arial" w:cs="Arial" w:eastAsia="Arial" w:hAnsi="Arial"/>
          <w:sz w:val="15"/>
          <w:szCs w:val="15"/>
          <w:color w:val="auto"/>
        </w:rPr>
        <w:t>. The term “</w:t>
      </w:r>
      <w:r>
        <w:rPr>
          <w:rFonts w:ascii="Arial" w:cs="Arial" w:eastAsia="Arial" w:hAnsi="Arial"/>
          <w:sz w:val="15"/>
          <w:szCs w:val="15"/>
          <w:u w:val="single" w:color="auto"/>
          <w:color w:val="auto"/>
        </w:rPr>
        <w:t>Shares</w:t>
      </w:r>
      <w:r>
        <w:rPr>
          <w:rFonts w:ascii="Arial" w:cs="Arial" w:eastAsia="Arial" w:hAnsi="Arial"/>
          <w:sz w:val="15"/>
          <w:szCs w:val="15"/>
          <w:color w:val="auto"/>
        </w:rPr>
        <w:t>” shall mean the shares of the Common Stock of the Company, $0.0001 par value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for which this Warrant shall be exercisable from time to time.</w:t>
      </w:r>
    </w:p>
    <w:p>
      <w:pPr>
        <w:spacing w:after="0" w:line="140" w:lineRule="exact"/>
        <w:rPr>
          <w:rFonts w:ascii="Arial" w:cs="Arial" w:eastAsia="Arial" w:hAnsi="Arial"/>
          <w:sz w:val="15"/>
          <w:szCs w:val="15"/>
          <w:color w:val="auto"/>
        </w:rPr>
      </w:pPr>
    </w:p>
    <w:p>
      <w:pPr>
        <w:ind w:right="860" w:firstLine="1193"/>
        <w:spacing w:after="0" w:line="289" w:lineRule="auto"/>
        <w:tabs>
          <w:tab w:leader="none" w:pos="1670" w:val="left"/>
        </w:tabs>
        <w:numPr>
          <w:ilvl w:val="3"/>
          <w:numId w:val="189"/>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exercise price (the “</w:t>
      </w:r>
      <w:r>
        <w:rPr>
          <w:rFonts w:ascii="Arial" w:cs="Arial" w:eastAsia="Arial" w:hAnsi="Arial"/>
          <w:sz w:val="15"/>
          <w:szCs w:val="15"/>
          <w:u w:val="single" w:color="auto"/>
          <w:color w:val="auto"/>
        </w:rPr>
        <w:t>Exercise Price</w:t>
      </w:r>
      <w:r>
        <w:rPr>
          <w:rFonts w:ascii="Arial" w:cs="Arial" w:eastAsia="Arial" w:hAnsi="Arial"/>
          <w:sz w:val="15"/>
          <w:szCs w:val="15"/>
          <w:color w:val="auto"/>
        </w:rPr>
        <w:t>”) for each Share shall be $0.01 (as adjusted for any stock dividends, combinations, splits, recapitalizations and similar events affecting the Common Stock).</w:t>
      </w:r>
    </w:p>
    <w:p>
      <w:pPr>
        <w:spacing w:after="0" w:line="140" w:lineRule="exact"/>
        <w:rPr>
          <w:rFonts w:ascii="Arial" w:cs="Arial" w:eastAsia="Arial" w:hAnsi="Arial"/>
          <w:sz w:val="15"/>
          <w:szCs w:val="15"/>
          <w:color w:val="auto"/>
        </w:rPr>
      </w:pPr>
    </w:p>
    <w:p>
      <w:pPr>
        <w:ind w:right="60" w:firstLine="1193"/>
        <w:spacing w:after="0" w:line="289" w:lineRule="auto"/>
        <w:tabs>
          <w:tab w:leader="none" w:pos="1673" w:val="left"/>
        </w:tabs>
        <w:numPr>
          <w:ilvl w:val="3"/>
          <w:numId w:val="189"/>
        </w:numPr>
        <w:rPr>
          <w:rFonts w:ascii="Arial" w:cs="Arial" w:eastAsia="Arial" w:hAnsi="Arial"/>
          <w:sz w:val="15"/>
          <w:szCs w:val="15"/>
          <w:color w:val="auto"/>
        </w:rPr>
      </w:pPr>
      <w:r>
        <w:rPr>
          <w:rFonts w:ascii="Arial" w:cs="Arial" w:eastAsia="Arial" w:hAnsi="Arial"/>
          <w:sz w:val="15"/>
          <w:szCs w:val="15"/>
          <w:u w:val="single" w:color="auto"/>
          <w:color w:val="auto"/>
        </w:rPr>
        <w:t>Exercise Period</w:t>
      </w:r>
      <w:r>
        <w:rPr>
          <w:rFonts w:ascii="Arial" w:cs="Arial" w:eastAsia="Arial" w:hAnsi="Arial"/>
          <w:sz w:val="15"/>
          <w:szCs w:val="15"/>
          <w:color w:val="auto"/>
        </w:rPr>
        <w:t xml:space="preserve">. This Warrant shall be exercisable, in whole or in part, during the term commencing on the date of this Warrant as set forth above and ending on the expiration of this Warrant pursuant to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hereof (the “</w:t>
      </w:r>
      <w:r>
        <w:rPr>
          <w:rFonts w:ascii="Arial" w:cs="Arial" w:eastAsia="Arial" w:hAnsi="Arial"/>
          <w:sz w:val="15"/>
          <w:szCs w:val="15"/>
          <w:u w:val="single" w:color="auto"/>
          <w:color w:val="auto"/>
        </w:rPr>
        <w:t>Exercise Period</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right="200" w:firstLine="637"/>
        <w:spacing w:after="0" w:line="273" w:lineRule="auto"/>
        <w:tabs>
          <w:tab w:leader="none" w:pos="1200"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Purchase of Shares</w:t>
      </w:r>
      <w:r>
        <w:rPr>
          <w:rFonts w:ascii="Arial" w:cs="Arial" w:eastAsia="Arial" w:hAnsi="Arial"/>
          <w:sz w:val="15"/>
          <w:szCs w:val="15"/>
          <w:color w:val="auto"/>
        </w:rPr>
        <w:t>. Subject to the terms and conditions hereinafter set forth, the holder of this Warrant is entitled, at any time during the Exercise Period, upon surrender of this Warrant at the principal office of the Company (or at such other place as the Company shall notify the holder hereof in writing), to purchase from the Company up to 7,781 shares of Common Stock, subject to adjustment pursuant to the terms and conditions of this Warrant.</w:t>
      </w:r>
    </w:p>
    <w:p>
      <w:pPr>
        <w:spacing w:after="0" w:line="152" w:lineRule="exact"/>
        <w:rPr>
          <w:rFonts w:ascii="Arial" w:cs="Arial" w:eastAsia="Arial" w:hAnsi="Arial"/>
          <w:sz w:val="15"/>
          <w:szCs w:val="15"/>
          <w:color w:val="auto"/>
        </w:rPr>
      </w:pPr>
    </w:p>
    <w:p>
      <w:pPr>
        <w:ind w:right="80" w:firstLine="637"/>
        <w:spacing w:after="0" w:line="289" w:lineRule="auto"/>
        <w:tabs>
          <w:tab w:leader="none" w:pos="1200"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xml:space="preserve">. While this Warrant remains outstanding and exercisable in accordance with </w:t>
      </w:r>
      <w:r>
        <w:rPr>
          <w:rFonts w:ascii="Arial" w:cs="Arial" w:eastAsia="Arial" w:hAnsi="Arial"/>
          <w:sz w:val="15"/>
          <w:szCs w:val="15"/>
          <w:u w:val="single" w:color="auto"/>
          <w:color w:val="auto"/>
        </w:rPr>
        <w:t>Section l(c)</w:t>
      </w:r>
      <w:r>
        <w:rPr>
          <w:rFonts w:ascii="Arial" w:cs="Arial" w:eastAsia="Arial" w:hAnsi="Arial"/>
          <w:sz w:val="15"/>
          <w:szCs w:val="15"/>
          <w:color w:val="auto"/>
        </w:rPr>
        <w:t xml:space="preserve"> above, the Holder may exercise, in whole or in part, the purchase rights evidenced hereby. Such exercise shall be effected by: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4" w:lineRule="exact"/>
        <w:rPr>
          <w:rFonts w:ascii="Arial" w:cs="Arial" w:eastAsia="Arial" w:hAnsi="Arial"/>
          <w:sz w:val="15"/>
          <w:szCs w:val="15"/>
          <w:color w:val="auto"/>
        </w:rPr>
      </w:pPr>
    </w:p>
    <w:p>
      <w:pPr>
        <w:ind w:right="140" w:firstLine="1193"/>
        <w:spacing w:after="0" w:line="289" w:lineRule="auto"/>
        <w:tabs>
          <w:tab w:leader="none" w:pos="1754" w:val="left"/>
        </w:tabs>
        <w:numPr>
          <w:ilvl w:val="3"/>
          <w:numId w:val="190"/>
        </w:numPr>
        <w:rPr>
          <w:rFonts w:ascii="Arial" w:cs="Arial" w:eastAsia="Arial" w:hAnsi="Arial"/>
          <w:sz w:val="15"/>
          <w:szCs w:val="15"/>
          <w:color w:val="auto"/>
        </w:rPr>
      </w:pPr>
      <w:r>
        <w:rPr>
          <w:rFonts w:ascii="Arial" w:cs="Arial" w:eastAsia="Arial" w:hAnsi="Arial"/>
          <w:sz w:val="15"/>
          <w:szCs w:val="15"/>
          <w:color w:val="auto"/>
        </w:rPr>
        <w:t xml:space="preserve">the surrender to the President, Treasurer or Secretary of the Company at its principal offices of the Warrant, together with a notice of exercise substantially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Notice of Exercise</w:t>
      </w:r>
      <w:r>
        <w:rPr>
          <w:rFonts w:ascii="Arial" w:cs="Arial" w:eastAsia="Arial" w:hAnsi="Arial"/>
          <w:sz w:val="15"/>
          <w:szCs w:val="15"/>
          <w:color w:val="auto"/>
        </w:rPr>
        <w:t>”); and</w:t>
      </w:r>
    </w:p>
    <w:p>
      <w:pPr>
        <w:spacing w:after="0" w:line="140" w:lineRule="exact"/>
        <w:rPr>
          <w:rFonts w:ascii="Arial" w:cs="Arial" w:eastAsia="Arial" w:hAnsi="Arial"/>
          <w:sz w:val="15"/>
          <w:szCs w:val="15"/>
          <w:color w:val="auto"/>
        </w:rPr>
      </w:pPr>
    </w:p>
    <w:p>
      <w:pPr>
        <w:ind w:right="140" w:firstLine="1193"/>
        <w:spacing w:after="0" w:line="289" w:lineRule="auto"/>
        <w:tabs>
          <w:tab w:leader="none" w:pos="1763" w:val="left"/>
        </w:tabs>
        <w:numPr>
          <w:ilvl w:val="3"/>
          <w:numId w:val="190"/>
        </w:numPr>
        <w:rPr>
          <w:rFonts w:ascii="Arial" w:cs="Arial" w:eastAsia="Arial" w:hAnsi="Arial"/>
          <w:sz w:val="15"/>
          <w:szCs w:val="15"/>
          <w:color w:val="auto"/>
        </w:rPr>
      </w:pPr>
      <w:r>
        <w:rPr>
          <w:rFonts w:ascii="Arial" w:cs="Arial" w:eastAsia="Arial" w:hAnsi="Arial"/>
          <w:sz w:val="15"/>
          <w:szCs w:val="15"/>
          <w:color w:val="auto"/>
        </w:rPr>
        <w:t>the payment to the Company, in cash, by certified or official bank check payable to the Company, or wire transfer of funds to an account designated by the Company, of an amount equal to the aggregate Exercise Price for the number of Shares being purchased.</w:t>
      </w:r>
    </w:p>
    <w:p>
      <w:pPr>
        <w:spacing w:after="0" w:line="140" w:lineRule="exact"/>
        <w:rPr>
          <w:rFonts w:ascii="Arial" w:cs="Arial" w:eastAsia="Arial" w:hAnsi="Arial"/>
          <w:sz w:val="15"/>
          <w:szCs w:val="15"/>
          <w:color w:val="auto"/>
        </w:rPr>
      </w:pPr>
    </w:p>
    <w:p>
      <w:pPr>
        <w:ind w:right="20" w:firstLine="649"/>
        <w:spacing w:after="0" w:line="302" w:lineRule="auto"/>
        <w:tabs>
          <w:tab w:leader="none" w:pos="1189"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Net Exercise</w:t>
      </w:r>
      <w:r>
        <w:rPr>
          <w:rFonts w:ascii="Arial" w:cs="Arial" w:eastAsia="Arial" w:hAnsi="Arial"/>
          <w:sz w:val="14"/>
          <w:szCs w:val="14"/>
          <w:color w:val="auto"/>
        </w:rPr>
        <w:t xml:space="preserve">. Notwithstanding any provisions herein to the contrary, in lieu of exercising this Warrant as set forth in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above, the Holder may elect to receive shares of Common Stock equal to the value (as determined below) of this Warrant (or the portion thereof being canceled) by surrender of this Warrant at the primary office of the Company, together with the Notice of Exercise, in which event the Company shall issue to the Holder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-1417955</wp:posOffset>
            </wp:positionV>
            <wp:extent cx="7285990" cy="2730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1000" w:type="dxa"/>
            <w:vAlign w:val="bottom"/>
          </w:tcPr>
          <w:p>
            <w:pPr>
              <w:spacing w:after="0"/>
              <w:rPr>
                <w:sz w:val="15"/>
                <w:szCs w:val="15"/>
                <w:color w:val="auto"/>
              </w:rPr>
            </w:pPr>
          </w:p>
        </w:tc>
        <w:tc>
          <w:tcPr>
            <w:tcW w:w="10300" w:type="dxa"/>
            <w:vAlign w:val="bottom"/>
            <w:gridSpan w:val="3"/>
          </w:tcPr>
          <w:p>
            <w:pPr>
              <w:jc w:val="center"/>
              <w:ind w:right="1060"/>
              <w:spacing w:after="0"/>
              <w:rPr>
                <w:sz w:val="20"/>
                <w:szCs w:val="20"/>
                <w:color w:val="auto"/>
              </w:rPr>
            </w:pPr>
            <w:r>
              <w:rPr>
                <w:rFonts w:ascii="Arial" w:cs="Arial" w:eastAsia="Arial" w:hAnsi="Arial"/>
                <w:sz w:val="15"/>
                <w:szCs w:val="15"/>
                <w:color w:val="auto"/>
                <w:w w:val="96"/>
              </w:rPr>
              <w:t>CS = WCS x (CMP-WP)</w:t>
            </w:r>
          </w:p>
        </w:tc>
      </w:tr>
      <w:tr>
        <w:trPr>
          <w:trHeight w:val="188"/>
        </w:trPr>
        <w:tc>
          <w:tcPr>
            <w:tcW w:w="10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0" w:type="dxa"/>
            <w:vAlign w:val="bottom"/>
            <w:tcBorders>
              <w:top w:val="single" w:sz="8" w:color="auto"/>
            </w:tcBorders>
          </w:tcPr>
          <w:p>
            <w:pPr>
              <w:jc w:val="center"/>
              <w:ind w:right="283"/>
              <w:spacing w:after="0"/>
              <w:rPr>
                <w:sz w:val="20"/>
                <w:szCs w:val="20"/>
                <w:color w:val="auto"/>
              </w:rPr>
            </w:pPr>
            <w:r>
              <w:rPr>
                <w:rFonts w:ascii="Arial" w:cs="Arial" w:eastAsia="Arial" w:hAnsi="Arial"/>
                <w:sz w:val="15"/>
                <w:szCs w:val="15"/>
                <w:color w:val="auto"/>
                <w:w w:val="95"/>
              </w:rPr>
              <w:t>CMP</w:t>
            </w:r>
          </w:p>
        </w:tc>
        <w:tc>
          <w:tcPr>
            <w:tcW w:w="4900" w:type="dxa"/>
            <w:vAlign w:val="bottom"/>
          </w:tcPr>
          <w:p>
            <w:pPr>
              <w:spacing w:after="0"/>
              <w:rPr>
                <w:sz w:val="16"/>
                <w:szCs w:val="16"/>
                <w:color w:val="auto"/>
              </w:rPr>
            </w:pPr>
          </w:p>
        </w:tc>
      </w:tr>
      <w:tr>
        <w:trPr>
          <w:trHeight w:val="382"/>
        </w:trPr>
        <w:tc>
          <w:tcPr>
            <w:tcW w:w="1000" w:type="dxa"/>
            <w:vAlign w:val="bottom"/>
          </w:tcPr>
          <w:p>
            <w:pPr>
              <w:spacing w:after="0"/>
              <w:rPr>
                <w:sz w:val="20"/>
                <w:szCs w:val="20"/>
                <w:color w:val="auto"/>
              </w:rPr>
            </w:pPr>
            <w:r>
              <w:rPr>
                <w:rFonts w:ascii="Arial" w:cs="Arial" w:eastAsia="Arial" w:hAnsi="Arial"/>
                <w:sz w:val="15"/>
                <w:szCs w:val="15"/>
                <w:color w:val="auto"/>
              </w:rPr>
              <w:t>Where:</w:t>
            </w:r>
          </w:p>
        </w:tc>
        <w:tc>
          <w:tcPr>
            <w:tcW w:w="4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CS</w:t>
            </w: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equals the number of shares of Common Stock to be issued to the Holder</w:t>
            </w:r>
          </w:p>
        </w:tc>
      </w:tr>
      <w:tr>
        <w:trPr>
          <w:trHeight w:val="360"/>
        </w:trPr>
        <w:tc>
          <w:tcPr>
            <w:tcW w:w="1000" w:type="dxa"/>
            <w:vAlign w:val="bottom"/>
          </w:tcPr>
          <w:p>
            <w:pPr>
              <w:ind w:left="540"/>
              <w:spacing w:after="0"/>
              <w:rPr>
                <w:sz w:val="20"/>
                <w:szCs w:val="20"/>
                <w:color w:val="auto"/>
              </w:rPr>
            </w:pPr>
            <w:r>
              <w:rPr>
                <w:rFonts w:ascii="Arial" w:cs="Arial" w:eastAsia="Arial" w:hAnsi="Arial"/>
                <w:sz w:val="15"/>
                <w:szCs w:val="15"/>
                <w:color w:val="auto"/>
              </w:rPr>
              <w:t>WCS</w:t>
            </w:r>
          </w:p>
        </w:tc>
        <w:tc>
          <w:tcPr>
            <w:tcW w:w="10300" w:type="dxa"/>
            <w:vAlign w:val="bottom"/>
            <w:gridSpan w:val="3"/>
          </w:tcPr>
          <w:p>
            <w:pPr>
              <w:ind w:left="120"/>
              <w:spacing w:after="0"/>
              <w:rPr>
                <w:sz w:val="20"/>
                <w:szCs w:val="20"/>
                <w:color w:val="auto"/>
              </w:rPr>
            </w:pPr>
            <w:r>
              <w:rPr>
                <w:rFonts w:ascii="Arial" w:cs="Arial" w:eastAsia="Arial" w:hAnsi="Arial"/>
                <w:sz w:val="15"/>
                <w:szCs w:val="15"/>
                <w:color w:val="auto"/>
                <w:w w:val="92"/>
              </w:rPr>
              <w:t>equals the number of shares of Common Stock purchasable under the Warrant or, if only a portion of the Warrant is being exercised, the portion of the Warrant being</w:t>
            </w:r>
          </w:p>
        </w:tc>
      </w:tr>
      <w:tr>
        <w:trPr>
          <w:trHeight w:val="196"/>
        </w:trPr>
        <w:tc>
          <w:tcPr>
            <w:tcW w:w="1000" w:type="dxa"/>
            <w:vAlign w:val="bottom"/>
          </w:tcPr>
          <w:p>
            <w:pPr>
              <w:spacing w:after="0"/>
              <w:rPr>
                <w:sz w:val="17"/>
                <w:szCs w:val="17"/>
                <w:color w:val="auto"/>
              </w:rPr>
            </w:pP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exercised, at the date of such calculation</w:t>
            </w: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CMP</w:t>
            </w:r>
          </w:p>
        </w:tc>
        <w:tc>
          <w:tcPr>
            <w:tcW w:w="10300" w:type="dxa"/>
            <w:vAlign w:val="bottom"/>
            <w:gridSpan w:val="3"/>
          </w:tcPr>
          <w:p>
            <w:pPr>
              <w:ind w:left="100"/>
              <w:spacing w:after="0"/>
              <w:rPr>
                <w:sz w:val="20"/>
                <w:szCs w:val="20"/>
                <w:color w:val="auto"/>
              </w:rPr>
            </w:pPr>
            <w:r>
              <w:rPr>
                <w:rFonts w:ascii="Arial" w:cs="Arial" w:eastAsia="Arial" w:hAnsi="Arial"/>
                <w:sz w:val="15"/>
                <w:szCs w:val="15"/>
                <w:color w:val="auto"/>
              </w:rPr>
              <w:t>equals the Current Market Price (as defined below) at the date of such calculation</w:t>
            </w:r>
          </w:p>
        </w:tc>
      </w:tr>
      <w:tr>
        <w:trPr>
          <w:trHeight w:val="371"/>
        </w:trPr>
        <w:tc>
          <w:tcPr>
            <w:tcW w:w="1000" w:type="dxa"/>
            <w:vAlign w:val="bottom"/>
          </w:tcPr>
          <w:p>
            <w:pPr>
              <w:ind w:left="540"/>
              <w:spacing w:after="0"/>
              <w:rPr>
                <w:sz w:val="20"/>
                <w:szCs w:val="20"/>
                <w:color w:val="auto"/>
              </w:rPr>
            </w:pPr>
            <w:r>
              <w:rPr>
                <w:rFonts w:ascii="Arial" w:cs="Arial" w:eastAsia="Arial" w:hAnsi="Arial"/>
                <w:sz w:val="15"/>
                <w:szCs w:val="15"/>
                <w:color w:val="auto"/>
              </w:rPr>
              <w:t>WP</w:t>
            </w:r>
          </w:p>
        </w:tc>
        <w:tc>
          <w:tcPr>
            <w:tcW w:w="10300" w:type="dxa"/>
            <w:vAlign w:val="bottom"/>
            <w:gridSpan w:val="3"/>
          </w:tcPr>
          <w:p>
            <w:pPr>
              <w:ind w:left="120"/>
              <w:spacing w:after="0"/>
              <w:rPr>
                <w:sz w:val="20"/>
                <w:szCs w:val="20"/>
                <w:color w:val="auto"/>
              </w:rPr>
            </w:pPr>
            <w:r>
              <w:rPr>
                <w:rFonts w:ascii="Arial" w:cs="Arial" w:eastAsia="Arial" w:hAnsi="Arial"/>
                <w:sz w:val="15"/>
                <w:szCs w:val="15"/>
                <w:color w:val="auto"/>
              </w:rPr>
              <w:t>equals the Exercise Price as adjusted to the date of such calculation</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the “</w:t>
      </w:r>
      <w:r>
        <w:rPr>
          <w:rFonts w:ascii="Arial" w:cs="Arial" w:eastAsia="Arial" w:hAnsi="Arial"/>
          <w:sz w:val="15"/>
          <w:szCs w:val="15"/>
          <w:u w:val="single" w:color="auto"/>
          <w:color w:val="auto"/>
        </w:rPr>
        <w:t>Current Market Price</w:t>
      </w:r>
      <w:r>
        <w:rPr>
          <w:rFonts w:ascii="Arial" w:cs="Arial" w:eastAsia="Arial" w:hAnsi="Arial"/>
          <w:sz w:val="15"/>
          <w:szCs w:val="15"/>
          <w:color w:val="auto"/>
        </w:rPr>
        <w:t>” of Common Stock shall mean with respect to each share of Common Stock:</w:t>
      </w:r>
    </w:p>
    <w:p>
      <w:pPr>
        <w:spacing w:after="0" w:line="198" w:lineRule="exact"/>
        <w:rPr>
          <w:sz w:val="20"/>
          <w:szCs w:val="20"/>
          <w:color w:val="auto"/>
        </w:rPr>
      </w:pPr>
    </w:p>
    <w:p>
      <w:pPr>
        <w:ind w:right="20" w:firstLine="1193"/>
        <w:spacing w:after="0" w:line="289" w:lineRule="auto"/>
        <w:tabs>
          <w:tab w:leader="none" w:pos="1754" w:val="left"/>
        </w:tabs>
        <w:numPr>
          <w:ilvl w:val="0"/>
          <w:numId w:val="191"/>
        </w:numPr>
        <w:rPr>
          <w:rFonts w:ascii="Arial" w:cs="Arial" w:eastAsia="Arial" w:hAnsi="Arial"/>
          <w:sz w:val="15"/>
          <w:szCs w:val="15"/>
          <w:color w:val="auto"/>
        </w:rPr>
      </w:pPr>
      <w:r>
        <w:rPr>
          <w:rFonts w:ascii="Arial" w:cs="Arial" w:eastAsia="Arial" w:hAnsi="Arial"/>
          <w:sz w:val="15"/>
          <w:szCs w:val="15"/>
          <w:color w:val="auto"/>
        </w:rPr>
        <w:t>if the Common Stock is traded on a national securities exchange, the fair market value shall be deemed to be the average of the closing prices over a twenty-one (21) day period ending three days before the day the current fair market value of the Common Stock is being determined; or</w:t>
      </w:r>
    </w:p>
    <w:p>
      <w:pPr>
        <w:spacing w:after="0" w:line="140" w:lineRule="exact"/>
        <w:rPr>
          <w:rFonts w:ascii="Arial" w:cs="Arial" w:eastAsia="Arial" w:hAnsi="Arial"/>
          <w:sz w:val="15"/>
          <w:szCs w:val="15"/>
          <w:color w:val="auto"/>
        </w:rPr>
      </w:pPr>
    </w:p>
    <w:p>
      <w:pPr>
        <w:ind w:right="180" w:firstLine="1193"/>
        <w:spacing w:after="0" w:line="273" w:lineRule="auto"/>
        <w:tabs>
          <w:tab w:leader="none" w:pos="1763" w:val="left"/>
        </w:tabs>
        <w:numPr>
          <w:ilvl w:val="0"/>
          <w:numId w:val="191"/>
        </w:numPr>
        <w:rPr>
          <w:rFonts w:ascii="Arial" w:cs="Arial" w:eastAsia="Arial" w:hAnsi="Arial"/>
          <w:sz w:val="15"/>
          <w:szCs w:val="15"/>
          <w:color w:val="auto"/>
        </w:rPr>
      </w:pPr>
      <w:r>
        <w:rPr>
          <w:rFonts w:ascii="Arial" w:cs="Arial" w:eastAsia="Arial" w:hAnsi="Arial"/>
          <w:sz w:val="15"/>
          <w:szCs w:val="15"/>
          <w:color w:val="auto"/>
        </w:rPr>
        <w:t>if the Common Stock is not listed on a national securities exchange but is actively traded over-the-counter, the fair market value shall be deemed to be the average of the closing bid and asked prices reported by the National Quotation Bureau (or similar system) over the twenty-one (21) day period ending three days before the day the current fair market value of the Common Stock is being determined;</w:t>
      </w:r>
    </w:p>
    <w:p>
      <w:pPr>
        <w:spacing w:after="0" w:line="152" w:lineRule="exact"/>
        <w:rPr>
          <w:rFonts w:ascii="Arial" w:cs="Arial" w:eastAsia="Arial" w:hAnsi="Arial"/>
          <w:sz w:val="15"/>
          <w:szCs w:val="15"/>
          <w:color w:val="auto"/>
        </w:rPr>
      </w:pPr>
    </w:p>
    <w:p>
      <w:pPr>
        <w:ind w:right="80" w:firstLine="1193"/>
        <w:spacing w:after="0" w:line="273" w:lineRule="auto"/>
        <w:tabs>
          <w:tab w:leader="none" w:pos="1766" w:val="left"/>
        </w:tabs>
        <w:numPr>
          <w:ilvl w:val="0"/>
          <w:numId w:val="191"/>
        </w:numPr>
        <w:rPr>
          <w:rFonts w:ascii="Arial" w:cs="Arial" w:eastAsia="Arial" w:hAnsi="Arial"/>
          <w:sz w:val="15"/>
          <w:szCs w:val="15"/>
          <w:color w:val="auto"/>
        </w:rPr>
      </w:pPr>
      <w:r>
        <w:rPr>
          <w:rFonts w:ascii="Arial" w:cs="Arial" w:eastAsia="Arial" w:hAnsi="Arial"/>
          <w:sz w:val="15"/>
          <w:szCs w:val="15"/>
          <w:color w:val="auto"/>
        </w:rPr>
        <w:t>if at any time the Common Stock is not listed on any national securities exchange or actively traded in the over-the-counter market, the current fair market value of Common Stock shall be the price per share which the Company could obtain from a willing buyer (not a current employee or director) for shares of Common Stock sold by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for authorized but unissued shares, as determined in good faith by the Board, unless the Company shall become subject to a merger, acquisition or other consolidation pursuant to which the holders of Common Stock receive securities and/or other property in exchange for their Common Stock, in which case the fair market value of Common Stock at the time of such merger, acquisition or other consolidation shall be deemed to be the value of the securities and other property received by the holders of the Common Stock per share of Common Stock pursuant to such merger, acquisition or other consolidation.</w:t>
      </w:r>
    </w:p>
    <w:p>
      <w:pPr>
        <w:sectPr>
          <w:pgSz w:w="11900" w:h="16838" w:orient="portrait"/>
          <w:cols w:equalWidth="0" w:num="1">
            <w:col w:w="11440"/>
          </w:cols>
          <w:pgMar w:left="240" w:top="331" w:right="219" w:bottom="40" w:gutter="0" w:footer="0" w:header="0"/>
        </w:sectPr>
      </w:pPr>
    </w:p>
    <w:bookmarkStart w:id="282" w:name="page283"/>
    <w:bookmarkEnd w:id="282"/>
    <w:p>
      <w:pPr>
        <w:ind w:right="40" w:firstLine="649"/>
        <w:spacing w:after="0" w:line="262" w:lineRule="auto"/>
        <w:tabs>
          <w:tab w:leader="none" w:pos="1200"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Automatic Exercise</w:t>
      </w:r>
      <w:r>
        <w:rPr>
          <w:rFonts w:ascii="Arial" w:cs="Arial" w:eastAsia="Arial" w:hAnsi="Arial"/>
          <w:sz w:val="15"/>
          <w:szCs w:val="15"/>
          <w:color w:val="auto"/>
        </w:rPr>
        <w:t xml:space="preserve">. To the extent this Warrant is not previously exercised as to all Shares subject hereto, and if the Current Market Price of one share of the Common Stock is greater than the Exercise Price then in effect, this Warrant shall be automatically exercised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(even if not surrendered and without any action from any party) effective immediately prior to the earliest of (a) the expiration of this Warrant pursuant to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hereof, (b) a Deemed Liquidation Event (as defined in the Company’s Fourth Amended and Restated Certificate of Incorporation in effect as of the date hereof), or (c) a SRN Optional Conversion Event (as defined in the Company’s Fourth Amended and Restated Certificate of Incorporation as in effect as of the date hereof), in each case pursuant to the net exercise formula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unless the holder of this Warrant shall earlier provide written notice to the Company that the holder of this Warrant desires that this Warrant expire unexercised. To the extent this Warrant or any portion thereof is automatically exercised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the Company agrees to promptly notify the holder of this Warrant of the number of shares of Common Stock, if any, the holder of this Warrant received by reason of such automatic exercise.</w:t>
      </w:r>
    </w:p>
    <w:p>
      <w:pPr>
        <w:spacing w:after="0" w:line="161" w:lineRule="exact"/>
        <w:rPr>
          <w:rFonts w:ascii="Arial" w:cs="Arial" w:eastAsia="Arial" w:hAnsi="Arial"/>
          <w:sz w:val="15"/>
          <w:szCs w:val="15"/>
          <w:color w:val="auto"/>
        </w:rPr>
      </w:pPr>
    </w:p>
    <w:p>
      <w:pPr>
        <w:ind w:right="40" w:firstLine="649"/>
        <w:spacing w:after="0" w:line="284" w:lineRule="auto"/>
        <w:tabs>
          <w:tab w:leader="none" w:pos="1200"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Certificates for Shares</w:t>
      </w:r>
      <w:r>
        <w:rPr>
          <w:rFonts w:ascii="Arial" w:cs="Arial" w:eastAsia="Arial" w:hAnsi="Arial"/>
          <w:sz w:val="14"/>
          <w:szCs w:val="14"/>
          <w:color w:val="auto"/>
        </w:rPr>
        <w:t>. Upon the exercise of the purchase rights evidenced by this Warrant, one or more certificates for the number of Shares so purchased shall be issued as soon as practicable thereafter, and in any event within five (5) days of the delivery of the Notice of Exercise notice and payment therefor; and, unless this Warrant has expired, a new Warrant representing the number of shares (except a remaining fractional share), if any, with respect to which this Warrant shall not then have been exercised shall also be issued to the Holder hereof within such time. Upon exercise, the holder of this Warrant shall for all purposes be deemed to have become the holder of record of the shares of Common Stock issued upon such exercise on the date on which the Warrant was surrendered and payment of the Warrant Price and any applicable taxes was made, irrespective of the date of delivery of such certificate, except that, if the date of such surrender and payment is a date when the stock transfer books of the Company are closed, the Holders shall be deemed to have become the holder of such shares at the close of business on the next succeeding date on which the stock transfer books are open.</w:t>
      </w:r>
    </w:p>
    <w:p>
      <w:pPr>
        <w:spacing w:after="0" w:line="148" w:lineRule="exact"/>
        <w:rPr>
          <w:rFonts w:ascii="Arial" w:cs="Arial" w:eastAsia="Arial" w:hAnsi="Arial"/>
          <w:sz w:val="14"/>
          <w:szCs w:val="14"/>
          <w:color w:val="auto"/>
        </w:rPr>
      </w:pPr>
    </w:p>
    <w:p>
      <w:pPr>
        <w:ind w:right="340" w:firstLine="649"/>
        <w:spacing w:after="0" w:line="327" w:lineRule="auto"/>
        <w:tabs>
          <w:tab w:leader="none" w:pos="1200"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Issuance of Shares</w:t>
      </w:r>
      <w:r>
        <w:rPr>
          <w:rFonts w:ascii="Arial" w:cs="Arial" w:eastAsia="Arial" w:hAnsi="Arial"/>
          <w:sz w:val="14"/>
          <w:szCs w:val="14"/>
          <w:color w:val="auto"/>
        </w:rPr>
        <w:t>. The Company covenants that the Shares, when issued pursuant to the exercise of this Warrant, will be duly and validly issued, fully paid and nonassessable and free from all taxes, liens, and charges with respect to the issuance thereof and will have all of the rights, privileges and preferences of the Common Stock.</w:t>
      </w:r>
    </w:p>
    <w:p>
      <w:pPr>
        <w:spacing w:after="0" w:line="117" w:lineRule="exact"/>
        <w:rPr>
          <w:rFonts w:ascii="Arial" w:cs="Arial" w:eastAsia="Arial" w:hAnsi="Arial"/>
          <w:sz w:val="14"/>
          <w:szCs w:val="14"/>
          <w:color w:val="auto"/>
        </w:rPr>
      </w:pPr>
    </w:p>
    <w:p>
      <w:pPr>
        <w:ind w:right="100" w:firstLine="649"/>
        <w:spacing w:after="0" w:line="289" w:lineRule="auto"/>
        <w:tabs>
          <w:tab w:leader="none" w:pos="1200"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Adjustment of Exercise Price and Number of Shares</w:t>
      </w:r>
      <w:r>
        <w:rPr>
          <w:rFonts w:ascii="Arial" w:cs="Arial" w:eastAsia="Arial" w:hAnsi="Arial"/>
          <w:sz w:val="15"/>
          <w:szCs w:val="15"/>
          <w:color w:val="auto"/>
        </w:rPr>
        <w:t>. The number of and kind of securities purchasable upon exercise of this Warrant and the Exercise Price shall be subject to adjustment from time to time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1193"/>
        <w:spacing w:after="0" w:line="286" w:lineRule="auto"/>
        <w:tabs>
          <w:tab w:leader="none" w:pos="1754"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Subdivisions, Combinations and Other Issuances</w:t>
      </w:r>
      <w:r>
        <w:rPr>
          <w:rFonts w:ascii="Arial" w:cs="Arial" w:eastAsia="Arial" w:hAnsi="Arial"/>
          <w:sz w:val="14"/>
          <w:szCs w:val="14"/>
          <w:color w:val="auto"/>
        </w:rPr>
        <w:t xml:space="preserve">. If the Company shall, from and after the date hereof and at any time prior to the expiration of this Warrant subdivide the outstanding shares of Common Stock, by split-up or otherwise, or combine the outstanding shares of Common Stock, or issue shares of Common Stock as a dividend, the number of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Shares purchasable under this Warrant (as adjusted) shall remain the same. Any adjustment under this </w:t>
      </w:r>
      <w:r>
        <w:rPr>
          <w:rFonts w:ascii="Arial" w:cs="Arial" w:eastAsia="Arial" w:hAnsi="Arial"/>
          <w:sz w:val="14"/>
          <w:szCs w:val="14"/>
          <w:u w:val="single" w:color="auto"/>
          <w:color w:val="auto"/>
        </w:rPr>
        <w:t>Section 8(a)</w:t>
      </w:r>
      <w:r>
        <w:rPr>
          <w:rFonts w:ascii="Arial" w:cs="Arial" w:eastAsia="Arial" w:hAnsi="Arial"/>
          <w:sz w:val="14"/>
          <w:szCs w:val="14"/>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46" w:lineRule="exact"/>
        <w:rPr>
          <w:rFonts w:ascii="Arial" w:cs="Arial" w:eastAsia="Arial" w:hAnsi="Arial"/>
          <w:sz w:val="14"/>
          <w:szCs w:val="14"/>
          <w:color w:val="auto"/>
        </w:rPr>
      </w:pPr>
    </w:p>
    <w:p>
      <w:pPr>
        <w:ind w:firstLine="1193"/>
        <w:spacing w:after="0" w:line="284" w:lineRule="auto"/>
        <w:tabs>
          <w:tab w:leader="none" w:pos="1763"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Reclassifications, Reorganizations, Conversions</w:t>
      </w:r>
      <w:r>
        <w:rPr>
          <w:rFonts w:ascii="Arial" w:cs="Arial" w:eastAsia="Arial" w:hAnsi="Arial"/>
          <w:sz w:val="14"/>
          <w:szCs w:val="14"/>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4"/>
          <w:szCs w:val="14"/>
          <w:u w:val="single" w:color="auto"/>
          <w:color w:val="auto"/>
        </w:rPr>
        <w:t>Section 8(a)</w:t>
      </w:r>
      <w:r>
        <w:rPr>
          <w:rFonts w:ascii="Arial" w:cs="Arial" w:eastAsia="Arial" w:hAnsi="Arial"/>
          <w:sz w:val="14"/>
          <w:szCs w:val="14"/>
          <w:color w:val="auto"/>
        </w:rPr>
        <w:t xml:space="preserve"> above), then the holder of this Warrant shall have the right at any time prior to the expiration of this Warrant to purchase, at a total price equal to that payable upon the exercise of this Warrant, the kind and amount of shares of stock and other securities and property receivable in connection with such reclassification, reorganization, change or conversion by a holder of the same number of Shares as were purchasable by the holder of this Warrant immediately prior to such reclassification, reorganization, change or conversion. In any such case, appropriate provisions shall be made with respect to the rights and interest of the holder of this Warrant so that the provisions hereof shall thereafter be applicable with respect to any shares of stock or other securities and property deliverable upon exercise hereof, and appropriate adjustments shall be made to the Exercise Price per Share payable hereunder, provided the aggregate Exercise Price shall remain the same.</w:t>
      </w:r>
    </w:p>
    <w:p>
      <w:pPr>
        <w:spacing w:after="0" w:line="148" w:lineRule="exact"/>
        <w:rPr>
          <w:rFonts w:ascii="Arial" w:cs="Arial" w:eastAsia="Arial" w:hAnsi="Arial"/>
          <w:sz w:val="14"/>
          <w:szCs w:val="14"/>
          <w:color w:val="auto"/>
        </w:rPr>
      </w:pPr>
    </w:p>
    <w:p>
      <w:pPr>
        <w:jc w:val="both"/>
        <w:ind w:right="360" w:firstLine="1193"/>
        <w:spacing w:after="0" w:line="273" w:lineRule="auto"/>
        <w:tabs>
          <w:tab w:leader="none" w:pos="1766"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Notice of Adjustment</w:t>
      </w:r>
      <w:r>
        <w:rPr>
          <w:rFonts w:ascii="Arial" w:cs="Arial" w:eastAsia="Arial" w:hAnsi="Arial"/>
          <w:sz w:val="15"/>
          <w:szCs w:val="15"/>
          <w:color w:val="auto"/>
        </w:rPr>
        <w:t>. When any adjustment is required to be made in the number or kind of shares purchasable upon exercise of the Warrant, or in the Exercise Price, the Company shall promptly notify the Holder of such event and of the number of Shares or other securities or property thereafter purchasable upon exercise of this Warrant.</w:t>
      </w:r>
    </w:p>
    <w:p>
      <w:pPr>
        <w:spacing w:after="0" w:line="152" w:lineRule="exact"/>
        <w:rPr>
          <w:rFonts w:ascii="Arial" w:cs="Arial" w:eastAsia="Arial" w:hAnsi="Arial"/>
          <w:sz w:val="15"/>
          <w:szCs w:val="15"/>
          <w:color w:val="auto"/>
        </w:rPr>
      </w:pPr>
    </w:p>
    <w:p>
      <w:pPr>
        <w:ind w:right="240" w:firstLine="1193"/>
        <w:spacing w:after="0" w:line="265" w:lineRule="auto"/>
        <w:tabs>
          <w:tab w:leader="none" w:pos="1763"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Other Action Affecting Shares</w:t>
      </w:r>
      <w:r>
        <w:rPr>
          <w:rFonts w:ascii="Arial" w:cs="Arial" w:eastAsia="Arial" w:hAnsi="Arial"/>
          <w:sz w:val="15"/>
          <w:szCs w:val="15"/>
          <w:color w:val="auto"/>
        </w:rPr>
        <w:t xml:space="preserve">. In the event that the Company shall make a distribution in respect of the outstanding shares of Common Stock that is not elsewhere described in this </w:t>
      </w:r>
      <w:r>
        <w:rPr>
          <w:rFonts w:ascii="Arial" w:cs="Arial" w:eastAsia="Arial" w:hAnsi="Arial"/>
          <w:sz w:val="15"/>
          <w:szCs w:val="15"/>
          <w:u w:val="single" w:color="auto"/>
          <w:color w:val="auto"/>
        </w:rPr>
        <w:t>Section 8</w:t>
      </w:r>
      <w:r>
        <w:rPr>
          <w:rFonts w:ascii="Arial" w:cs="Arial" w:eastAsia="Arial" w:hAnsi="Arial"/>
          <w:sz w:val="15"/>
          <w:szCs w:val="15"/>
          <w:color w:val="auto"/>
        </w:rPr>
        <w:t>, the Holder shall be entitled, upon exercise of this Warrant, to receive from the Company its pro rata share of any such distribution such that the Holder receives, upon exercise of this Warrant, the same type and amount of property which such Holder would have received if such Holder had exercised this Warrant immediately prior to such distribution or the date the Company shall take a record of the holders of its shares for purposes of such distribution, as applicable, and, from and after the date of such distribution, the Company shall hold and set aside (or cause to be held and set aside in a commercially reasonable manner) an amount of such property equal to the Holder’s pro rata portion thereof for distribution to the Holder pursuant hereto. The Company shall provide the Holder with at least ten (10) days’ prior written notice of the declaration or payment of any such distribution in respect of the outstanding shares of Common Stock.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40" w:firstLine="637"/>
        <w:spacing w:after="0" w:line="289" w:lineRule="auto"/>
        <w:tabs>
          <w:tab w:leader="none" w:pos="1189" w:val="left"/>
        </w:tabs>
        <w:numPr>
          <w:ilvl w:val="0"/>
          <w:numId w:val="194"/>
        </w:numPr>
        <w:rPr>
          <w:rFonts w:ascii="Arial" w:cs="Arial" w:eastAsia="Arial" w:hAnsi="Arial"/>
          <w:sz w:val="15"/>
          <w:szCs w:val="15"/>
          <w:color w:val="auto"/>
        </w:rPr>
      </w:pPr>
      <w:r>
        <w:rPr>
          <w:rFonts w:ascii="Arial" w:cs="Arial" w:eastAsia="Arial" w:hAnsi="Arial"/>
          <w:sz w:val="15"/>
          <w:szCs w:val="15"/>
          <w:u w:val="single" w:color="auto"/>
          <w:color w:val="auto"/>
        </w:rPr>
        <w:t>No Fractional Shares or Scrip</w:t>
      </w:r>
      <w:r>
        <w:rPr>
          <w:rFonts w:ascii="Arial" w:cs="Arial" w:eastAsia="Arial" w:hAnsi="Arial"/>
          <w:sz w:val="15"/>
          <w:szCs w:val="15"/>
          <w:color w:val="auto"/>
        </w:rPr>
        <w:t>. No fractional shares or scrip representing fractional shares shall be issued upon the exercise of this Warrant, but in lieu of such fractional shares the Company shall make a cash payment therefor on the basis of the fair market value thereof then in effect.</w:t>
      </w:r>
    </w:p>
    <w:p>
      <w:pPr>
        <w:spacing w:after="0" w:line="140" w:lineRule="exact"/>
        <w:rPr>
          <w:rFonts w:ascii="Arial" w:cs="Arial" w:eastAsia="Arial" w:hAnsi="Arial"/>
          <w:sz w:val="15"/>
          <w:szCs w:val="15"/>
          <w:color w:val="auto"/>
        </w:rPr>
      </w:pPr>
    </w:p>
    <w:p>
      <w:pPr>
        <w:ind w:left="1180" w:hanging="520"/>
        <w:spacing w:after="0"/>
        <w:tabs>
          <w:tab w:leader="none" w:pos="1180"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Restrictive Legend</w:t>
      </w:r>
      <w:r>
        <w:rPr>
          <w:rFonts w:ascii="Arial" w:cs="Arial" w:eastAsia="Arial" w:hAnsi="Arial"/>
          <w:sz w:val="15"/>
          <w:szCs w:val="15"/>
          <w:color w:val="auto"/>
        </w:rPr>
        <w:t>.</w:t>
      </w:r>
    </w:p>
    <w:p>
      <w:pPr>
        <w:spacing w:after="0" w:line="198" w:lineRule="exact"/>
        <w:rPr>
          <w:sz w:val="20"/>
          <w:szCs w:val="20"/>
          <w:color w:val="auto"/>
        </w:rPr>
      </w:pPr>
    </w:p>
    <w:p>
      <w:pPr>
        <w:ind w:right="40" w:firstLine="645"/>
        <w:spacing w:after="0" w:line="289" w:lineRule="auto"/>
        <w:rPr>
          <w:sz w:val="20"/>
          <w:szCs w:val="20"/>
          <w:color w:val="auto"/>
        </w:rPr>
      </w:pPr>
      <w:r>
        <w:rPr>
          <w:rFonts w:ascii="Arial" w:cs="Arial" w:eastAsia="Arial" w:hAnsi="Arial"/>
          <w:sz w:val="15"/>
          <w:szCs w:val="15"/>
          <w:color w:val="auto"/>
        </w:rPr>
        <w:t>The Shares issuable upon exercise of this Warrant (unless registered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shall be stamped or imprinted with a legend in substantially the following form:</w:t>
      </w:r>
    </w:p>
    <w:p>
      <w:pPr>
        <w:spacing w:after="0" w:line="141" w:lineRule="exact"/>
        <w:rPr>
          <w:sz w:val="20"/>
          <w:szCs w:val="20"/>
          <w:color w:val="auto"/>
        </w:rPr>
      </w:pPr>
    </w:p>
    <w:p>
      <w:pPr>
        <w:ind w:left="1200" w:right="200"/>
        <w:spacing w:after="0" w:line="268" w:lineRule="auto"/>
        <w:rPr>
          <w:sz w:val="20"/>
          <w:szCs w:val="20"/>
          <w:color w:val="auto"/>
        </w:rPr>
      </w:pPr>
      <w:r>
        <w:rPr>
          <w:rFonts w:ascii="Arial" w:cs="Arial" w:eastAsia="Arial" w:hAnsi="Arial"/>
          <w:sz w:val="15"/>
          <w:szCs w:val="15"/>
          <w:color w:val="auto"/>
        </w:rPr>
        <w:t>THESE SECURITIES HAVE NOT BEEN REGISTERED OR QUALIFIED UNDER THE SECURITIES ACT OF 1933, AS AMENDED, OR APPLICABLE STATE SECURITIES LAWS AND MAY NOT BE TRANSFERRED OR OTHERWISE DISPOSED OF UNLESS THEY HAVE BEEN SO REGISTERED AND QUALIFIED UNDER SUCH ACT AND ALL SUCH APPLICABLE LAWS OR AN OPINION OF COUNSEL, SATISFACTORY TO THE COMPANY, THAT REGISTRATION AND QUALIFICATION IS NOT REQUIRED IS FURNISHED TO THE COMPANY.</w:t>
      </w:r>
    </w:p>
    <w:p>
      <w:pPr>
        <w:spacing w:after="0" w:line="156" w:lineRule="exact"/>
        <w:rPr>
          <w:sz w:val="20"/>
          <w:szCs w:val="20"/>
          <w:color w:val="auto"/>
        </w:rPr>
      </w:pPr>
    </w:p>
    <w:p>
      <w:pPr>
        <w:ind w:right="40" w:firstLine="637"/>
        <w:spacing w:after="0" w:line="280" w:lineRule="auto"/>
        <w:tabs>
          <w:tab w:leader="none" w:pos="1191" w:val="left"/>
        </w:tabs>
        <w:numPr>
          <w:ilvl w:val="0"/>
          <w:numId w:val="195"/>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Warrant shall not, without the prior written consent of the Company, be assignable or transferable by the Holder, either voluntarily or by operation of law, and shall be exercisable only by the Holder; provided, however, that the Holder may assign this Warrant to any Affiliate without the consent of any other party. For this purpose, “Affiliate” shall mean any person or entity who is an “affiliate” as defined in Rule 12b-2 of the General Rules and Regulations under the Securities Exchange Act of 1934, as amended, or any wholly-owned subsidiary of a Purchaser or any partnership which is (or may be in the future) established by a Purchaser and which is managed by such Purchaser’s Affiliate. Upon surrender of this Warrant to the Company or, if the Company so instructs the Holder in writing, at the office of its stock transfer agent, if any, with assignment documentation duly executed and funds sufficient to pay any transfer tax, and, provided that the Holder complies with the provisions of this Warrant, the Company shall, without charge, execute and deliver a new Warrant in the name of the permitted assignee named in such instrument of assignment, and this Warrant shall promptly be canceled. Any transferee of this Warrant, by acceptance thereof, agrees to assume all of the obligations of the Holder and to be bound by all of the terms and provisions of this Warrant. Prior to any proposed transfer of this Warrant, the Holder shall give written notice to the Company of its intention to effect such transfer, identifying the transferee and describing the manner of the proposed transfer and, if requested by the Company, accompanied by (a) an investment letter executed by the transferee in form and substance reasonably acceptable to the Company and (b) an opinion of counsel satisfactory to the Company to the effect that the proposed transfer may be effected without registration under the Securities Act and without registration or qualification under applicable state or other securities laws. Any attempted assignment, transfer, pledge, hypothecation or other disposition of this Warrant in any way contrary to the provisions of this Warrant, or any levy of execution, attachment or other process attempted upon the Warrant, shall be void and without effect.</w:t>
      </w:r>
    </w:p>
    <w:p>
      <w:pPr>
        <w:sectPr>
          <w:pgSz w:w="11900" w:h="16838" w:orient="portrait"/>
          <w:cols w:equalWidth="0" w:num="1">
            <w:col w:w="11440"/>
          </w:cols>
          <w:pgMar w:left="240" w:top="129" w:right="219" w:bottom="116"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116" w:gutter="0" w:footer="0" w:header="0"/>
          <w:type w:val="continuous"/>
        </w:sectPr>
      </w:pPr>
    </w:p>
    <w:bookmarkStart w:id="283" w:name="page284"/>
    <w:bookmarkEnd w:id="283"/>
    <w:p>
      <w:pPr>
        <w:ind w:right="80" w:firstLine="637"/>
        <w:spacing w:after="0" w:line="264" w:lineRule="auto"/>
        <w:tabs>
          <w:tab w:leader="none" w:pos="1185"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Rights of Stockholders</w:t>
      </w:r>
      <w:r>
        <w:rPr>
          <w:rFonts w:ascii="Arial" w:cs="Arial" w:eastAsia="Arial" w:hAnsi="Arial"/>
          <w:sz w:val="15"/>
          <w:szCs w:val="15"/>
          <w:color w:val="auto"/>
        </w:rPr>
        <w:t xml:space="preserve">. Except as expressly set forth in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no holder of this Warrant shall be entitled, as a Warrant holder, to vote or receive dividends or be deemed the holder of the Shares or any other securities of the Company which may at any time be issuable on the exercise hereof for any purpose, nor shall anything contained herein be construed to confer upon the holder of this Warrant, as such, any of the rights of a stockholder of the Company or any right to vote for the election of directors or upon any matter submitted to stockholders at any meeting thereof, or to give or withhold consent to any corporate action (whether upon any recapitalization, issuance of stock, reclassification of stock, change of par value, consolidation, merger, conveyance, or otherwise) or to receive notice of meetings, or to receive dividends or subscription rights until the Warrant shall have been exercised.</w:t>
      </w:r>
    </w:p>
    <w:p>
      <w:pPr>
        <w:spacing w:after="0" w:line="158" w:lineRule="exact"/>
        <w:rPr>
          <w:rFonts w:ascii="Arial" w:cs="Arial" w:eastAsia="Arial" w:hAnsi="Arial"/>
          <w:sz w:val="15"/>
          <w:szCs w:val="15"/>
          <w:color w:val="auto"/>
        </w:rPr>
      </w:pPr>
    </w:p>
    <w:p>
      <w:pPr>
        <w:ind w:left="1180" w:hanging="543"/>
        <w:spacing w:after="0"/>
        <w:tabs>
          <w:tab w:leader="none" w:pos="1180"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Expiration of Warrant</w:t>
      </w:r>
      <w:r>
        <w:rPr>
          <w:rFonts w:ascii="Arial" w:cs="Arial" w:eastAsia="Arial" w:hAnsi="Arial"/>
          <w:sz w:val="14"/>
          <w:szCs w:val="14"/>
          <w:color w:val="auto"/>
        </w:rPr>
        <w:t>. This Warrant shall expire and shall no longer be exercisable at 5:00 p.m., local time in Boston, Massachusetts, on the 4th anniversary of the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date hereof.</w:t>
      </w:r>
    </w:p>
    <w:p>
      <w:pPr>
        <w:spacing w:after="0" w:line="187" w:lineRule="exact"/>
        <w:rPr>
          <w:rFonts w:ascii="Arial" w:cs="Arial" w:eastAsia="Arial" w:hAnsi="Arial"/>
          <w:sz w:val="14"/>
          <w:szCs w:val="14"/>
          <w:color w:val="auto"/>
        </w:rPr>
      </w:pPr>
    </w:p>
    <w:p>
      <w:pPr>
        <w:ind w:left="1180" w:hanging="543"/>
        <w:spacing w:after="0"/>
        <w:tabs>
          <w:tab w:leader="none" w:pos="1180"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required or permitted under this Warrant shall be in writing and delivered in accordance with the Purchase Agreement.</w:t>
      </w:r>
    </w:p>
    <w:p>
      <w:pPr>
        <w:spacing w:after="0" w:line="198" w:lineRule="exact"/>
        <w:rPr>
          <w:rFonts w:ascii="Arial" w:cs="Arial" w:eastAsia="Arial" w:hAnsi="Arial"/>
          <w:sz w:val="15"/>
          <w:szCs w:val="15"/>
          <w:color w:val="auto"/>
        </w:rPr>
      </w:pPr>
    </w:p>
    <w:p>
      <w:pPr>
        <w:ind w:right="100" w:firstLine="637"/>
        <w:spacing w:after="0" w:line="289" w:lineRule="auto"/>
        <w:tabs>
          <w:tab w:leader="none" w:pos="1197"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Warrant and all actions arising out of or in connection with this Agreement shall be governed by and construed in accordance with the laws of The Commonwealth of Massachusetts, without regard to principles of conflicts of law.</w:t>
      </w:r>
    </w:p>
    <w:p>
      <w:pPr>
        <w:spacing w:after="0" w:line="140" w:lineRule="exact"/>
        <w:rPr>
          <w:rFonts w:ascii="Arial" w:cs="Arial" w:eastAsia="Arial" w:hAnsi="Arial"/>
          <w:sz w:val="15"/>
          <w:szCs w:val="15"/>
          <w:color w:val="auto"/>
        </w:rPr>
      </w:pPr>
    </w:p>
    <w:p>
      <w:pPr>
        <w:ind w:right="160" w:firstLine="637"/>
        <w:spacing w:after="0" w:line="289" w:lineRule="auto"/>
        <w:tabs>
          <w:tab w:leader="none" w:pos="1185"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Rights and Obligations Survive Exercise of Warrant</w:t>
      </w:r>
      <w:r>
        <w:rPr>
          <w:rFonts w:ascii="Arial" w:cs="Arial" w:eastAsia="Arial" w:hAnsi="Arial"/>
          <w:sz w:val="15"/>
          <w:szCs w:val="15"/>
          <w:color w:val="auto"/>
        </w:rPr>
        <w:t>. Unless otherwise provided herein, the rights and obligations of the Company and of the holder of this Warrant shall survive the exercise of this Warrant.</w:t>
      </w:r>
    </w:p>
    <w:p>
      <w:pPr>
        <w:spacing w:after="0" w:line="140" w:lineRule="exact"/>
        <w:rPr>
          <w:rFonts w:ascii="Arial" w:cs="Arial" w:eastAsia="Arial" w:hAnsi="Arial"/>
          <w:sz w:val="15"/>
          <w:szCs w:val="15"/>
          <w:color w:val="auto"/>
        </w:rPr>
      </w:pPr>
    </w:p>
    <w:p>
      <w:pPr>
        <w:ind w:right="180" w:firstLine="637"/>
        <w:spacing w:after="0" w:line="289" w:lineRule="auto"/>
        <w:tabs>
          <w:tab w:leader="none" w:pos="1185"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Facsimile Signatures</w:t>
      </w:r>
      <w:r>
        <w:rPr>
          <w:rFonts w:ascii="Arial" w:cs="Arial" w:eastAsia="Arial" w:hAnsi="Arial"/>
          <w:sz w:val="15"/>
          <w:szCs w:val="15"/>
          <w:color w:val="auto"/>
        </w:rPr>
        <w:t>. A signature of any party to this Warrant transmitted by facsimile, electronic mail (including pdf) or other electronic means is deemed to have been duly and validly delivered and be valid and effective for all purposes.</w:t>
      </w:r>
    </w:p>
    <w:p>
      <w:pPr>
        <w:spacing w:after="0" w:line="140" w:lineRule="exact"/>
        <w:rPr>
          <w:rFonts w:ascii="Arial" w:cs="Arial" w:eastAsia="Arial" w:hAnsi="Arial"/>
          <w:sz w:val="15"/>
          <w:szCs w:val="15"/>
          <w:color w:val="auto"/>
        </w:rPr>
      </w:pPr>
    </w:p>
    <w:p>
      <w:pPr>
        <w:ind w:firstLine="637"/>
        <w:spacing w:after="0" w:line="289" w:lineRule="auto"/>
        <w:tabs>
          <w:tab w:leader="none" w:pos="1197"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Except as otherwise expressly set forth in this Warrant, any term of this Warrant may be amended or waived (either retroactively or prospectively) with the written consent of the Company and the holders of Warrants issued in connection with the Purchase Agreement representing at least 66.67% of the aggregate number of Shares then issuable upon exercise of all such Warrants issued in connection with the Purchase Agreement (the “</w:t>
      </w:r>
      <w:r>
        <w:rPr>
          <w:rFonts w:ascii="Arial" w:cs="Arial" w:eastAsia="Arial" w:hAnsi="Arial"/>
          <w:sz w:val="14"/>
          <w:szCs w:val="14"/>
          <w:u w:val="single" w:color="auto"/>
          <w:color w:val="auto"/>
        </w:rPr>
        <w:t>Required Holders</w:t>
      </w:r>
      <w:r>
        <w:rPr>
          <w:rFonts w:ascii="Arial" w:cs="Arial" w:eastAsia="Arial" w:hAnsi="Arial"/>
          <w:sz w:val="14"/>
          <w:szCs w:val="14"/>
          <w:color w:val="auto"/>
        </w:rPr>
        <w:t xml:space="preserve">”); provided that all holders of Warrants shall have been provided notice at least ten business days in advance of the effective date of any such amendment or waiver. Any amendment or waiver effected in accordance with this </w:t>
      </w:r>
      <w:r>
        <w:rPr>
          <w:rFonts w:ascii="Arial" w:cs="Arial" w:eastAsia="Arial" w:hAnsi="Arial"/>
          <w:sz w:val="14"/>
          <w:szCs w:val="14"/>
          <w:u w:val="single" w:color="auto"/>
          <w:color w:val="auto"/>
        </w:rPr>
        <w:t>Section 18</w:t>
      </w:r>
      <w:r>
        <w:rPr>
          <w:rFonts w:ascii="Arial" w:cs="Arial" w:eastAsia="Arial" w:hAnsi="Arial"/>
          <w:sz w:val="14"/>
          <w:szCs w:val="14"/>
          <w:color w:val="auto"/>
        </w:rPr>
        <w:t xml:space="preserve"> shall be binding upon the Holder, each holder of a Warrant issued in connection with the Purchase Agreement and the Company.</w:t>
      </w:r>
    </w:p>
    <w:p>
      <w:pPr>
        <w:spacing w:after="0" w:line="142" w:lineRule="exact"/>
        <w:rPr>
          <w:rFonts w:ascii="Arial" w:cs="Arial" w:eastAsia="Arial" w:hAnsi="Arial"/>
          <w:sz w:val="14"/>
          <w:szCs w:val="14"/>
          <w:color w:val="auto"/>
        </w:rPr>
      </w:pPr>
    </w:p>
    <w:p>
      <w:pPr>
        <w:ind w:firstLine="637"/>
        <w:spacing w:after="0" w:line="327" w:lineRule="auto"/>
        <w:tabs>
          <w:tab w:leader="none" w:pos="1185"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No waiver of any provision or consent to any action shall constitute a waiver of any other provision or consent to any other action, whether or not similar. No waiver or consent shall constitute a continuing waiver or consent or commit a party to provide a waiver in the future except to the extent specifically set forth in writing.</w:t>
      </w:r>
    </w:p>
    <w:p>
      <w:pPr>
        <w:spacing w:after="0" w:line="117" w:lineRule="exact"/>
        <w:rPr>
          <w:rFonts w:ascii="Arial" w:cs="Arial" w:eastAsia="Arial" w:hAnsi="Arial"/>
          <w:sz w:val="14"/>
          <w:szCs w:val="14"/>
          <w:color w:val="auto"/>
        </w:rPr>
      </w:pPr>
    </w:p>
    <w:p>
      <w:pPr>
        <w:ind w:left="5680" w:hanging="5043"/>
        <w:spacing w:after="0" w:line="547" w:lineRule="auto"/>
        <w:tabs>
          <w:tab w:leader="none" w:pos="1182"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Lock-up</w:t>
      </w:r>
      <w:r>
        <w:rPr>
          <w:rFonts w:ascii="Arial" w:cs="Arial" w:eastAsia="Arial" w:hAnsi="Arial"/>
          <w:sz w:val="15"/>
          <w:szCs w:val="15"/>
          <w:color w:val="auto"/>
        </w:rPr>
        <w:t>. The Holder agrees that upon the request of the Company or the managing underwriter(s) of any offering of securities of the Company that is the subject of 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285990"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6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registration statement filed under the Securities Act, for a period of time (not to exceed 180 days, plus such additional number of days (not to exceed 35) as may reasonably be requested to enable the underwriter(s) of such offering to comply with NASD Rule 2711(f) of the Financial Industry Regulatory Authority Manual or any amendment or successor thereto) from the effective date of the registration statement under the Act for such offering, the Holder will not sell, make any short sale of, loan, grant any option for the purchase of, or otherwise dispose of any Shares, or any shares of the Company’s capital stock into which any such Shares may be converted or exchanged, without the prior written consent of the Company and such underwriters.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WITNESS WHEREOF, the parties hereto have caused this Warrant to be duly executed and delivered by their proper and duly authorized officers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above.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-108585</wp:posOffset>
            </wp:positionV>
            <wp:extent cx="3324225"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5"/>
          <w:szCs w:val="15"/>
          <w:color w:val="auto"/>
        </w:rPr>
        <w:t>Title: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HOLDER</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333121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331210" cy="762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EXHIBIT A</w:t>
            </w:r>
          </w:p>
        </w:tc>
        <w:tc>
          <w:tcPr>
            <w:tcW w:w="760" w:type="dxa"/>
            <w:vAlign w:val="bottom"/>
            <w:gridSpan w:val="2"/>
          </w:tcPr>
          <w:p>
            <w:pPr>
              <w:spacing w:after="0"/>
              <w:rPr>
                <w:sz w:val="14"/>
                <w:szCs w:val="14"/>
                <w:color w:val="auto"/>
              </w:rPr>
            </w:pPr>
          </w:p>
        </w:tc>
        <w:tc>
          <w:tcPr>
            <w:tcW w:w="3120" w:type="dxa"/>
            <w:vAlign w:val="bottom"/>
          </w:tcPr>
          <w:p>
            <w:pPr>
              <w:spacing w:after="0"/>
              <w:rPr>
                <w:sz w:val="14"/>
                <w:szCs w:val="14"/>
                <w:color w:val="auto"/>
              </w:rPr>
            </w:pPr>
          </w:p>
        </w:tc>
      </w:tr>
      <w:tr>
        <w:trPr>
          <w:trHeight w:val="351"/>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40" w:type="dxa"/>
            <w:vAlign w:val="bottom"/>
            <w:gridSpan w:val="5"/>
          </w:tcPr>
          <w:p>
            <w:pPr>
              <w:jc w:val="center"/>
              <w:ind w:left="123"/>
              <w:spacing w:after="0"/>
              <w:rPr>
                <w:sz w:val="20"/>
                <w:szCs w:val="20"/>
                <w:color w:val="auto"/>
              </w:rPr>
            </w:pPr>
            <w:r>
              <w:rPr>
                <w:rFonts w:ascii="Arial" w:cs="Arial" w:eastAsia="Arial" w:hAnsi="Arial"/>
                <w:sz w:val="15"/>
                <w:szCs w:val="15"/>
                <w:b w:val="1"/>
                <w:bCs w:val="1"/>
                <w:color w:val="auto"/>
              </w:rPr>
              <w:t>NOTICE OF EXERCISE</w:t>
            </w:r>
          </w:p>
        </w:tc>
        <w:tc>
          <w:tcPr>
            <w:tcW w:w="3120" w:type="dxa"/>
            <w:vAlign w:val="bottom"/>
          </w:tcPr>
          <w:p>
            <w:pPr>
              <w:spacing w:after="0"/>
              <w:rPr>
                <w:sz w:val="24"/>
                <w:szCs w:val="24"/>
                <w:color w:val="auto"/>
              </w:rPr>
            </w:pPr>
          </w:p>
        </w:tc>
      </w:tr>
      <w:tr>
        <w:trPr>
          <w:trHeight w:val="375"/>
        </w:trPr>
        <w:tc>
          <w:tcPr>
            <w:tcW w:w="840" w:type="dxa"/>
            <w:vAlign w:val="bottom"/>
          </w:tcPr>
          <w:p>
            <w:pPr>
              <w:jc w:val="right"/>
              <w:ind w:right="523"/>
              <w:spacing w:after="0"/>
              <w:rPr>
                <w:sz w:val="20"/>
                <w:szCs w:val="20"/>
                <w:color w:val="auto"/>
              </w:rPr>
            </w:pPr>
            <w:r>
              <w:rPr>
                <w:rFonts w:ascii="Arial" w:cs="Arial" w:eastAsia="Arial" w:hAnsi="Arial"/>
                <w:sz w:val="15"/>
                <w:szCs w:val="15"/>
                <w:color w:val="auto"/>
                <w:w w:val="87"/>
              </w:rPr>
              <w:t>TO:</w:t>
            </w:r>
          </w:p>
        </w:tc>
        <w:tc>
          <w:tcPr>
            <w:tcW w:w="3500" w:type="dxa"/>
            <w:vAlign w:val="bottom"/>
          </w:tcPr>
          <w:p>
            <w:pPr>
              <w:ind w:left="80"/>
              <w:spacing w:after="0"/>
              <w:rPr>
                <w:sz w:val="20"/>
                <w:szCs w:val="20"/>
                <w:color w:val="auto"/>
              </w:rPr>
            </w:pPr>
            <w:r>
              <w:rPr>
                <w:rFonts w:ascii="Arial" w:cs="Arial" w:eastAsia="Arial" w:hAnsi="Arial"/>
                <w:sz w:val="15"/>
                <w:szCs w:val="15"/>
                <w:color w:val="auto"/>
              </w:rPr>
              <w:t>Selecta Biosciences, Inc.</w:t>
            </w:r>
          </w:p>
        </w:tc>
        <w:tc>
          <w:tcPr>
            <w:tcW w:w="5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85"/>
        </w:trPr>
        <w:tc>
          <w:tcPr>
            <w:tcW w:w="84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5"/>
                <w:szCs w:val="15"/>
                <w:color w:val="auto"/>
              </w:rPr>
              <w:t>480 Arsenal Street, Building One</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5"/>
        </w:trPr>
        <w:tc>
          <w:tcPr>
            <w:tcW w:w="84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5"/>
                <w:szCs w:val="15"/>
                <w:color w:val="auto"/>
              </w:rPr>
              <w:t>Watertown, Massachusetts 02472</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96"/>
        </w:trPr>
        <w:tc>
          <w:tcPr>
            <w:tcW w:w="840" w:type="dxa"/>
            <w:vAlign w:val="bottom"/>
          </w:tcPr>
          <w:p>
            <w:pPr>
              <w:spacing w:after="0"/>
              <w:rPr>
                <w:sz w:val="17"/>
                <w:szCs w:val="17"/>
                <w:color w:val="auto"/>
              </w:rPr>
            </w:pPr>
          </w:p>
        </w:tc>
        <w:tc>
          <w:tcPr>
            <w:tcW w:w="3500" w:type="dxa"/>
            <w:vAlign w:val="bottom"/>
          </w:tcPr>
          <w:p>
            <w:pPr>
              <w:ind w:left="80"/>
              <w:spacing w:after="0"/>
              <w:rPr>
                <w:sz w:val="20"/>
                <w:szCs w:val="20"/>
                <w:color w:val="auto"/>
              </w:rPr>
            </w:pPr>
            <w:r>
              <w:rPr>
                <w:rFonts w:ascii="Arial" w:cs="Arial" w:eastAsia="Arial" w:hAnsi="Arial"/>
                <w:sz w:val="15"/>
                <w:szCs w:val="15"/>
                <w:color w:val="auto"/>
              </w:rPr>
              <w:t>Attention: President</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371"/>
        </w:trPr>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3500" w:type="dxa"/>
            <w:vAlign w:val="bottom"/>
          </w:tcPr>
          <w:p>
            <w:pPr>
              <w:ind w:left="360"/>
              <w:spacing w:after="0"/>
              <w:rPr>
                <w:sz w:val="20"/>
                <w:szCs w:val="20"/>
                <w:color w:val="auto"/>
              </w:rPr>
            </w:pPr>
            <w:r>
              <w:rPr>
                <w:rFonts w:ascii="Arial" w:cs="Arial" w:eastAsia="Arial" w:hAnsi="Arial"/>
                <w:sz w:val="15"/>
                <w:szCs w:val="15"/>
                <w:color w:val="auto"/>
              </w:rPr>
              <w:t>The undersigned hereby elects to purchase</w:t>
            </w:r>
          </w:p>
        </w:tc>
        <w:tc>
          <w:tcPr>
            <w:tcW w:w="520" w:type="dxa"/>
            <w:vAlign w:val="bottom"/>
          </w:tcPr>
          <w:p>
            <w:pPr>
              <w:spacing w:after="0"/>
              <w:rPr>
                <w:sz w:val="24"/>
                <w:szCs w:val="24"/>
                <w:color w:val="auto"/>
              </w:rPr>
            </w:pPr>
          </w:p>
        </w:tc>
        <w:tc>
          <w:tcPr>
            <w:tcW w:w="2020" w:type="dxa"/>
            <w:vAlign w:val="bottom"/>
            <w:gridSpan w:val="4"/>
          </w:tcPr>
          <w:p>
            <w:pPr>
              <w:ind w:left="340"/>
              <w:spacing w:after="0"/>
              <w:rPr>
                <w:sz w:val="20"/>
                <w:szCs w:val="20"/>
                <w:color w:val="auto"/>
              </w:rPr>
            </w:pPr>
            <w:r>
              <w:rPr>
                <w:rFonts w:ascii="Arial" w:cs="Arial" w:eastAsia="Arial" w:hAnsi="Arial"/>
                <w:sz w:val="15"/>
                <w:szCs w:val="15"/>
                <w:color w:val="auto"/>
              </w:rPr>
              <w:t>shares of</w:t>
            </w:r>
          </w:p>
        </w:tc>
        <w:tc>
          <w:tcPr>
            <w:tcW w:w="3120" w:type="dxa"/>
            <w:vAlign w:val="bottom"/>
          </w:tcPr>
          <w:p>
            <w:pPr>
              <w:ind w:left="300"/>
              <w:spacing w:after="0"/>
              <w:rPr>
                <w:sz w:val="20"/>
                <w:szCs w:val="20"/>
                <w:color w:val="auto"/>
              </w:rPr>
            </w:pPr>
            <w:r>
              <w:rPr>
                <w:rFonts w:ascii="Arial" w:cs="Arial" w:eastAsia="Arial" w:hAnsi="Arial"/>
                <w:sz w:val="15"/>
                <w:szCs w:val="15"/>
                <w:color w:val="auto"/>
                <w:w w:val="91"/>
              </w:rPr>
              <w:t>pursuant to the terms of the attached Warrant.</w:t>
            </w:r>
          </w:p>
        </w:tc>
      </w:tr>
    </w:tbl>
    <w:p>
      <w:pPr>
        <w:spacing w:after="0" w:line="175" w:lineRule="exact"/>
        <w:rPr>
          <w:sz w:val="20"/>
          <w:szCs w:val="20"/>
          <w:color w:val="auto"/>
        </w:rPr>
      </w:pPr>
    </w:p>
    <w:p>
      <w:pPr>
        <w:ind w:left="1200" w:hanging="540"/>
        <w:spacing w:after="0"/>
        <w:tabs>
          <w:tab w:leader="none" w:pos="12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Method of Exercise (Please check the applicable blank):</w:t>
      </w:r>
    </w:p>
    <w:p>
      <w:pPr>
        <w:spacing w:after="0" w:line="198" w:lineRule="exact"/>
        <w:rPr>
          <w:sz w:val="20"/>
          <w:szCs w:val="20"/>
          <w:color w:val="auto"/>
        </w:rPr>
      </w:pPr>
    </w:p>
    <w:p>
      <w:pPr>
        <w:ind w:left="1800" w:right="340" w:hanging="562"/>
        <w:spacing w:after="0" w:line="289" w:lineRule="auto"/>
        <w:tabs>
          <w:tab w:leader="none" w:pos="1738"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The undersigned elects to exercise the attached Warrant by means of a cash payment, and tenders herewith payment in full for the purchase price of the shares being purchased, together with all applicable transfer taxes, if any.</w:t>
      </w:r>
    </w:p>
    <w:p>
      <w:pPr>
        <w:sectPr>
          <w:pgSz w:w="11900" w:h="16838" w:orient="portrait"/>
          <w:cols w:equalWidth="0" w:num="1">
            <w:col w:w="11420"/>
          </w:cols>
          <w:pgMar w:left="240" w:top="314" w:right="239" w:bottom="0" w:gutter="0" w:footer="0" w:header="0"/>
        </w:sectPr>
      </w:pPr>
    </w:p>
    <w:bookmarkStart w:id="284" w:name="page285"/>
    <w:bookmarkEnd w:id="284"/>
    <w:p>
      <w:pPr>
        <w:ind w:left="1760" w:hanging="502"/>
        <w:spacing w:after="0"/>
        <w:tabs>
          <w:tab w:leader="none" w:pos="176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undersigned elects to exercise the attached Warrant by means of the net exercise provisions of Section 4 of the Warrant.</w:t>
      </w:r>
    </w:p>
    <w:p>
      <w:pPr>
        <w:spacing w:after="0" w:line="198" w:lineRule="exact"/>
        <w:rPr>
          <w:rFonts w:ascii="Arial" w:cs="Arial" w:eastAsia="Arial" w:hAnsi="Arial"/>
          <w:sz w:val="15"/>
          <w:szCs w:val="15"/>
          <w:color w:val="auto"/>
        </w:rPr>
      </w:pPr>
    </w:p>
    <w:p>
      <w:pPr>
        <w:ind w:left="1200" w:hanging="520"/>
        <w:spacing w:after="0"/>
        <w:tabs>
          <w:tab w:leader="none" w:pos="120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said Shares in the name of the undersigned or in such other name as is specified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2"/>
          </w:tcPr>
          <w:p>
            <w:pPr>
              <w:jc w:val="center"/>
              <w:ind w:right="2423"/>
              <w:spacing w:after="0"/>
              <w:rPr>
                <w:sz w:val="20"/>
                <w:szCs w:val="20"/>
                <w:color w:val="auto"/>
              </w:rPr>
            </w:pPr>
            <w:r>
              <w:rPr>
                <w:rFonts w:ascii="Arial" w:cs="Arial" w:eastAsia="Arial" w:hAnsi="Arial"/>
                <w:sz w:val="15"/>
                <w:szCs w:val="15"/>
                <w:color w:val="auto"/>
                <w:w w:val="91"/>
              </w:rPr>
              <w:t>(Name)</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6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240" w:type="dxa"/>
            <w:vAlign w:val="bottom"/>
            <w:gridSpan w:val="2"/>
          </w:tcPr>
          <w:p>
            <w:pPr>
              <w:jc w:val="center"/>
              <w:ind w:right="2423"/>
              <w:spacing w:after="0"/>
              <w:rPr>
                <w:sz w:val="20"/>
                <w:szCs w:val="20"/>
                <w:color w:val="auto"/>
              </w:rPr>
            </w:pPr>
            <w:r>
              <w:rPr>
                <w:rFonts w:ascii="Arial" w:cs="Arial" w:eastAsia="Arial" w:hAnsi="Arial"/>
                <w:sz w:val="15"/>
                <w:szCs w:val="15"/>
                <w:color w:val="auto"/>
                <w:w w:val="95"/>
              </w:rPr>
              <w:t>(Address)</w:t>
            </w:r>
          </w:p>
        </w:tc>
        <w:tc>
          <w:tcPr>
            <w:tcW w:w="2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20" w:type="dxa"/>
            <w:vAlign w:val="bottom"/>
            <w:gridSpan w:val="2"/>
          </w:tcPr>
          <w:p>
            <w:pPr>
              <w:jc w:val="center"/>
              <w:ind w:right="20"/>
              <w:spacing w:after="0"/>
              <w:rPr>
                <w:sz w:val="20"/>
                <w:szCs w:val="20"/>
                <w:color w:val="auto"/>
              </w:rPr>
            </w:pPr>
            <w:r>
              <w:rPr>
                <w:rFonts w:ascii="Arial" w:cs="Arial" w:eastAsia="Arial" w:hAnsi="Arial"/>
                <w:sz w:val="15"/>
                <w:szCs w:val="15"/>
                <w:color w:val="auto"/>
                <w:w w:val="94"/>
              </w:rPr>
              <w:t>(Signature)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Arial" w:cs="Arial" w:eastAsia="Arial" w:hAnsi="Arial"/>
                <w:sz w:val="15"/>
                <w:szCs w:val="15"/>
                <w:color w:val="auto"/>
                <w:w w:val="95"/>
              </w:rPr>
              <w:t>(Name)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40" w:type="dxa"/>
            <w:vAlign w:val="bottom"/>
            <w:gridSpan w:val="2"/>
          </w:tcPr>
          <w:p>
            <w:pPr>
              <w:ind w:left="2480"/>
              <w:spacing w:after="0"/>
              <w:rPr>
                <w:sz w:val="20"/>
                <w:szCs w:val="20"/>
                <w:color w:val="auto"/>
              </w:rPr>
            </w:pPr>
            <w:r>
              <w:rPr>
                <w:rFonts w:ascii="Arial" w:cs="Arial" w:eastAsia="Arial" w:hAnsi="Arial"/>
                <w:sz w:val="15"/>
                <w:szCs w:val="15"/>
                <w:color w:val="auto"/>
              </w:rPr>
              <w:t>(Date)</w:t>
            </w:r>
          </w:p>
        </w:tc>
        <w:tc>
          <w:tcPr>
            <w:tcW w:w="380" w:type="dxa"/>
            <w:vAlign w:val="bottom"/>
          </w:tcPr>
          <w:p>
            <w:pPr>
              <w:spacing w:after="0"/>
              <w:rPr>
                <w:sz w:val="16"/>
                <w:szCs w:val="16"/>
                <w:color w:val="auto"/>
              </w:rPr>
            </w:pPr>
          </w:p>
        </w:tc>
        <w:tc>
          <w:tcPr>
            <w:tcW w:w="5720" w:type="dxa"/>
            <w:vAlign w:val="bottom"/>
            <w:gridSpan w:val="2"/>
          </w:tcPr>
          <w:p>
            <w:pPr>
              <w:jc w:val="center"/>
              <w:ind w:right="20"/>
              <w:spacing w:after="0"/>
              <w:rPr>
                <w:sz w:val="20"/>
                <w:szCs w:val="20"/>
                <w:color w:val="auto"/>
              </w:rPr>
            </w:pPr>
            <w:r>
              <w:rPr>
                <w:rFonts w:ascii="Arial" w:cs="Arial" w:eastAsia="Arial" w:hAnsi="Arial"/>
                <w:sz w:val="15"/>
                <w:szCs w:val="15"/>
                <w:color w:val="auto"/>
                <w:w w:val="99"/>
              </w:rPr>
              <w:t>(Title)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285" w:name="page286"/>
    <w:bookmarkEnd w:id="285"/>
    <w:p>
      <w:pPr>
        <w:spacing w:after="0" w:line="117" w:lineRule="exact"/>
        <w:rPr>
          <w:sz w:val="20"/>
          <w:szCs w:val="20"/>
          <w:color w:val="auto"/>
        </w:rPr>
      </w:pPr>
    </w:p>
    <w:p>
      <w:pPr>
        <w:ind w:left="10720"/>
        <w:spacing w:after="0"/>
        <w:rPr>
          <w:sz w:val="20"/>
          <w:szCs w:val="20"/>
          <w:color w:val="auto"/>
        </w:rPr>
      </w:pPr>
      <w:r>
        <w:rPr>
          <w:rFonts w:ascii="Arial" w:cs="Arial" w:eastAsia="Arial" w:hAnsi="Arial"/>
          <w:sz w:val="14"/>
          <w:szCs w:val="14"/>
          <w:b w:val="1"/>
          <w:bCs w:val="1"/>
          <w:color w:val="auto"/>
        </w:rPr>
        <w:t>Exhibit 4.5</w:t>
      </w:r>
    </w:p>
    <w:p>
      <w:pPr>
        <w:spacing w:after="0" w:line="210"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auto"/>
        </w:rPr>
        <w:t>THIS WARRANT AND THE SHARES ISSUABLE HEREUNDER HAVE NOT BEEN REGISTERED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9200" w:type="dxa"/>
            <w:vAlign w:val="bottom"/>
          </w:tcPr>
          <w:p>
            <w:pPr>
              <w:ind w:left="2540"/>
              <w:spacing w:after="0"/>
              <w:rPr>
                <w:sz w:val="20"/>
                <w:szCs w:val="20"/>
                <w:color w:val="auto"/>
              </w:rPr>
            </w:pPr>
            <w:r>
              <w:rPr>
                <w:rFonts w:ascii="Arial" w:cs="Arial" w:eastAsia="Arial" w:hAnsi="Arial"/>
                <w:sz w:val="15"/>
                <w:szCs w:val="15"/>
                <w:b w:val="1"/>
                <w:bCs w:val="1"/>
                <w:color w:val="auto"/>
              </w:rPr>
              <w:t>WARRANT TO PURCHASE STOCK</w:t>
            </w:r>
          </w:p>
        </w:tc>
      </w:tr>
      <w:tr>
        <w:trPr>
          <w:trHeight w:val="360"/>
        </w:trPr>
        <w:tc>
          <w:tcPr>
            <w:tcW w:w="1920" w:type="dxa"/>
            <w:vAlign w:val="bottom"/>
          </w:tcPr>
          <w:p>
            <w:pPr>
              <w:spacing w:after="0"/>
              <w:rPr>
                <w:sz w:val="20"/>
                <w:szCs w:val="20"/>
                <w:color w:val="auto"/>
              </w:rPr>
            </w:pPr>
            <w:r>
              <w:rPr>
                <w:rFonts w:ascii="Arial" w:cs="Arial" w:eastAsia="Arial" w:hAnsi="Arial"/>
                <w:sz w:val="15"/>
                <w:szCs w:val="15"/>
                <w:color w:val="auto"/>
              </w:rPr>
              <w:t>Company:</w:t>
            </w:r>
          </w:p>
        </w:tc>
        <w:tc>
          <w:tcPr>
            <w:tcW w:w="9200" w:type="dxa"/>
            <w:vAlign w:val="bottom"/>
          </w:tcPr>
          <w:p>
            <w:pPr>
              <w:ind w:left="600"/>
              <w:spacing w:after="0"/>
              <w:rPr>
                <w:sz w:val="20"/>
                <w:szCs w:val="20"/>
                <w:color w:val="auto"/>
              </w:rPr>
            </w:pPr>
            <w:r>
              <w:rPr>
                <w:rFonts w:ascii="Arial" w:cs="Arial" w:eastAsia="Arial" w:hAnsi="Arial"/>
                <w:sz w:val="15"/>
                <w:szCs w:val="15"/>
                <w:color w:val="auto"/>
              </w:rPr>
              <w:t>SELECTA BIOSCIENCES, INC., a Delaware corporation</w:t>
            </w:r>
          </w:p>
        </w:tc>
      </w:tr>
      <w:tr>
        <w:trPr>
          <w:trHeight w:val="185"/>
        </w:trPr>
        <w:tc>
          <w:tcPr>
            <w:tcW w:w="1920" w:type="dxa"/>
            <w:vAlign w:val="bottom"/>
          </w:tcPr>
          <w:p>
            <w:pPr>
              <w:spacing w:after="0"/>
              <w:rPr>
                <w:sz w:val="20"/>
                <w:szCs w:val="20"/>
                <w:color w:val="auto"/>
              </w:rPr>
            </w:pPr>
            <w:r>
              <w:rPr>
                <w:rFonts w:ascii="Arial" w:cs="Arial" w:eastAsia="Arial" w:hAnsi="Arial"/>
                <w:sz w:val="15"/>
                <w:szCs w:val="15"/>
                <w:color w:val="auto"/>
              </w:rPr>
              <w:t>Number of Shares:</w:t>
            </w:r>
          </w:p>
        </w:tc>
        <w:tc>
          <w:tcPr>
            <w:tcW w:w="9200" w:type="dxa"/>
            <w:vAlign w:val="bottom"/>
          </w:tcPr>
          <w:p>
            <w:pPr>
              <w:spacing w:after="0"/>
              <w:rPr>
                <w:sz w:val="16"/>
                <w:szCs w:val="16"/>
                <w:color w:val="auto"/>
              </w:rPr>
            </w:pPr>
          </w:p>
        </w:tc>
      </w:tr>
      <w:tr>
        <w:trPr>
          <w:trHeight w:val="185"/>
        </w:trPr>
        <w:tc>
          <w:tcPr>
            <w:tcW w:w="1920" w:type="dxa"/>
            <w:vAlign w:val="bottom"/>
          </w:tcPr>
          <w:p>
            <w:pPr>
              <w:spacing w:after="0"/>
              <w:rPr>
                <w:sz w:val="20"/>
                <w:szCs w:val="20"/>
                <w:color w:val="auto"/>
              </w:rPr>
            </w:pPr>
            <w:r>
              <w:rPr>
                <w:rFonts w:ascii="Arial" w:cs="Arial" w:eastAsia="Arial" w:hAnsi="Arial"/>
                <w:sz w:val="15"/>
                <w:szCs w:val="15"/>
                <w:color w:val="auto"/>
              </w:rPr>
              <w:t>Type/Series of Stock:</w:t>
            </w:r>
          </w:p>
        </w:tc>
        <w:tc>
          <w:tcPr>
            <w:tcW w:w="9200" w:type="dxa"/>
            <w:vAlign w:val="bottom"/>
          </w:tcPr>
          <w:p>
            <w:pPr>
              <w:ind w:left="600"/>
              <w:spacing w:after="0"/>
              <w:rPr>
                <w:sz w:val="20"/>
                <w:szCs w:val="20"/>
                <w:color w:val="auto"/>
              </w:rPr>
            </w:pPr>
            <w:r>
              <w:rPr>
                <w:rFonts w:ascii="Arial" w:cs="Arial" w:eastAsia="Arial" w:hAnsi="Arial"/>
                <w:sz w:val="15"/>
                <w:szCs w:val="15"/>
                <w:color w:val="auto"/>
              </w:rPr>
              <w:t>Series D Preferred</w:t>
            </w:r>
          </w:p>
        </w:tc>
      </w:tr>
      <w:tr>
        <w:trPr>
          <w:trHeight w:val="174"/>
        </w:trPr>
        <w:tc>
          <w:tcPr>
            <w:tcW w:w="1920" w:type="dxa"/>
            <w:vAlign w:val="bottom"/>
          </w:tcPr>
          <w:p>
            <w:pPr>
              <w:spacing w:after="0"/>
              <w:rPr>
                <w:sz w:val="20"/>
                <w:szCs w:val="20"/>
                <w:color w:val="auto"/>
              </w:rPr>
            </w:pPr>
            <w:r>
              <w:rPr>
                <w:rFonts w:ascii="Arial" w:cs="Arial" w:eastAsia="Arial" w:hAnsi="Arial"/>
                <w:sz w:val="15"/>
                <w:szCs w:val="15"/>
                <w:color w:val="auto"/>
              </w:rPr>
              <w:t>Warrant Price:</w:t>
            </w:r>
          </w:p>
        </w:tc>
        <w:tc>
          <w:tcPr>
            <w:tcW w:w="9200" w:type="dxa"/>
            <w:vAlign w:val="bottom"/>
          </w:tcPr>
          <w:p>
            <w:pPr>
              <w:ind w:left="600"/>
              <w:spacing w:after="0"/>
              <w:rPr>
                <w:sz w:val="20"/>
                <w:szCs w:val="20"/>
                <w:color w:val="auto"/>
              </w:rPr>
            </w:pPr>
            <w:r>
              <w:rPr>
                <w:rFonts w:ascii="Arial" w:cs="Arial" w:eastAsia="Arial" w:hAnsi="Arial"/>
                <w:sz w:val="15"/>
                <w:szCs w:val="15"/>
                <w:color w:val="auto"/>
              </w:rPr>
              <w:t>$4.50 per share</w:t>
            </w:r>
          </w:p>
        </w:tc>
      </w:tr>
      <w:tr>
        <w:trPr>
          <w:trHeight w:val="196"/>
        </w:trPr>
        <w:tc>
          <w:tcPr>
            <w:tcW w:w="1920" w:type="dxa"/>
            <w:vAlign w:val="bottom"/>
          </w:tcPr>
          <w:p>
            <w:pPr>
              <w:spacing w:after="0"/>
              <w:rPr>
                <w:sz w:val="20"/>
                <w:szCs w:val="20"/>
                <w:color w:val="auto"/>
              </w:rPr>
            </w:pPr>
            <w:r>
              <w:rPr>
                <w:rFonts w:ascii="Arial" w:cs="Arial" w:eastAsia="Arial" w:hAnsi="Arial"/>
                <w:sz w:val="15"/>
                <w:szCs w:val="15"/>
                <w:color w:val="auto"/>
              </w:rPr>
              <w:t>Issue Date:</w:t>
            </w:r>
          </w:p>
        </w:tc>
        <w:tc>
          <w:tcPr>
            <w:tcW w:w="9200" w:type="dxa"/>
            <w:vAlign w:val="bottom"/>
          </w:tcPr>
          <w:p>
            <w:pPr>
              <w:ind w:left="600"/>
              <w:spacing w:after="0"/>
              <w:rPr>
                <w:sz w:val="20"/>
                <w:szCs w:val="20"/>
                <w:color w:val="auto"/>
              </w:rPr>
            </w:pPr>
            <w:r>
              <w:rPr>
                <w:rFonts w:ascii="Arial" w:cs="Arial" w:eastAsia="Arial" w:hAnsi="Arial"/>
                <w:sz w:val="15"/>
                <w:szCs w:val="15"/>
                <w:color w:val="auto"/>
              </w:rPr>
              <w:t>[August 9, 2013 / July 25, 2014]</w:t>
            </w:r>
          </w:p>
        </w:tc>
      </w:tr>
      <w:tr>
        <w:trPr>
          <w:trHeight w:val="181"/>
        </w:trPr>
        <w:tc>
          <w:tcPr>
            <w:tcW w:w="1920" w:type="dxa"/>
            <w:vAlign w:val="bottom"/>
          </w:tcPr>
          <w:p>
            <w:pPr>
              <w:spacing w:after="0"/>
              <w:rPr>
                <w:sz w:val="20"/>
                <w:szCs w:val="20"/>
                <w:color w:val="auto"/>
              </w:rPr>
            </w:pPr>
            <w:r>
              <w:rPr>
                <w:rFonts w:ascii="Arial" w:cs="Arial" w:eastAsia="Arial" w:hAnsi="Arial"/>
                <w:sz w:val="15"/>
                <w:szCs w:val="15"/>
                <w:color w:val="auto"/>
              </w:rPr>
              <w:t>Expiration Date:</w:t>
            </w:r>
          </w:p>
        </w:tc>
        <w:tc>
          <w:tcPr>
            <w:tcW w:w="9200" w:type="dxa"/>
            <w:vAlign w:val="bottom"/>
          </w:tcPr>
          <w:p>
            <w:pPr>
              <w:ind w:left="600"/>
              <w:spacing w:after="0"/>
              <w:rPr>
                <w:sz w:val="20"/>
                <w:szCs w:val="20"/>
                <w:color w:val="auto"/>
              </w:rPr>
            </w:pPr>
            <w:r>
              <w:rPr>
                <w:rFonts w:ascii="Arial" w:cs="Arial" w:eastAsia="Arial" w:hAnsi="Arial"/>
                <w:sz w:val="15"/>
                <w:szCs w:val="15"/>
                <w:color w:val="auto"/>
              </w:rPr>
              <w:t>[August 9, 2023 / July 25, 2024] See also Section 5.1(b).</w:t>
            </w:r>
          </w:p>
        </w:tc>
      </w:tr>
      <w:tr>
        <w:trPr>
          <w:trHeight w:val="191"/>
        </w:trPr>
        <w:tc>
          <w:tcPr>
            <w:tcW w:w="1920" w:type="dxa"/>
            <w:vAlign w:val="bottom"/>
          </w:tcPr>
          <w:p>
            <w:pPr>
              <w:spacing w:after="0"/>
              <w:rPr>
                <w:sz w:val="20"/>
                <w:szCs w:val="20"/>
                <w:color w:val="auto"/>
              </w:rPr>
            </w:pPr>
            <w:r>
              <w:rPr>
                <w:rFonts w:ascii="Arial" w:cs="Arial" w:eastAsia="Arial" w:hAnsi="Arial"/>
                <w:sz w:val="15"/>
                <w:szCs w:val="15"/>
                <w:color w:val="auto"/>
              </w:rPr>
              <w:t>Credit Facility:</w:t>
            </w:r>
          </w:p>
        </w:tc>
        <w:tc>
          <w:tcPr>
            <w:tcW w:w="9200" w:type="dxa"/>
            <w:vAlign w:val="bottom"/>
          </w:tcPr>
          <w:p>
            <w:pPr>
              <w:ind w:left="600"/>
              <w:spacing w:after="0"/>
              <w:rPr>
                <w:sz w:val="20"/>
                <w:szCs w:val="20"/>
                <w:color w:val="auto"/>
              </w:rPr>
            </w:pPr>
            <w:r>
              <w:rPr>
                <w:rFonts w:ascii="Arial" w:cs="Arial" w:eastAsia="Arial" w:hAnsi="Arial"/>
                <w:sz w:val="15"/>
                <w:szCs w:val="15"/>
                <w:color w:val="auto"/>
                <w:w w:val="94"/>
              </w:rPr>
              <w:t>This Warrant to Purchase Stock (“</w:t>
            </w:r>
            <w:r>
              <w:rPr>
                <w:rFonts w:ascii="Arial" w:cs="Arial" w:eastAsia="Arial" w:hAnsi="Arial"/>
                <w:sz w:val="15"/>
                <w:szCs w:val="15"/>
                <w:b w:val="1"/>
                <w:bCs w:val="1"/>
                <w:color w:val="auto"/>
                <w:w w:val="94"/>
              </w:rPr>
              <w:t>Warrant</w:t>
            </w:r>
            <w:r>
              <w:rPr>
                <w:rFonts w:ascii="Arial" w:cs="Arial" w:eastAsia="Arial" w:hAnsi="Arial"/>
                <w:sz w:val="15"/>
                <w:szCs w:val="15"/>
                <w:color w:val="auto"/>
                <w:w w:val="94"/>
              </w:rPr>
              <w:t>”) is issued in connection with that certain Loan and Security Agreement of even date herewith</w:t>
            </w:r>
          </w:p>
        </w:tc>
      </w:tr>
      <w:tr>
        <w:trPr>
          <w:trHeight w:val="179"/>
        </w:trPr>
        <w:tc>
          <w:tcPr>
            <w:tcW w:w="1920" w:type="dxa"/>
            <w:vAlign w:val="bottom"/>
          </w:tcPr>
          <w:p>
            <w:pPr>
              <w:spacing w:after="0"/>
              <w:rPr>
                <w:sz w:val="15"/>
                <w:szCs w:val="15"/>
                <w:color w:val="auto"/>
              </w:rPr>
            </w:pPr>
          </w:p>
        </w:tc>
        <w:tc>
          <w:tcPr>
            <w:tcW w:w="9200" w:type="dxa"/>
            <w:vAlign w:val="bottom"/>
          </w:tcPr>
          <w:p>
            <w:pPr>
              <w:ind w:left="600"/>
              <w:spacing w:after="0"/>
              <w:rPr>
                <w:sz w:val="20"/>
                <w:szCs w:val="20"/>
                <w:color w:val="auto"/>
              </w:rPr>
            </w:pPr>
            <w:r>
              <w:rPr>
                <w:rFonts w:ascii="Arial" w:cs="Arial" w:eastAsia="Arial" w:hAnsi="Arial"/>
                <w:sz w:val="15"/>
                <w:szCs w:val="15"/>
                <w:color w:val="auto"/>
                <w:w w:val="93"/>
              </w:rPr>
              <w:t>among Oxford Finance LLC, as Lender and Collateral Agent, the Lenders from time to time party thereto, including Square 1 Bank and the</w:t>
            </w:r>
          </w:p>
        </w:tc>
      </w:tr>
      <w:tr>
        <w:trPr>
          <w:trHeight w:val="202"/>
        </w:trPr>
        <w:tc>
          <w:tcPr>
            <w:tcW w:w="1920" w:type="dxa"/>
            <w:vAlign w:val="bottom"/>
          </w:tcPr>
          <w:p>
            <w:pPr>
              <w:spacing w:after="0"/>
              <w:rPr>
                <w:sz w:val="17"/>
                <w:szCs w:val="17"/>
                <w:color w:val="auto"/>
              </w:rPr>
            </w:pPr>
          </w:p>
        </w:tc>
        <w:tc>
          <w:tcPr>
            <w:tcW w:w="9200" w:type="dxa"/>
            <w:vAlign w:val="bottom"/>
          </w:tcPr>
          <w:p>
            <w:pPr>
              <w:ind w:left="600"/>
              <w:spacing w:after="0"/>
              <w:rPr>
                <w:sz w:val="20"/>
                <w:szCs w:val="20"/>
                <w:color w:val="auto"/>
              </w:rPr>
            </w:pPr>
            <w:r>
              <w:rPr>
                <w:rFonts w:ascii="Arial" w:cs="Arial" w:eastAsia="Arial" w:hAnsi="Arial"/>
                <w:sz w:val="15"/>
                <w:szCs w:val="15"/>
                <w:color w:val="auto"/>
              </w:rPr>
              <w:t>Company (as modified, amended and/or restated from time to time, the “</w:t>
            </w:r>
            <w:r>
              <w:rPr>
                <w:rFonts w:ascii="Arial" w:cs="Arial" w:eastAsia="Arial" w:hAnsi="Arial"/>
                <w:sz w:val="15"/>
                <w:szCs w:val="15"/>
                <w:b w:val="1"/>
                <w:bCs w:val="1"/>
                <w:color w:val="auto"/>
              </w:rPr>
              <w:t>Loan Agreement</w:t>
            </w:r>
            <w:r>
              <w:rPr>
                <w:rFonts w:ascii="Arial" w:cs="Arial" w:eastAsia="Arial" w:hAnsi="Arial"/>
                <w:sz w:val="15"/>
                <w:szCs w:val="15"/>
                <w:color w:val="auto"/>
              </w:rPr>
              <w:t>”).</w:t>
            </w:r>
          </w:p>
        </w:tc>
      </w:tr>
    </w:tbl>
    <w:p>
      <w:pPr>
        <w:spacing w:after="0" w:line="354" w:lineRule="exact"/>
        <w:rPr>
          <w:sz w:val="20"/>
          <w:szCs w:val="20"/>
          <w:color w:val="auto"/>
        </w:rPr>
      </w:pPr>
    </w:p>
    <w:p>
      <w:pPr>
        <w:ind w:right="80" w:firstLine="556"/>
        <w:spacing w:after="0" w:line="296" w:lineRule="auto"/>
        <w:rPr>
          <w:sz w:val="20"/>
          <w:szCs w:val="20"/>
          <w:color w:val="auto"/>
        </w:rPr>
      </w:pPr>
      <w:r>
        <w:rPr>
          <w:rFonts w:ascii="Arial" w:cs="Arial" w:eastAsia="Arial" w:hAnsi="Arial"/>
          <w:sz w:val="14"/>
          <w:szCs w:val="14"/>
          <w:color w:val="auto"/>
        </w:rPr>
        <w:t>THIS WARRANT CERTIFIES THAT, for good and valuable consideration, [OXFORD FINANCE LLC / SQUARE 1 BANK] (“</w:t>
      </w:r>
      <w:r>
        <w:rPr>
          <w:rFonts w:ascii="Arial" w:cs="Arial" w:eastAsia="Arial" w:hAnsi="Arial"/>
          <w:sz w:val="14"/>
          <w:szCs w:val="14"/>
          <w:b w:val="1"/>
          <w:bCs w:val="1"/>
          <w:color w:val="auto"/>
        </w:rPr>
        <w:t>[Oxford / Bank]</w:t>
      </w:r>
      <w:r>
        <w:rPr>
          <w:rFonts w:ascii="Arial" w:cs="Arial" w:eastAsia="Arial" w:hAnsi="Arial"/>
          <w:sz w:val="14"/>
          <w:szCs w:val="14"/>
          <w:color w:val="auto"/>
        </w:rPr>
        <w:t>” and, together with any successor or permitted assignee or transferee of this Warrant or of any shares issued upon exercise hereof, “</w:t>
      </w:r>
      <w:r>
        <w:rPr>
          <w:rFonts w:ascii="Arial" w:cs="Arial" w:eastAsia="Arial" w:hAnsi="Arial"/>
          <w:sz w:val="14"/>
          <w:szCs w:val="14"/>
          <w:b w:val="1"/>
          <w:bCs w:val="1"/>
          <w:color w:val="auto"/>
        </w:rPr>
        <w:t>Holder</w:t>
      </w:r>
      <w:r>
        <w:rPr>
          <w:rFonts w:ascii="Arial" w:cs="Arial" w:eastAsia="Arial" w:hAnsi="Arial"/>
          <w:sz w:val="14"/>
          <w:szCs w:val="14"/>
          <w:color w:val="auto"/>
        </w:rPr>
        <w:t>”) is entitled to purchase the number of fully paid and non-assessable shares (the “</w:t>
      </w:r>
      <w:r>
        <w:rPr>
          <w:rFonts w:ascii="Arial" w:cs="Arial" w:eastAsia="Arial" w:hAnsi="Arial"/>
          <w:sz w:val="14"/>
          <w:szCs w:val="14"/>
          <w:b w:val="1"/>
          <w:bCs w:val="1"/>
          <w:color w:val="auto"/>
        </w:rPr>
        <w:t>Shares</w:t>
      </w:r>
      <w:r>
        <w:rPr>
          <w:rFonts w:ascii="Arial" w:cs="Arial" w:eastAsia="Arial" w:hAnsi="Arial"/>
          <w:sz w:val="14"/>
          <w:szCs w:val="14"/>
          <w:color w:val="auto"/>
        </w:rPr>
        <w:t>”) of the above-stated Type/Series of Stock (the “</w:t>
      </w:r>
      <w:r>
        <w:rPr>
          <w:rFonts w:ascii="Arial" w:cs="Arial" w:eastAsia="Arial" w:hAnsi="Arial"/>
          <w:sz w:val="14"/>
          <w:szCs w:val="14"/>
          <w:b w:val="1"/>
          <w:bCs w:val="1"/>
          <w:color w:val="auto"/>
        </w:rPr>
        <w:t>Class</w:t>
      </w:r>
      <w:r>
        <w:rPr>
          <w:rFonts w:ascii="Arial" w:cs="Arial" w:eastAsia="Arial" w:hAnsi="Arial"/>
          <w:sz w:val="14"/>
          <w:szCs w:val="14"/>
          <w:color w:val="auto"/>
        </w:rPr>
        <w:t>”) of the above-named company (the “</w:t>
      </w:r>
      <w:r>
        <w:rPr>
          <w:rFonts w:ascii="Arial" w:cs="Arial" w:eastAsia="Arial" w:hAnsi="Arial"/>
          <w:sz w:val="14"/>
          <w:szCs w:val="14"/>
          <w:b w:val="1"/>
          <w:bCs w:val="1"/>
          <w:color w:val="auto"/>
        </w:rPr>
        <w:t>Company</w:t>
      </w:r>
      <w:r>
        <w:rPr>
          <w:rFonts w:ascii="Arial" w:cs="Arial" w:eastAsia="Arial" w:hAnsi="Arial"/>
          <w:sz w:val="14"/>
          <w:szCs w:val="14"/>
          <w:color w:val="auto"/>
        </w:rPr>
        <w:t>”) at the above-stated Warrant Price, all as set forth above and as adjusted pursuant to Section 2 of this Warrant, subject to the provisions and upon the terms and conditions set forth in this Warrant.</w:t>
      </w:r>
    </w:p>
    <w:p>
      <w:pPr>
        <w:spacing w:after="0" w:line="150" w:lineRule="exact"/>
        <w:rPr>
          <w:sz w:val="20"/>
          <w:szCs w:val="20"/>
          <w:color w:val="auto"/>
        </w:rPr>
      </w:pPr>
    </w:p>
    <w:p>
      <w:pPr>
        <w:ind w:left="4760"/>
        <w:spacing w:after="0"/>
        <w:tabs>
          <w:tab w:leader="none" w:pos="588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EXERCISE.</w:t>
      </w:r>
    </w:p>
    <w:p>
      <w:pPr>
        <w:spacing w:after="0" w:line="187" w:lineRule="exact"/>
        <w:rPr>
          <w:sz w:val="20"/>
          <w:szCs w:val="20"/>
          <w:color w:val="auto"/>
        </w:rPr>
      </w:pPr>
    </w:p>
    <w:p>
      <w:pPr>
        <w:ind w:firstLine="1112"/>
        <w:spacing w:after="0" w:line="268"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Method of Exercise</w:t>
      </w:r>
      <w:r>
        <w:rPr>
          <w:rFonts w:ascii="Arial" w:cs="Arial" w:eastAsia="Arial" w:hAnsi="Arial"/>
          <w:sz w:val="15"/>
          <w:szCs w:val="15"/>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6" w:lineRule="exact"/>
        <w:rPr>
          <w:sz w:val="20"/>
          <w:szCs w:val="20"/>
          <w:color w:val="auto"/>
        </w:rPr>
      </w:pPr>
    </w:p>
    <w:p>
      <w:pPr>
        <w:ind w:right="160" w:firstLine="1112"/>
        <w:spacing w:after="0" w:line="302"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Cashless Exercise</w:t>
      </w:r>
      <w:r>
        <w:rPr>
          <w:rFonts w:ascii="Arial" w:cs="Arial" w:eastAsia="Arial" w:hAnsi="Arial"/>
          <w:sz w:val="14"/>
          <w:szCs w:val="14"/>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X = Y(A-B)/A</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w:t>
      </w:r>
    </w:p>
    <w:p>
      <w:pPr>
        <w:spacing w:after="0" w:line="198" w:lineRule="exact"/>
        <w:rPr>
          <w:sz w:val="20"/>
          <w:szCs w:val="20"/>
          <w:color w:val="auto"/>
        </w:rPr>
      </w:pPr>
    </w:p>
    <w:p>
      <w:pPr>
        <w:ind w:left="1660"/>
        <w:spacing w:after="0"/>
        <w:tabs>
          <w:tab w:leader="none" w:pos="2220" w:val="left"/>
        </w:tabs>
        <w:rPr>
          <w:sz w:val="20"/>
          <w:szCs w:val="20"/>
          <w:color w:val="auto"/>
        </w:rPr>
      </w:pPr>
      <w:r>
        <w:rPr>
          <w:rFonts w:ascii="Arial" w:cs="Arial" w:eastAsia="Arial" w:hAnsi="Arial"/>
          <w:sz w:val="15"/>
          <w:szCs w:val="15"/>
          <w:color w:val="auto"/>
        </w:rPr>
        <w:t>X =</w:t>
      </w:r>
      <w:r>
        <w:rPr>
          <w:sz w:val="20"/>
          <w:szCs w:val="20"/>
          <w:color w:val="auto"/>
        </w:rPr>
        <w:tab/>
      </w:r>
      <w:r>
        <w:rPr>
          <w:rFonts w:ascii="Arial" w:cs="Arial" w:eastAsia="Arial" w:hAnsi="Arial"/>
          <w:sz w:val="13"/>
          <w:szCs w:val="13"/>
          <w:color w:val="auto"/>
        </w:rPr>
        <w:t>the number of Shares to be issued to the Holder;</w:t>
      </w:r>
    </w:p>
    <w:p>
      <w:pPr>
        <w:spacing w:after="0" w:line="198" w:lineRule="exact"/>
        <w:rPr>
          <w:sz w:val="20"/>
          <w:szCs w:val="20"/>
          <w:color w:val="auto"/>
        </w:rPr>
      </w:pPr>
    </w:p>
    <w:p>
      <w:pPr>
        <w:ind w:left="2220" w:right="180" w:hanging="555"/>
        <w:spacing w:after="0" w:line="289" w:lineRule="auto"/>
        <w:tabs>
          <w:tab w:leader="none" w:pos="2200" w:val="left"/>
        </w:tabs>
        <w:rPr>
          <w:sz w:val="20"/>
          <w:szCs w:val="20"/>
          <w:color w:val="auto"/>
        </w:rPr>
      </w:pPr>
      <w:r>
        <w:rPr>
          <w:rFonts w:ascii="Arial" w:cs="Arial" w:eastAsia="Arial" w:hAnsi="Arial"/>
          <w:sz w:val="15"/>
          <w:szCs w:val="15"/>
          <w:color w:val="auto"/>
        </w:rPr>
        <w:t>Y =</w:t>
      </w:r>
      <w:r>
        <w:rPr>
          <w:sz w:val="20"/>
          <w:szCs w:val="20"/>
          <w:color w:val="auto"/>
        </w:rPr>
        <w:tab/>
      </w:r>
      <w:r>
        <w:rPr>
          <w:rFonts w:ascii="Arial" w:cs="Arial" w:eastAsia="Arial" w:hAnsi="Arial"/>
          <w:sz w:val="15"/>
          <w:szCs w:val="15"/>
          <w:color w:val="auto"/>
        </w:rPr>
        <w:t>the number of Shares with respect to which this Warrant is being exercised (inclusive of the Shares surrendered to the Company in payment of the aggregate Warrant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60"/>
        <w:spacing w:after="0"/>
        <w:tabs>
          <w:tab w:leader="none" w:pos="2220" w:val="left"/>
        </w:tabs>
        <w:rPr>
          <w:sz w:val="20"/>
          <w:szCs w:val="20"/>
          <w:color w:val="auto"/>
        </w:rPr>
      </w:pPr>
      <w:r>
        <w:rPr>
          <w:rFonts w:ascii="Arial" w:cs="Arial" w:eastAsia="Arial" w:hAnsi="Arial"/>
          <w:sz w:val="15"/>
          <w:szCs w:val="15"/>
          <w:color w:val="auto"/>
        </w:rPr>
        <w:t>A =</w:t>
      </w:r>
      <w:r>
        <w:rPr>
          <w:sz w:val="20"/>
          <w:szCs w:val="20"/>
          <w:color w:val="auto"/>
        </w:rPr>
        <w:tab/>
      </w:r>
      <w:r>
        <w:rPr>
          <w:rFonts w:ascii="Arial" w:cs="Arial" w:eastAsia="Arial" w:hAnsi="Arial"/>
          <w:sz w:val="13"/>
          <w:szCs w:val="13"/>
          <w:color w:val="auto"/>
        </w:rPr>
        <w:t>the Fair Market Value (as determined pursuant to Section 1.3 below) of one Share; and</w:t>
      </w:r>
    </w:p>
    <w:p>
      <w:pPr>
        <w:spacing w:after="0" w:line="198" w:lineRule="exact"/>
        <w:rPr>
          <w:sz w:val="20"/>
          <w:szCs w:val="20"/>
          <w:color w:val="auto"/>
        </w:rPr>
      </w:pPr>
    </w:p>
    <w:p>
      <w:pPr>
        <w:ind w:left="1660"/>
        <w:spacing w:after="0"/>
        <w:tabs>
          <w:tab w:leader="none" w:pos="2200" w:val="left"/>
        </w:tabs>
        <w:rPr>
          <w:sz w:val="20"/>
          <w:szCs w:val="20"/>
          <w:color w:val="auto"/>
        </w:rPr>
      </w:pPr>
      <w:r>
        <w:rPr>
          <w:rFonts w:ascii="Arial" w:cs="Arial" w:eastAsia="Arial" w:hAnsi="Arial"/>
          <w:sz w:val="15"/>
          <w:szCs w:val="15"/>
          <w:color w:val="auto"/>
        </w:rPr>
        <w:t>B =</w:t>
      </w:r>
      <w:r>
        <w:rPr>
          <w:sz w:val="20"/>
          <w:szCs w:val="20"/>
          <w:color w:val="auto"/>
        </w:rPr>
        <w:tab/>
      </w:r>
      <w:r>
        <w:rPr>
          <w:rFonts w:ascii="Arial" w:cs="Arial" w:eastAsia="Arial" w:hAnsi="Arial"/>
          <w:sz w:val="13"/>
          <w:szCs w:val="13"/>
          <w:color w:val="auto"/>
        </w:rPr>
        <w:t>the Warrant Price.</w:t>
      </w:r>
    </w:p>
    <w:p>
      <w:pPr>
        <w:spacing w:after="0" w:line="198" w:lineRule="exact"/>
        <w:rPr>
          <w:sz w:val="20"/>
          <w:szCs w:val="20"/>
          <w:color w:val="auto"/>
        </w:rPr>
      </w:pPr>
    </w:p>
    <w:p>
      <w:pPr>
        <w:ind w:right="60" w:firstLine="1112"/>
        <w:spacing w:after="0" w:line="284"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Fair Market Value</w:t>
      </w:r>
      <w:r>
        <w:rPr>
          <w:rFonts w:ascii="Arial" w:cs="Arial" w:eastAsia="Arial" w:hAnsi="Arial"/>
          <w:sz w:val="14"/>
          <w:szCs w:val="14"/>
          <w:color w:val="auto"/>
        </w:rPr>
        <w:t>. If the Company’s common stock is then traded or quoted on a nationally recognized securities exchange, inter-dealer quotation system or over-the-counter market (a “</w:t>
      </w:r>
      <w:r>
        <w:rPr>
          <w:rFonts w:ascii="Arial" w:cs="Arial" w:eastAsia="Arial" w:hAnsi="Arial"/>
          <w:sz w:val="14"/>
          <w:szCs w:val="14"/>
          <w:b w:val="1"/>
          <w:bCs w:val="1"/>
          <w:color w:val="auto"/>
        </w:rPr>
        <w:t>Trading Market</w:t>
      </w:r>
      <w:r>
        <w:rPr>
          <w:rFonts w:ascii="Arial" w:cs="Arial" w:eastAsia="Arial" w:hAnsi="Arial"/>
          <w:sz w:val="14"/>
          <w:szCs w:val="14"/>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49" w:lineRule="exact"/>
        <w:rPr>
          <w:sz w:val="20"/>
          <w:szCs w:val="20"/>
          <w:color w:val="auto"/>
        </w:rPr>
      </w:pPr>
    </w:p>
    <w:p>
      <w:pPr>
        <w:ind w:right="20" w:firstLine="1112"/>
        <w:spacing w:after="0" w:line="27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Delivery of Certificate and New Warrant</w:t>
      </w:r>
      <w:r>
        <w:rPr>
          <w:rFonts w:ascii="Arial" w:cs="Arial" w:eastAsia="Arial" w:hAnsi="Arial"/>
          <w:sz w:val="15"/>
          <w:szCs w:val="15"/>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53" w:lineRule="exact"/>
        <w:rPr>
          <w:sz w:val="20"/>
          <w:szCs w:val="20"/>
          <w:color w:val="auto"/>
        </w:rPr>
      </w:pPr>
    </w:p>
    <w:p>
      <w:pPr>
        <w:ind w:right="220" w:firstLine="1112"/>
        <w:spacing w:after="0" w:line="268"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Replacement of Warrant</w:t>
      </w:r>
      <w:r>
        <w:rPr>
          <w:rFonts w:ascii="Arial" w:cs="Arial" w:eastAsia="Arial" w:hAnsi="Arial"/>
          <w:sz w:val="15"/>
          <w:szCs w:val="15"/>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68"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81" w:lineRule="exact"/>
        <w:rPr>
          <w:sz w:val="20"/>
          <w:szCs w:val="20"/>
          <w:color w:val="auto"/>
        </w:rPr>
      </w:pPr>
    </w:p>
    <w:p>
      <w:pPr>
        <w:ind w:right="200" w:firstLine="1104"/>
        <w:spacing w:after="0" w:line="286" w:lineRule="auto"/>
        <w:tabs>
          <w:tab w:leader="none" w:pos="1665"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Acquisition</w:t>
      </w:r>
      <w:r>
        <w:rPr>
          <w:rFonts w:ascii="Arial" w:cs="Arial" w:eastAsia="Arial" w:hAnsi="Arial"/>
          <w:sz w:val="14"/>
          <w:szCs w:val="14"/>
          <w:color w:val="auto"/>
        </w:rPr>
        <w:t>. For the purpose of this Warrant, “</w:t>
      </w:r>
      <w:r>
        <w:rPr>
          <w:rFonts w:ascii="Arial" w:cs="Arial" w:eastAsia="Arial" w:hAnsi="Arial"/>
          <w:sz w:val="14"/>
          <w:szCs w:val="14"/>
          <w:b w:val="1"/>
          <w:bCs w:val="1"/>
          <w:color w:val="auto"/>
        </w:rPr>
        <w:t>Acquisition</w:t>
      </w:r>
      <w:r>
        <w:rPr>
          <w:rFonts w:ascii="Arial" w:cs="Arial" w:eastAsia="Arial" w:hAnsi="Arial"/>
          <w:sz w:val="14"/>
          <w:szCs w:val="14"/>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45" w:lineRule="exact"/>
        <w:rPr>
          <w:rFonts w:ascii="Arial" w:cs="Arial" w:eastAsia="Arial" w:hAnsi="Arial"/>
          <w:sz w:val="14"/>
          <w:szCs w:val="14"/>
          <w:color w:val="auto"/>
        </w:rPr>
      </w:pPr>
    </w:p>
    <w:p>
      <w:pPr>
        <w:ind w:right="60" w:firstLine="1104"/>
        <w:spacing w:after="0" w:line="268" w:lineRule="auto"/>
        <w:tabs>
          <w:tab w:leader="none" w:pos="1674" w:val="left"/>
        </w:tabs>
        <w:numPr>
          <w:ilvl w:val="0"/>
          <w:numId w:val="200"/>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6" w:lineRule="exact"/>
        <w:rPr>
          <w:rFonts w:ascii="Arial" w:cs="Arial" w:eastAsia="Arial" w:hAnsi="Arial"/>
          <w:sz w:val="15"/>
          <w:szCs w:val="15"/>
          <w:color w:val="auto"/>
        </w:rPr>
      </w:pPr>
    </w:p>
    <w:p>
      <w:pPr>
        <w:ind w:right="100" w:firstLine="1104"/>
        <w:spacing w:after="0" w:line="302" w:lineRule="auto"/>
        <w:tabs>
          <w:tab w:leader="none" w:pos="1677"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w:t>
      </w:r>
    </w:p>
    <w:p>
      <w:pPr>
        <w:sectPr>
          <w:pgSz w:w="11900" w:h="16955" w:orient="portrait"/>
          <w:cols w:equalWidth="0" w:num="1">
            <w:col w:w="11440"/>
          </w:cols>
          <w:pgMar w:left="240" w:top="332" w:right="219" w:bottom="0" w:gutter="0" w:footer="0" w:header="0"/>
        </w:sectPr>
      </w:pPr>
    </w:p>
    <w:bookmarkStart w:id="286" w:name="page287"/>
    <w:bookmarkEnd w:id="286"/>
    <w:p>
      <w:pPr>
        <w:ind w:left="7" w:right="140"/>
        <w:spacing w:after="0" w:line="289" w:lineRule="auto"/>
        <w:rPr>
          <w:sz w:val="20"/>
          <w:szCs w:val="20"/>
          <w:color w:val="auto"/>
        </w:rPr>
      </w:pPr>
      <w:r>
        <w:rPr>
          <w:rFonts w:ascii="Arial" w:cs="Arial" w:eastAsia="Arial" w:hAnsi="Arial"/>
          <w:sz w:val="15"/>
          <w:szCs w:val="15"/>
          <w:color w:val="auto"/>
        </w:rPr>
        <w:t>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360"/>
        <w:spacing w:after="0" w:line="273" w:lineRule="auto"/>
        <w:rPr>
          <w:sz w:val="20"/>
          <w:szCs w:val="20"/>
          <w:color w:val="auto"/>
        </w:rPr>
      </w:pPr>
      <w:r>
        <w:rPr>
          <w:rFonts w:ascii="Arial" w:cs="Arial" w:eastAsia="Arial" w:hAnsi="Arial"/>
          <w:sz w:val="15"/>
          <w:szCs w:val="15"/>
          <w:color w:val="auto"/>
        </w:rPr>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3" w:lineRule="exact"/>
        <w:rPr>
          <w:sz w:val="20"/>
          <w:szCs w:val="20"/>
          <w:color w:val="auto"/>
        </w:rPr>
      </w:pPr>
    </w:p>
    <w:p>
      <w:pPr>
        <w:ind w:left="7" w:firstLine="1104"/>
        <w:spacing w:after="0" w:line="268" w:lineRule="auto"/>
        <w:tabs>
          <w:tab w:leader="none" w:pos="1681" w:val="left"/>
        </w:tabs>
        <w:numPr>
          <w:ilvl w:val="1"/>
          <w:numId w:val="201"/>
        </w:numPr>
        <w:rPr>
          <w:rFonts w:ascii="Arial" w:cs="Arial" w:eastAsia="Arial" w:hAnsi="Arial"/>
          <w:sz w:val="15"/>
          <w:szCs w:val="15"/>
          <w:color w:val="auto"/>
        </w:rPr>
      </w:pPr>
      <w:r>
        <w:rPr>
          <w:rFonts w:ascii="Arial" w:cs="Arial" w:eastAsia="Arial" w:hAnsi="Arial"/>
          <w:sz w:val="15"/>
          <w:szCs w:val="15"/>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0" w:lineRule="exact"/>
        <w:rPr>
          <w:rFonts w:ascii="Arial" w:cs="Arial" w:eastAsia="Arial" w:hAnsi="Arial"/>
          <w:sz w:val="15"/>
          <w:szCs w:val="15"/>
          <w:color w:val="auto"/>
        </w:rPr>
      </w:pPr>
    </w:p>
    <w:p>
      <w:pPr>
        <w:ind w:left="7" w:firstLine="1104"/>
        <w:spacing w:after="0" w:line="280" w:lineRule="auto"/>
        <w:tabs>
          <w:tab w:leader="none" w:pos="168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4"/>
          <w:szCs w:val="14"/>
          <w:color w:val="auto"/>
        </w:rPr>
      </w:pPr>
    </w:p>
    <w:p>
      <w:pPr>
        <w:ind w:left="227" w:hanging="227"/>
        <w:spacing w:after="0"/>
        <w:tabs>
          <w:tab w:leader="none" w:pos="227" w:val="left"/>
        </w:tabs>
        <w:numPr>
          <w:ilvl w:val="0"/>
          <w:numId w:val="202"/>
        </w:numPr>
        <w:rPr>
          <w:rFonts w:ascii="Arial" w:cs="Arial" w:eastAsia="Arial" w:hAnsi="Arial"/>
          <w:sz w:val="15"/>
          <w:szCs w:val="15"/>
          <w:color w:val="auto"/>
        </w:rPr>
      </w:pPr>
      <w:r>
        <w:rPr>
          <w:rFonts w:ascii="Arial" w:cs="Arial" w:eastAsia="Arial" w:hAnsi="Arial"/>
          <w:sz w:val="15"/>
          <w:szCs w:val="15"/>
          <w:color w:val="auto"/>
        </w:rPr>
        <w:t>does not extend beyond six (6) months from the closing of such Acquisition.</w:t>
      </w:r>
    </w:p>
    <w:p>
      <w:pPr>
        <w:spacing w:after="0" w:line="199" w:lineRule="exact"/>
        <w:rPr>
          <w:sz w:val="20"/>
          <w:szCs w:val="20"/>
          <w:color w:val="auto"/>
        </w:rPr>
      </w:pPr>
    </w:p>
    <w:p>
      <w:pPr>
        <w:ind w:left="3167"/>
        <w:spacing w:after="0"/>
        <w:tabs>
          <w:tab w:leader="none" w:pos="4267"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4"/>
          <w:szCs w:val="14"/>
          <w:u w:val="single" w:color="auto"/>
          <w:color w:val="auto"/>
        </w:rPr>
        <w:t>ADJUSTMENTS TO THE SHARES AND WARRANT PRICE.</w:t>
      </w:r>
    </w:p>
    <w:p>
      <w:pPr>
        <w:spacing w:after="0" w:line="187" w:lineRule="exact"/>
        <w:rPr>
          <w:sz w:val="20"/>
          <w:szCs w:val="20"/>
          <w:color w:val="auto"/>
        </w:rPr>
      </w:pPr>
    </w:p>
    <w:p>
      <w:pPr>
        <w:ind w:left="7" w:right="140" w:firstLine="1112"/>
        <w:spacing w:after="0" w:line="286"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Stock Dividends, Splits, Etc</w:t>
      </w:r>
      <w:r>
        <w:rPr>
          <w:rFonts w:ascii="Arial" w:cs="Arial" w:eastAsia="Arial" w:hAnsi="Arial"/>
          <w:sz w:val="14"/>
          <w:szCs w:val="14"/>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46" w:lineRule="exact"/>
        <w:rPr>
          <w:sz w:val="20"/>
          <w:szCs w:val="20"/>
          <w:color w:val="auto"/>
        </w:rPr>
      </w:pPr>
    </w:p>
    <w:p>
      <w:pPr>
        <w:ind w:left="7" w:right="120" w:firstLine="1112"/>
        <w:spacing w:after="0" w:line="26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60" w:lineRule="exact"/>
        <w:rPr>
          <w:sz w:val="20"/>
          <w:szCs w:val="20"/>
          <w:color w:val="auto"/>
        </w:rPr>
      </w:pPr>
    </w:p>
    <w:p>
      <w:pPr>
        <w:ind w:left="7" w:right="20" w:firstLine="1112"/>
        <w:spacing w:after="0" w:line="264"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5"/>
          <w:szCs w:val="15"/>
          <w:b w:val="1"/>
          <w:bCs w:val="1"/>
          <w:color w:val="auto"/>
        </w:rPr>
        <w:t>IPO</w:t>
      </w:r>
      <w:r>
        <w:rPr>
          <w:rFonts w:ascii="Arial" w:cs="Arial" w:eastAsia="Arial" w:hAnsi="Arial"/>
          <w:sz w:val="15"/>
          <w:szCs w:val="15"/>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Share would have been converted, all subject to further adjustment thereafter from time to time in accordance with the provisions of this Warrant.</w:t>
      </w:r>
    </w:p>
    <w:p>
      <w:pPr>
        <w:spacing w:after="0" w:line="198" w:lineRule="exact"/>
        <w:rPr>
          <w:sz w:val="20"/>
          <w:szCs w:val="20"/>
          <w:color w:val="auto"/>
        </w:rPr>
      </w:pPr>
    </w:p>
    <w:p>
      <w:pPr>
        <w:jc w:val="both"/>
        <w:ind w:left="7" w:right="80" w:firstLine="1112"/>
        <w:spacing w:after="0" w:line="27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Adjustments for Diluting Issuances</w:t>
      </w:r>
      <w:r>
        <w:rPr>
          <w:rFonts w:ascii="Arial" w:cs="Arial" w:eastAsia="Arial" w:hAnsi="Arial"/>
          <w:sz w:val="15"/>
          <w:szCs w:val="15"/>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53" w:lineRule="exact"/>
        <w:rPr>
          <w:sz w:val="20"/>
          <w:szCs w:val="20"/>
          <w:color w:val="auto"/>
        </w:rPr>
      </w:pPr>
    </w:p>
    <w:p>
      <w:pPr>
        <w:ind w:left="7" w:right="80" w:firstLine="1112"/>
        <w:spacing w:after="0" w:line="26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No Fractional Share</w:t>
      </w:r>
      <w:r>
        <w:rPr>
          <w:rFonts w:ascii="Arial" w:cs="Arial" w:eastAsia="Arial" w:hAnsi="Arial"/>
          <w:sz w:val="15"/>
          <w:szCs w:val="15"/>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56" w:lineRule="exact"/>
        <w:rPr>
          <w:sz w:val="20"/>
          <w:szCs w:val="20"/>
          <w:color w:val="auto"/>
        </w:rPr>
      </w:pPr>
    </w:p>
    <w:p>
      <w:pPr>
        <w:jc w:val="both"/>
        <w:ind w:left="7" w:right="40" w:firstLine="1112"/>
        <w:spacing w:after="0" w:line="268"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Notice/Certificate as to Adjustments</w:t>
      </w:r>
      <w:r>
        <w:rPr>
          <w:rFonts w:ascii="Arial" w:cs="Arial" w:eastAsia="Arial" w:hAnsi="Arial"/>
          <w:sz w:val="15"/>
          <w:szCs w:val="15"/>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8" w:lineRule="exact"/>
        <w:rPr>
          <w:sz w:val="20"/>
          <w:szCs w:val="20"/>
          <w:color w:val="auto"/>
        </w:rPr>
      </w:pPr>
    </w:p>
    <w:p>
      <w:pPr>
        <w:ind w:left="3087"/>
        <w:spacing w:after="0"/>
        <w:tabs>
          <w:tab w:leader="none" w:pos="4187"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u w:val="single" w:color="auto"/>
          <w:color w:val="auto"/>
        </w:rPr>
        <w:t>REPRESENTATIONS AND COVENANTS OF THE COMPANY.</w:t>
      </w:r>
    </w:p>
    <w:p>
      <w:pPr>
        <w:spacing w:after="0" w:line="187"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represents and warrants to, and agrees with, the Holder as follows:</w:t>
      </w:r>
    </w:p>
    <w:p>
      <w:pPr>
        <w:spacing w:after="0" w:line="198" w:lineRule="exact"/>
        <w:rPr>
          <w:sz w:val="20"/>
          <w:szCs w:val="20"/>
          <w:color w:val="auto"/>
        </w:rPr>
      </w:pPr>
    </w:p>
    <w:p>
      <w:pPr>
        <w:ind w:left="7" w:right="320" w:firstLine="1104"/>
        <w:spacing w:after="0" w:line="327" w:lineRule="auto"/>
        <w:tabs>
          <w:tab w:leader="none" w:pos="1673"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17" w:lineRule="exact"/>
        <w:rPr>
          <w:rFonts w:ascii="Arial" w:cs="Arial" w:eastAsia="Arial" w:hAnsi="Arial"/>
          <w:sz w:val="14"/>
          <w:szCs w:val="14"/>
          <w:color w:val="auto"/>
        </w:rPr>
      </w:pPr>
    </w:p>
    <w:p>
      <w:pPr>
        <w:ind w:left="7" w:right="40" w:firstLine="1104"/>
        <w:spacing w:after="0" w:line="265" w:lineRule="auto"/>
        <w:tabs>
          <w:tab w:leader="none" w:pos="1681" w:val="left"/>
        </w:tabs>
        <w:numPr>
          <w:ilvl w:val="0"/>
          <w:numId w:val="203"/>
        </w:numPr>
        <w:rPr>
          <w:rFonts w:ascii="Arial" w:cs="Arial" w:eastAsia="Arial" w:hAnsi="Arial"/>
          <w:sz w:val="15"/>
          <w:szCs w:val="15"/>
          <w:color w:val="auto"/>
        </w:rPr>
      </w:pPr>
      <w:r>
        <w:rPr>
          <w:rFonts w:ascii="Arial" w:cs="Arial" w:eastAsia="Arial" w:hAnsi="Arial"/>
          <w:sz w:val="15"/>
          <w:szCs w:val="15"/>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59" w:lineRule="exact"/>
        <w:rPr>
          <w:rFonts w:ascii="Arial" w:cs="Arial" w:eastAsia="Arial" w:hAnsi="Arial"/>
          <w:sz w:val="15"/>
          <w:szCs w:val="15"/>
          <w:color w:val="auto"/>
        </w:rPr>
      </w:pPr>
    </w:p>
    <w:p>
      <w:pPr>
        <w:ind w:left="1667" w:hanging="556"/>
        <w:spacing w:after="0"/>
        <w:tabs>
          <w:tab w:leader="none" w:pos="166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Company’s capitalization table attached hereto as Schedule 1 is true and complete, in all material respects, as of the Issue Date.</w:t>
      </w:r>
    </w:p>
    <w:p>
      <w:pPr>
        <w:spacing w:after="0" w:line="210"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proposes at any time to:</w:t>
      </w:r>
    </w:p>
    <w:p>
      <w:pPr>
        <w:spacing w:after="0" w:line="187" w:lineRule="exact"/>
        <w:rPr>
          <w:sz w:val="20"/>
          <w:szCs w:val="20"/>
          <w:color w:val="auto"/>
        </w:rPr>
      </w:pPr>
    </w:p>
    <w:p>
      <w:pPr>
        <w:ind w:left="7" w:right="440" w:firstLine="1104"/>
        <w:spacing w:after="0" w:line="289" w:lineRule="auto"/>
        <w:tabs>
          <w:tab w:leader="none" w:pos="1673" w:val="left"/>
        </w:tabs>
        <w:numPr>
          <w:ilvl w:val="0"/>
          <w:numId w:val="204"/>
        </w:numPr>
        <w:rPr>
          <w:rFonts w:ascii="Arial" w:cs="Arial" w:eastAsia="Arial" w:hAnsi="Arial"/>
          <w:sz w:val="15"/>
          <w:szCs w:val="15"/>
          <w:color w:val="auto"/>
        </w:rPr>
      </w:pPr>
      <w:r>
        <w:rPr>
          <w:rFonts w:ascii="Arial" w:cs="Arial" w:eastAsia="Arial" w:hAnsi="Arial"/>
          <w:sz w:val="15"/>
          <w:szCs w:val="15"/>
          <w:color w:val="auto"/>
        </w:rPr>
        <w:t>declare any dividend or distribution upon the outstanding shares of the Class or common stock, whether in cash, property, stock, or other securities and whether or not a regular cash dividend;</w:t>
      </w:r>
    </w:p>
    <w:p>
      <w:pPr>
        <w:spacing w:after="0" w:line="140" w:lineRule="exact"/>
        <w:rPr>
          <w:rFonts w:ascii="Arial" w:cs="Arial" w:eastAsia="Arial" w:hAnsi="Arial"/>
          <w:sz w:val="15"/>
          <w:szCs w:val="15"/>
          <w:color w:val="auto"/>
        </w:rPr>
      </w:pPr>
    </w:p>
    <w:p>
      <w:pPr>
        <w:ind w:left="7" w:right="100" w:firstLine="1104"/>
        <w:spacing w:after="0" w:line="289" w:lineRule="auto"/>
        <w:tabs>
          <w:tab w:leader="none" w:pos="1681" w:val="left"/>
        </w:tabs>
        <w:numPr>
          <w:ilvl w:val="0"/>
          <w:numId w:val="204"/>
        </w:numPr>
        <w:rPr>
          <w:rFonts w:ascii="Arial" w:cs="Arial" w:eastAsia="Arial" w:hAnsi="Arial"/>
          <w:sz w:val="15"/>
          <w:szCs w:val="15"/>
          <w:color w:val="auto"/>
        </w:rPr>
      </w:pPr>
      <w:r>
        <w:rPr>
          <w:rFonts w:ascii="Arial" w:cs="Arial" w:eastAsia="Arial" w:hAnsi="Arial"/>
          <w:sz w:val="15"/>
          <w:szCs w:val="15"/>
          <w:color w:val="auto"/>
        </w:rPr>
        <w:t>offer for subscription or sale pro rata to the holders of the outstanding shares of the Class any additional shares of any class or series of the Company’s stock (other than pursuant to contractual pre-emptive rights);</w:t>
      </w:r>
    </w:p>
    <w:p>
      <w:pPr>
        <w:sectPr>
          <w:pgSz w:w="11900" w:h="16838" w:orient="portrait"/>
          <w:cols w:equalWidth="0" w:num="1">
            <w:col w:w="11427"/>
          </w:cols>
          <w:pgMar w:left="233" w:top="129" w:right="239" w:bottom="0" w:gutter="0" w:footer="0" w:header="0"/>
        </w:sectPr>
      </w:pPr>
    </w:p>
    <w:bookmarkStart w:id="287" w:name="page288"/>
    <w:bookmarkEnd w:id="287"/>
    <w:p>
      <w:pPr>
        <w:ind w:left="1667" w:hanging="556"/>
        <w:spacing w:after="0"/>
        <w:tabs>
          <w:tab w:leader="none" w:pos="166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Class;</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effect an Acquisition or to liquidate, dissolve or wind up; or</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67" w:hanging="563"/>
        <w:spacing w:after="0"/>
        <w:tabs>
          <w:tab w:leader="none" w:pos="176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effect an IPO;</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then, in connection with each such event, the Company shall give Holder:</w:t>
      </w:r>
    </w:p>
    <w:p>
      <w:pPr>
        <w:spacing w:after="0" w:line="198" w:lineRule="exact"/>
        <w:rPr>
          <w:sz w:val="20"/>
          <w:szCs w:val="20"/>
          <w:color w:val="auto"/>
        </w:rPr>
      </w:pPr>
    </w:p>
    <w:p>
      <w:pPr>
        <w:ind w:left="7" w:right="40" w:firstLine="1660"/>
        <w:spacing w:after="0" w:line="283" w:lineRule="auto"/>
        <w:tabs>
          <w:tab w:leader="none" w:pos="2237" w:val="left"/>
        </w:tabs>
        <w:numPr>
          <w:ilvl w:val="1"/>
          <w:numId w:val="207"/>
        </w:numPr>
        <w:rPr>
          <w:rFonts w:ascii="Arial" w:cs="Arial" w:eastAsia="Arial" w:hAnsi="Arial"/>
          <w:sz w:val="14"/>
          <w:szCs w:val="14"/>
          <w:color w:val="auto"/>
        </w:rPr>
      </w:pPr>
      <w:r>
        <w:rPr>
          <w:rFonts w:ascii="Arial" w:cs="Arial" w:eastAsia="Arial" w:hAnsi="Arial"/>
          <w:sz w:val="14"/>
          <w:szCs w:val="14"/>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w:t>
      </w:r>
    </w:p>
    <w:p>
      <w:pPr>
        <w:spacing w:after="0" w:line="1" w:lineRule="exact"/>
        <w:rPr>
          <w:rFonts w:ascii="Arial" w:cs="Arial" w:eastAsia="Arial" w:hAnsi="Arial"/>
          <w:sz w:val="14"/>
          <w:szCs w:val="14"/>
          <w:color w:val="auto"/>
        </w:rPr>
      </w:pPr>
    </w:p>
    <w:p>
      <w:pPr>
        <w:ind w:left="207" w:hanging="207"/>
        <w:spacing w:after="0"/>
        <w:tabs>
          <w:tab w:leader="none" w:pos="207" w:val="left"/>
        </w:tabs>
        <w:numPr>
          <w:ilvl w:val="0"/>
          <w:numId w:val="208"/>
        </w:numPr>
        <w:rPr>
          <w:rFonts w:ascii="Arial" w:cs="Arial" w:eastAsia="Arial" w:hAnsi="Arial"/>
          <w:sz w:val="15"/>
          <w:szCs w:val="15"/>
          <w:color w:val="auto"/>
        </w:rPr>
      </w:pPr>
      <w:r>
        <w:rPr>
          <w:rFonts w:ascii="Arial" w:cs="Arial" w:eastAsia="Arial" w:hAnsi="Arial"/>
          <w:sz w:val="15"/>
          <w:szCs w:val="15"/>
          <w:color w:val="auto"/>
        </w:rPr>
        <w:t>and (b) above;</w:t>
      </w:r>
    </w:p>
    <w:p>
      <w:pPr>
        <w:spacing w:after="0" w:line="187" w:lineRule="exact"/>
        <w:rPr>
          <w:rFonts w:ascii="Arial" w:cs="Arial" w:eastAsia="Arial" w:hAnsi="Arial"/>
          <w:sz w:val="15"/>
          <w:szCs w:val="15"/>
          <w:color w:val="auto"/>
        </w:rPr>
      </w:pPr>
    </w:p>
    <w:p>
      <w:pPr>
        <w:jc w:val="both"/>
        <w:ind w:left="7" w:right="220" w:firstLine="1660"/>
        <w:spacing w:after="0" w:line="273" w:lineRule="auto"/>
        <w:tabs>
          <w:tab w:leader="none" w:pos="2237" w:val="left"/>
        </w:tabs>
        <w:numPr>
          <w:ilvl w:val="1"/>
          <w:numId w:val="208"/>
        </w:numPr>
        <w:rPr>
          <w:rFonts w:ascii="Arial" w:cs="Arial" w:eastAsia="Arial" w:hAnsi="Arial"/>
          <w:sz w:val="15"/>
          <w:szCs w:val="15"/>
          <w:color w:val="auto"/>
        </w:rPr>
      </w:pPr>
      <w:r>
        <w:rPr>
          <w:rFonts w:ascii="Arial" w:cs="Arial" w:eastAsia="Arial" w:hAnsi="Arial"/>
          <w:sz w:val="15"/>
          <w:szCs w:val="15"/>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52" w:lineRule="exact"/>
        <w:rPr>
          <w:rFonts w:ascii="Arial" w:cs="Arial" w:eastAsia="Arial" w:hAnsi="Arial"/>
          <w:sz w:val="15"/>
          <w:szCs w:val="15"/>
          <w:color w:val="auto"/>
        </w:rPr>
      </w:pPr>
    </w:p>
    <w:p>
      <w:pPr>
        <w:ind w:left="2227" w:hanging="560"/>
        <w:spacing w:after="0"/>
        <w:tabs>
          <w:tab w:leader="none" w:pos="2227" w:val="left"/>
        </w:tabs>
        <w:numPr>
          <w:ilvl w:val="1"/>
          <w:numId w:val="208"/>
        </w:numPr>
        <w:rPr>
          <w:rFonts w:ascii="Arial" w:cs="Arial" w:eastAsia="Arial" w:hAnsi="Arial"/>
          <w:sz w:val="14"/>
          <w:szCs w:val="14"/>
          <w:color w:val="auto"/>
        </w:rPr>
      </w:pPr>
      <w:r>
        <w:rPr>
          <w:rFonts w:ascii="Arial" w:cs="Arial" w:eastAsia="Arial" w:hAnsi="Arial"/>
          <w:sz w:val="14"/>
          <w:szCs w:val="14"/>
          <w:color w:val="auto"/>
        </w:rPr>
        <w:t>with respect to the IPO, at least seven (7) Business Days prior written notice of the date on which the Company proposes to file its registration</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statement in connection therewith.</w:t>
      </w:r>
    </w:p>
    <w:p>
      <w:pPr>
        <w:spacing w:after="0" w:line="188" w:lineRule="exact"/>
        <w:rPr>
          <w:sz w:val="20"/>
          <w:szCs w:val="20"/>
          <w:color w:val="auto"/>
        </w:rPr>
      </w:pPr>
    </w:p>
    <w:p>
      <w:pPr>
        <w:jc w:val="both"/>
        <w:ind w:left="7" w:right="340"/>
        <w:spacing w:after="0" w:line="273" w:lineRule="auto"/>
        <w:rPr>
          <w:sz w:val="20"/>
          <w:szCs w:val="20"/>
          <w:color w:val="auto"/>
        </w:rPr>
      </w:pPr>
      <w:r>
        <w:rPr>
          <w:rFonts w:ascii="Arial" w:cs="Arial" w:eastAsia="Arial" w:hAnsi="Arial"/>
          <w:sz w:val="15"/>
          <w:szCs w:val="15"/>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4" w:lineRule="exact"/>
        <w:rPr>
          <w:sz w:val="20"/>
          <w:szCs w:val="20"/>
          <w:color w:val="auto"/>
        </w:rPr>
      </w:pPr>
    </w:p>
    <w:p>
      <w:pPr>
        <w:ind w:left="3287"/>
        <w:spacing w:after="0"/>
        <w:tabs>
          <w:tab w:leader="none" w:pos="4387"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4"/>
          <w:szCs w:val="14"/>
          <w:u w:val="single" w:color="auto"/>
          <w:color w:val="auto"/>
        </w:rPr>
        <w:t>REPRESENTATIONS, WARRANTIES OF THE HOLDER.</w:t>
      </w:r>
    </w:p>
    <w:p>
      <w:pPr>
        <w:spacing w:after="0" w:line="18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The Holder represents and warrants to the Company as follows:</w:t>
      </w:r>
    </w:p>
    <w:p>
      <w:pPr>
        <w:spacing w:after="0" w:line="198" w:lineRule="exact"/>
        <w:rPr>
          <w:sz w:val="20"/>
          <w:szCs w:val="20"/>
          <w:color w:val="auto"/>
        </w:rPr>
      </w:pPr>
    </w:p>
    <w:p>
      <w:pPr>
        <w:ind w:left="7" w:right="20" w:firstLine="1112"/>
        <w:spacing w:after="0" w:line="273"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Purchase for Own Account</w:t>
      </w:r>
      <w:r>
        <w:rPr>
          <w:rFonts w:ascii="Arial" w:cs="Arial" w:eastAsia="Arial" w:hAnsi="Arial"/>
          <w:sz w:val="15"/>
          <w:szCs w:val="15"/>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53" w:lineRule="exact"/>
        <w:rPr>
          <w:sz w:val="20"/>
          <w:szCs w:val="20"/>
          <w:color w:val="auto"/>
        </w:rPr>
      </w:pPr>
    </w:p>
    <w:p>
      <w:pPr>
        <w:ind w:left="7" w:right="200" w:firstLine="1112"/>
        <w:spacing w:after="0" w:line="265"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Disclosure of Information</w:t>
      </w:r>
      <w:r>
        <w:rPr>
          <w:rFonts w:ascii="Arial" w:cs="Arial" w:eastAsia="Arial" w:hAnsi="Arial"/>
          <w:sz w:val="15"/>
          <w:szCs w:val="15"/>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0" w:lineRule="exact"/>
        <w:rPr>
          <w:sz w:val="20"/>
          <w:szCs w:val="20"/>
          <w:color w:val="auto"/>
        </w:rPr>
      </w:pPr>
    </w:p>
    <w:p>
      <w:pPr>
        <w:ind w:left="7" w:right="40" w:firstLine="1112"/>
        <w:spacing w:after="0" w:line="26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0"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98" w:lineRule="exact"/>
        <w:rPr>
          <w:sz w:val="20"/>
          <w:szCs w:val="20"/>
          <w:color w:val="auto"/>
        </w:rPr>
      </w:pPr>
    </w:p>
    <w:p>
      <w:pPr>
        <w:ind w:left="7" w:right="20" w:firstLine="1112"/>
        <w:spacing w:after="0" w:line="289"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The Act</w:t>
      </w:r>
      <w:r>
        <w:rPr>
          <w:rFonts w:ascii="Arial" w:cs="Arial" w:eastAsia="Arial" w:hAnsi="Arial"/>
          <w:sz w:val="15"/>
          <w:szCs w:val="15"/>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7" w:right="40"/>
        <w:spacing w:after="0" w:line="273" w:lineRule="auto"/>
        <w:rPr>
          <w:sz w:val="20"/>
          <w:szCs w:val="20"/>
          <w:color w:val="auto"/>
        </w:rPr>
      </w:pPr>
      <w:r>
        <w:rPr>
          <w:rFonts w:ascii="Arial" w:cs="Arial" w:eastAsia="Arial" w:hAnsi="Arial"/>
          <w:sz w:val="15"/>
          <w:szCs w:val="15"/>
          <w:color w:val="auto"/>
        </w:rPr>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53" w:lineRule="exact"/>
        <w:rPr>
          <w:sz w:val="20"/>
          <w:szCs w:val="20"/>
          <w:color w:val="auto"/>
        </w:rPr>
      </w:pPr>
    </w:p>
    <w:p>
      <w:pPr>
        <w:ind w:left="87" w:right="40" w:firstLine="1112"/>
        <w:spacing w:after="0" w:line="289"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The Holder agrees that the Shares shall be subject to the Market Standoff provisions in Section 3.12 of the Third Amended and Restated Investors’ Rights Agreement or similar agreement.</w:t>
      </w:r>
    </w:p>
    <w:p>
      <w:pPr>
        <w:spacing w:after="0" w:line="141" w:lineRule="exact"/>
        <w:rPr>
          <w:sz w:val="20"/>
          <w:szCs w:val="20"/>
          <w:color w:val="auto"/>
        </w:rPr>
      </w:pPr>
    </w:p>
    <w:p>
      <w:pPr>
        <w:ind w:left="1207"/>
        <w:spacing w:after="0"/>
        <w:tabs>
          <w:tab w:leader="none" w:pos="1647" w:val="left"/>
        </w:tabs>
        <w:rPr>
          <w:sz w:val="20"/>
          <w:szCs w:val="20"/>
          <w:color w:val="auto"/>
        </w:rPr>
      </w:pPr>
      <w:r>
        <w:rPr>
          <w:rFonts w:ascii="Arial" w:cs="Arial" w:eastAsia="Arial" w:hAnsi="Arial"/>
          <w:sz w:val="15"/>
          <w:szCs w:val="15"/>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210" w:lineRule="exact"/>
        <w:rPr>
          <w:sz w:val="20"/>
          <w:szCs w:val="20"/>
          <w:color w:val="auto"/>
        </w:rPr>
      </w:pPr>
    </w:p>
    <w:p>
      <w:pPr>
        <w:ind w:left="4487"/>
        <w:spacing w:after="0"/>
        <w:tabs>
          <w:tab w:leader="none" w:pos="5607"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5"/>
          <w:szCs w:val="15"/>
          <w:u w:val="single" w:color="auto"/>
          <w:color w:val="auto"/>
        </w:rPr>
        <w:t>MISCELLANEOUS.</w:t>
      </w:r>
    </w:p>
    <w:p>
      <w:pPr>
        <w:spacing w:after="0" w:line="198" w:lineRule="exact"/>
        <w:rPr>
          <w:sz w:val="20"/>
          <w:szCs w:val="20"/>
          <w:color w:val="auto"/>
        </w:rPr>
      </w:pPr>
    </w:p>
    <w:p>
      <w:pPr>
        <w:ind w:left="1207"/>
        <w:spacing w:after="0"/>
        <w:tabs>
          <w:tab w:leader="none" w:pos="1647"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4"/>
          <w:szCs w:val="14"/>
          <w:u w:val="single" w:color="auto"/>
          <w:color w:val="auto"/>
        </w:rPr>
        <w:t>Term; Automatic Cashless Exercise Upon Expiration</w:t>
      </w:r>
      <w:r>
        <w:rPr>
          <w:rFonts w:ascii="Arial" w:cs="Arial" w:eastAsia="Arial" w:hAnsi="Arial"/>
          <w:sz w:val="14"/>
          <w:szCs w:val="14"/>
          <w:color w:val="auto"/>
        </w:rPr>
        <w:t>.</w:t>
      </w:r>
    </w:p>
    <w:p>
      <w:pPr>
        <w:spacing w:after="0" w:line="187" w:lineRule="exact"/>
        <w:rPr>
          <w:sz w:val="20"/>
          <w:szCs w:val="20"/>
          <w:color w:val="auto"/>
        </w:rPr>
      </w:pPr>
    </w:p>
    <w:p>
      <w:pPr>
        <w:ind w:left="87" w:right="100" w:firstLine="1117"/>
        <w:spacing w:after="0" w:line="273" w:lineRule="auto"/>
        <w:tabs>
          <w:tab w:leader="none" w:pos="1660"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Subject to the provisions of Section 1.6 above, this Warrant is exercisable in whole or in part at any time and from time to time on or before 6:00 PM, Eastern Time, on the Expiration Date and shall be void thereafter; provided, however, that if the Company completes the IPO within the three-year period immediately prior to the Expiration Date, the Expiration Date shall automatically be extended until the third anniversary of the effective date of the Company’s IPO.</w:t>
      </w:r>
    </w:p>
    <w:p>
      <w:pPr>
        <w:spacing w:after="0" w:line="152" w:lineRule="exact"/>
        <w:rPr>
          <w:rFonts w:ascii="Arial" w:cs="Arial" w:eastAsia="Arial" w:hAnsi="Arial"/>
          <w:sz w:val="15"/>
          <w:szCs w:val="15"/>
          <w:color w:val="auto"/>
        </w:rPr>
      </w:pPr>
    </w:p>
    <w:p>
      <w:pPr>
        <w:jc w:val="both"/>
        <w:ind w:left="87" w:firstLine="1117"/>
        <w:spacing w:after="0" w:line="293" w:lineRule="auto"/>
        <w:tabs>
          <w:tab w:leader="none" w:pos="1669"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40" w:lineRule="exact"/>
        <w:rPr>
          <w:sz w:val="20"/>
          <w:szCs w:val="20"/>
          <w:color w:val="auto"/>
        </w:rPr>
      </w:pPr>
    </w:p>
    <w:p>
      <w:pPr>
        <w:ind w:left="87" w:right="160" w:firstLine="1112"/>
        <w:spacing w:after="0" w:line="289"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Legends</w:t>
      </w:r>
      <w:r>
        <w:rPr>
          <w:rFonts w:ascii="Arial" w:cs="Arial" w:eastAsia="Arial" w:hAnsi="Arial"/>
          <w:sz w:val="15"/>
          <w:szCs w:val="15"/>
          <w:color w:val="auto"/>
        </w:rPr>
        <w:t>. Each certificate evidencing Shares (and each certificate evidencing the securities issued upon conversion of any Shares, if any) shall be imprinted with a legend in substantially the following form:</w:t>
      </w:r>
    </w:p>
    <w:p>
      <w:pPr>
        <w:spacing w:after="0" w:line="141" w:lineRule="exact"/>
        <w:rPr>
          <w:sz w:val="20"/>
          <w:szCs w:val="20"/>
          <w:color w:val="auto"/>
        </w:rPr>
      </w:pPr>
    </w:p>
    <w:p>
      <w:pPr>
        <w:ind w:left="1207" w:right="180"/>
        <w:spacing w:after="0" w:line="289" w:lineRule="auto"/>
        <w:rPr>
          <w:sz w:val="20"/>
          <w:szCs w:val="20"/>
          <w:color w:val="auto"/>
        </w:rPr>
      </w:pPr>
      <w:r>
        <w:rPr>
          <w:rFonts w:ascii="Arial" w:cs="Arial" w:eastAsia="Arial" w:hAnsi="Arial"/>
          <w:sz w:val="14"/>
          <w:szCs w:val="14"/>
          <w:color w:val="auto"/>
        </w:rPr>
        <w:t>THE SHARES EVIDENCED BY THIS CERTIFICATE HAVE NOT BEEN REGISTERED UNDER THE SECURITIES ACT OF 1933, AS AMENDED (THE “</w:t>
      </w:r>
      <w:r>
        <w:rPr>
          <w:rFonts w:ascii="Arial" w:cs="Arial" w:eastAsia="Arial" w:hAnsi="Arial"/>
          <w:sz w:val="14"/>
          <w:szCs w:val="14"/>
          <w:b w:val="1"/>
          <w:bCs w:val="1"/>
          <w:color w:val="auto"/>
        </w:rPr>
        <w:t>ACT</w:t>
      </w:r>
      <w:r>
        <w:rPr>
          <w:rFonts w:ascii="Arial" w:cs="Arial" w:eastAsia="Arial" w:hAnsi="Arial"/>
          <w:sz w:val="14"/>
          <w:szCs w:val="14"/>
          <w:color w:val="auto"/>
        </w:rPr>
        <w:t>”), OR THE SECURITIES LAWS OF ANY STATE AND, EXCEPT AS SET FORTH IN THAT CERTAIN WARRANT TO PURCHASE STOCK ISSUED BY THE ISSUER TO [OXFORD FINANCE LLC / SQUARE 1 BANK] DATED ,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ectPr>
          <w:pgSz w:w="11900" w:h="16838" w:orient="portrait"/>
          <w:cols w:equalWidth="0" w:num="1">
            <w:col w:w="11447"/>
          </w:cols>
          <w:pgMar w:left="233" w:top="314" w:right="219" w:bottom="0" w:gutter="0" w:footer="0" w:header="0"/>
        </w:sectPr>
      </w:pPr>
    </w:p>
    <w:bookmarkStart w:id="288" w:name="page289"/>
    <w:bookmarkEnd w:id="288"/>
    <w:p>
      <w:pPr>
        <w:ind w:left="80" w:right="40" w:firstLine="1112"/>
        <w:spacing w:after="0" w:line="264"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Compliance with Securities Laws on Transfer</w:t>
      </w:r>
      <w:r>
        <w:rPr>
          <w:rFonts w:ascii="Arial" w:cs="Arial" w:eastAsia="Arial" w:hAnsi="Arial"/>
          <w:sz w:val="15"/>
          <w:szCs w:val="15"/>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tabs>
          <w:tab w:leader="none" w:pos="164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[Oxford / Bank] of the executed Warrant, [Oxford / Bank] may transfer all or part of this Warrant to one or more of</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color w:val="auto"/>
        </w:rPr>
        <w:t>[Oxford / Bank] affiliates (each, a “</w:t>
      </w:r>
      <w:r>
        <w:rPr>
          <w:rFonts w:ascii="Arial" w:cs="Arial" w:eastAsia="Arial" w:hAnsi="Arial"/>
          <w:sz w:val="14"/>
          <w:szCs w:val="14"/>
          <w:b w:val="1"/>
          <w:bCs w:val="1"/>
          <w:color w:val="auto"/>
        </w:rPr>
        <w:t>[Oxford / Bank] Affiliate</w:t>
      </w:r>
      <w:r>
        <w:rPr>
          <w:rFonts w:ascii="Arial" w:cs="Arial" w:eastAsia="Arial" w:hAnsi="Arial"/>
          <w:sz w:val="14"/>
          <w:szCs w:val="14"/>
          <w:color w:val="auto"/>
        </w:rPr>
        <w:t>”), by execution of an Assignment substantially in the form of Appendix 2. Subject to the provisions of Article 5.3 and</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upon providing the Company with written notice, [Oxford / Bank], any such [Oxford / Bank] Affiliate and any subsequent Holder, may transfer all or part of this Warrant or the Shares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issuable upon exercise of this Warrant (or the Shares issuable directly or indirectly, upon conversion of the Shares, if any) to any other transferee, provided, however, in connection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with any such transfer, the [Oxford / Bank] Affiliate(s) or any subsequent Holder will give the Company notice of the portion of the Warrant being transferred with the name, address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5"/>
          <w:szCs w:val="15"/>
          <w:color w:val="auto"/>
        </w:rPr>
        <w:t>and taxpayer identification number of the transferee and Holder will surrender this Warrant to the Company for reissuance to the transferee(s) (and Holder if applicable).</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Notwithstanding any contrary provision herein, at all times prior to the IPO, Holder may not, without the Company’s prior written consent, transfer this Warrant or any portion hereof,</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or any Shares issued upon any exercise hereof, or any shares or other securities issued upon any conversion of any Shares issued upon any exercise hereof, to any person or entity who</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5"/>
          <w:szCs w:val="15"/>
          <w:color w:val="auto"/>
        </w:rPr>
        <w:t>directly competes with the Company, except in connection with an Acquisition of the Company by such a direct competitor.</w:t>
      </w:r>
    </w:p>
    <w:p>
      <w:pPr>
        <w:spacing w:after="0" w:line="188" w:lineRule="exact"/>
        <w:rPr>
          <w:sz w:val="20"/>
          <w:szCs w:val="20"/>
          <w:color w:val="auto"/>
        </w:rPr>
      </w:pPr>
    </w:p>
    <w:p>
      <w:pPr>
        <w:ind w:left="80" w:firstLine="1112"/>
        <w:spacing w:after="0" w:line="26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5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[Oxford Finance LLC / Square 1 Bank]</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[ADDRESS]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Notice to the Company shall be addressed as follows until Holder receives notice of a change in address:</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SELECTA BIOSCIENCES, INC.</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480 Arsenal Street</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Building One</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Watertown, MA 02472</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Attn: David Abraham</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Telephone: (617) 923-1400</w:t>
      </w:r>
    </w:p>
    <w:p>
      <w:pPr>
        <w:spacing w:after="0" w:line="1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Email: dabraham@selectabio.com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With a copy (which shall not constitute notice) to:</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Foley Hoag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155 Seaport Boulevard</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Boston, MA 02210</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Attn: Jeffrey Quillen</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Telephone: (617) 832-1205</w:t>
      </w:r>
    </w:p>
    <w:p>
      <w:pPr>
        <w:spacing w:after="0" w:line="1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Facsimile: (617) 832-7000</w:t>
      </w:r>
    </w:p>
    <w:p>
      <w:pPr>
        <w:spacing w:after="0" w:line="1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Email: jquillen@foleyhoag.com</w:t>
      </w:r>
    </w:p>
    <w:p>
      <w:pPr>
        <w:spacing w:after="0" w:line="187" w:lineRule="exact"/>
        <w:rPr>
          <w:sz w:val="20"/>
          <w:szCs w:val="20"/>
          <w:color w:val="auto"/>
        </w:rPr>
      </w:pPr>
    </w:p>
    <w:p>
      <w:pPr>
        <w:ind w:left="80" w:right="620" w:firstLine="1112"/>
        <w:spacing w:after="0" w:line="327"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Waiver</w:t>
      </w:r>
      <w:r>
        <w:rPr>
          <w:rFonts w:ascii="Arial" w:cs="Arial" w:eastAsia="Arial" w:hAnsi="Arial"/>
          <w:sz w:val="14"/>
          <w:szCs w:val="14"/>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firstLine="1112"/>
        <w:spacing w:after="0" w:line="28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1" w:lineRule="exact"/>
        <w:rPr>
          <w:sz w:val="20"/>
          <w:szCs w:val="20"/>
          <w:color w:val="auto"/>
        </w:rPr>
      </w:pPr>
    </w:p>
    <w:p>
      <w:pPr>
        <w:ind w:right="240" w:firstLine="1112"/>
        <w:spacing w:after="0" w:line="273"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Counterparts; Facsimile/Electronic Signatures</w:t>
      </w:r>
      <w:r>
        <w:rPr>
          <w:rFonts w:ascii="Arial" w:cs="Arial" w:eastAsia="Arial" w:hAnsi="Arial"/>
          <w:sz w:val="15"/>
          <w:szCs w:val="15"/>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3" w:lineRule="exact"/>
        <w:rPr>
          <w:sz w:val="20"/>
          <w:szCs w:val="20"/>
          <w:color w:val="auto"/>
        </w:rPr>
      </w:pPr>
    </w:p>
    <w:p>
      <w:pPr>
        <w:ind w:right="580" w:firstLine="1112"/>
        <w:spacing w:after="0" w:line="289"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Governing Law</w:t>
      </w:r>
      <w:r>
        <w:rPr>
          <w:rFonts w:ascii="Arial" w:cs="Arial" w:eastAsia="Arial" w:hAnsi="Arial"/>
          <w:sz w:val="15"/>
          <w:szCs w:val="15"/>
          <w:color w:val="auto"/>
        </w:rPr>
        <w:t>. This Warrant shall be governed by and construed in accordance with the laws of the State of California, without giving effect to its principles regarding conflicts of law.</w:t>
      </w:r>
    </w:p>
    <w:p>
      <w:pPr>
        <w:spacing w:after="0" w:line="141"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5"/>
          <w:szCs w:val="15"/>
          <w:color w:val="auto"/>
        </w:rPr>
        <w:t>5.10</w:t>
      </w:r>
      <w:r>
        <w:rPr>
          <w:sz w:val="20"/>
          <w:szCs w:val="20"/>
          <w:color w:val="auto"/>
        </w:rPr>
        <w:tab/>
      </w:r>
      <w:r>
        <w:rPr>
          <w:rFonts w:ascii="Arial" w:cs="Arial" w:eastAsia="Arial" w:hAnsi="Arial"/>
          <w:sz w:val="14"/>
          <w:szCs w:val="14"/>
          <w:u w:val="single" w:color="auto"/>
          <w:color w:val="auto"/>
        </w:rPr>
        <w:t>Headings</w:t>
      </w:r>
      <w:r>
        <w:rPr>
          <w:rFonts w:ascii="Arial" w:cs="Arial" w:eastAsia="Arial" w:hAnsi="Arial"/>
          <w:sz w:val="14"/>
          <w:szCs w:val="14"/>
          <w:color w:val="auto"/>
        </w:rPr>
        <w:t>. The headings in this Warrant are for purposes of reference only and shall not limit or otherwise affect the meaning of any provision of this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Warrant.</w:t>
      </w:r>
    </w:p>
    <w:p>
      <w:pPr>
        <w:spacing w:after="0" w:line="182"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color w:val="auto"/>
        </w:rPr>
        <w:t>Business Day</w:t>
      </w:r>
      <w:r>
        <w:rPr>
          <w:rFonts w:ascii="Arial" w:cs="Arial" w:eastAsia="Arial" w:hAnsi="Arial"/>
          <w:sz w:val="14"/>
          <w:szCs w:val="14"/>
          <w:color w:val="auto"/>
        </w:rPr>
        <w:t>” is any day that is not a Saturday, Sunday or a day on which [Oxford / Bank] is closed.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[Remainder of page left blank intentionally]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WITNESS WHEREOF, the parties have caused this Warrant to Purchase Stock to be executed by their duly authorized representatives effective as of the Issue Date written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above.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ectPr>
          <w:pgSz w:w="11900" w:h="16838" w:orient="portrait"/>
          <w:cols w:equalWidth="0" w:num="1">
            <w:col w:w="11400"/>
          </w:cols>
          <w:pgMar w:left="240" w:top="129" w:right="259" w:bottom="0" w:gutter="0" w:footer="0" w:header="0"/>
        </w:sectPr>
      </w:pPr>
    </w:p>
    <w:bookmarkStart w:id="289" w:name="page290"/>
    <w:bookmarkEnd w:id="289"/>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8255</wp:posOffset>
            </wp:positionV>
            <wp:extent cx="3147695"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“HOLDER”</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(Print)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7620</wp:posOffset>
            </wp:positionV>
            <wp:extent cx="3147695"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Warrant to Purchase Stock</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85990"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500" w:type="dxa"/>
            <w:vAlign w:val="bottom"/>
            <w:gridSpan w:val="2"/>
          </w:tcPr>
          <w:p>
            <w:pPr>
              <w:jc w:val="center"/>
              <w:ind w:right="900"/>
              <w:spacing w:after="0"/>
              <w:rPr>
                <w:sz w:val="20"/>
                <w:szCs w:val="20"/>
                <w:color w:val="auto"/>
              </w:rPr>
            </w:pPr>
            <w:r>
              <w:rPr>
                <w:rFonts w:ascii="Arial" w:cs="Arial" w:eastAsia="Arial" w:hAnsi="Arial"/>
                <w:sz w:val="15"/>
                <w:szCs w:val="15"/>
                <w:color w:val="auto"/>
                <w:w w:val="99"/>
              </w:rPr>
              <w:t>APPENDIX 1</w:t>
            </w:r>
          </w:p>
        </w:tc>
        <w:tc>
          <w:tcPr>
            <w:tcW w:w="2860" w:type="dxa"/>
            <w:vAlign w:val="bottom"/>
          </w:tcPr>
          <w:p>
            <w:pPr>
              <w:spacing w:after="0"/>
              <w:rPr>
                <w:sz w:val="17"/>
                <w:szCs w:val="17"/>
                <w:color w:val="auto"/>
              </w:rPr>
            </w:pPr>
          </w:p>
        </w:tc>
      </w:tr>
      <w:tr>
        <w:trPr>
          <w:trHeight w:val="348"/>
        </w:trPr>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00" w:type="dxa"/>
            <w:vAlign w:val="bottom"/>
            <w:gridSpan w:val="2"/>
          </w:tcPr>
          <w:p>
            <w:pPr>
              <w:jc w:val="center"/>
              <w:ind w:right="920"/>
              <w:spacing w:after="0"/>
              <w:rPr>
                <w:sz w:val="20"/>
                <w:szCs w:val="20"/>
                <w:color w:val="auto"/>
              </w:rPr>
            </w:pPr>
            <w:r>
              <w:rPr>
                <w:rFonts w:ascii="Arial" w:cs="Arial" w:eastAsia="Arial" w:hAnsi="Arial"/>
                <w:sz w:val="15"/>
                <w:szCs w:val="15"/>
                <w:color w:val="auto"/>
                <w:w w:val="97"/>
              </w:rPr>
              <w:t>NOTICE OF EXERCISE</w:t>
            </w:r>
          </w:p>
        </w:tc>
        <w:tc>
          <w:tcPr>
            <w:tcW w:w="28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75"/>
        </w:trPr>
        <w:tc>
          <w:tcPr>
            <w:tcW w:w="280" w:type="dxa"/>
            <w:vAlign w:val="bottom"/>
          </w:tcPr>
          <w:p>
            <w:pPr>
              <w:jc w:val="right"/>
              <w:ind w:right="83"/>
              <w:spacing w:after="0"/>
              <w:rPr>
                <w:sz w:val="20"/>
                <w:szCs w:val="20"/>
                <w:color w:val="auto"/>
              </w:rPr>
            </w:pPr>
            <w:r>
              <w:rPr>
                <w:rFonts w:ascii="Arial" w:cs="Arial" w:eastAsia="Arial" w:hAnsi="Arial"/>
                <w:sz w:val="15"/>
                <w:szCs w:val="15"/>
                <w:color w:val="auto"/>
                <w:w w:val="79"/>
              </w:rPr>
              <w:t>1.</w:t>
            </w:r>
          </w:p>
        </w:tc>
        <w:tc>
          <w:tcPr>
            <w:tcW w:w="4000" w:type="dxa"/>
            <w:vAlign w:val="bottom"/>
          </w:tcPr>
          <w:p>
            <w:pPr>
              <w:ind w:left="180"/>
              <w:spacing w:after="0"/>
              <w:rPr>
                <w:sz w:val="20"/>
                <w:szCs w:val="20"/>
                <w:color w:val="auto"/>
              </w:rPr>
            </w:pPr>
            <w:r>
              <w:rPr>
                <w:rFonts w:ascii="Arial" w:cs="Arial" w:eastAsia="Arial" w:hAnsi="Arial"/>
                <w:sz w:val="15"/>
                <w:szCs w:val="15"/>
                <w:color w:val="auto"/>
                <w:w w:val="95"/>
              </w:rPr>
              <w:t>The undersigned Holder hereby exercises its right purchase</w:t>
            </w:r>
          </w:p>
        </w:tc>
        <w:tc>
          <w:tcPr>
            <w:tcW w:w="2500" w:type="dxa"/>
            <w:vAlign w:val="bottom"/>
            <w:gridSpan w:val="2"/>
          </w:tcPr>
          <w:p>
            <w:pPr>
              <w:ind w:left="420"/>
              <w:spacing w:after="0"/>
              <w:rPr>
                <w:sz w:val="20"/>
                <w:szCs w:val="20"/>
                <w:color w:val="auto"/>
              </w:rPr>
            </w:pPr>
            <w:r>
              <w:rPr>
                <w:rFonts w:ascii="Arial" w:cs="Arial" w:eastAsia="Arial" w:hAnsi="Arial"/>
                <w:sz w:val="15"/>
                <w:szCs w:val="15"/>
                <w:color w:val="auto"/>
              </w:rPr>
              <w:t>shares of the Common/Series</w:t>
            </w:r>
          </w:p>
        </w:tc>
        <w:tc>
          <w:tcPr>
            <w:tcW w:w="2860" w:type="dxa"/>
            <w:vAlign w:val="bottom"/>
          </w:tcPr>
          <w:p>
            <w:pPr>
              <w:ind w:left="280"/>
              <w:spacing w:after="0"/>
              <w:rPr>
                <w:sz w:val="20"/>
                <w:szCs w:val="20"/>
                <w:color w:val="auto"/>
              </w:rPr>
            </w:pPr>
            <w:r>
              <w:rPr>
                <w:rFonts w:ascii="Arial" w:cs="Arial" w:eastAsia="Arial" w:hAnsi="Arial"/>
                <w:sz w:val="15"/>
                <w:szCs w:val="15"/>
                <w:color w:val="auto"/>
                <w:w w:val="94"/>
              </w:rPr>
              <w:t>Preferred [circle one] Stock of SELECTA</w:t>
            </w:r>
          </w:p>
        </w:tc>
      </w:tr>
    </w:tbl>
    <w:p>
      <w:pPr>
        <w:spacing w:after="0"/>
        <w:rPr>
          <w:sz w:val="20"/>
          <w:szCs w:val="20"/>
          <w:color w:val="auto"/>
        </w:rPr>
      </w:pPr>
      <w:r>
        <w:rPr>
          <w:rFonts w:ascii="Arial" w:cs="Arial" w:eastAsia="Arial" w:hAnsi="Arial"/>
          <w:sz w:val="14"/>
          <w:szCs w:val="14"/>
          <w:color w:val="auto"/>
        </w:rPr>
        <w:t>BIOSCIENCES, INC. (the “</w:t>
      </w:r>
      <w:r>
        <w:rPr>
          <w:rFonts w:ascii="Arial" w:cs="Arial" w:eastAsia="Arial" w:hAnsi="Arial"/>
          <w:sz w:val="14"/>
          <w:szCs w:val="14"/>
          <w:b w:val="1"/>
          <w:bCs w:val="1"/>
          <w:color w:val="auto"/>
        </w:rPr>
        <w:t>Company</w:t>
      </w:r>
      <w:r>
        <w:rPr>
          <w:rFonts w:ascii="Arial" w:cs="Arial" w:eastAsia="Arial" w:hAnsi="Arial"/>
          <w:sz w:val="14"/>
          <w:szCs w:val="14"/>
          <w:color w:val="auto"/>
        </w:rPr>
        <w:t>”) in accordance with the attached Warrant To Purchase Stock, and tenders payment of the aggregate Warrant Price for such shares as follows:</w:t>
      </w:r>
    </w:p>
    <w:p>
      <w:pPr>
        <w:spacing w:after="0" w:line="198" w:lineRule="exact"/>
        <w:rPr>
          <w:sz w:val="20"/>
          <w:szCs w:val="20"/>
          <w:color w:val="auto"/>
        </w:rPr>
      </w:pPr>
    </w:p>
    <w:p>
      <w:pPr>
        <w:ind w:left="1040" w:hanging="399"/>
        <w:spacing w:after="0"/>
        <w:tabs>
          <w:tab w:leader="none" w:pos="104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check in the amount of $</w:t>
      </w:r>
      <w:r>
        <w:rPr>
          <w:rFonts w:ascii="Arial" w:cs="Arial" w:eastAsia="Arial" w:hAnsi="Arial"/>
          <w:sz w:val="13"/>
          <w:szCs w:val="13"/>
          <w:color w:val="auto"/>
        </w:rPr>
        <w:t>payable to order of the Company enclosed herewith</w:t>
      </w:r>
    </w:p>
    <w:p>
      <w:pPr>
        <w:spacing w:after="0" w:line="198" w:lineRule="exact"/>
        <w:rPr>
          <w:rFonts w:ascii="Arial" w:cs="Arial" w:eastAsia="Arial" w:hAnsi="Arial"/>
          <w:sz w:val="15"/>
          <w:szCs w:val="15"/>
          <w:color w:val="auto"/>
        </w:rPr>
      </w:pPr>
    </w:p>
    <w:p>
      <w:pPr>
        <w:ind w:left="1040" w:hanging="399"/>
        <w:spacing w:after="0"/>
        <w:tabs>
          <w:tab w:leader="none" w:pos="104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Wire transfer of immediately available funds to the Company’s account</w:t>
      </w:r>
    </w:p>
    <w:p>
      <w:pPr>
        <w:spacing w:after="0" w:line="198" w:lineRule="exact"/>
        <w:rPr>
          <w:rFonts w:ascii="Arial" w:cs="Arial" w:eastAsia="Arial" w:hAnsi="Arial"/>
          <w:sz w:val="15"/>
          <w:szCs w:val="15"/>
          <w:color w:val="auto"/>
        </w:rPr>
      </w:pPr>
    </w:p>
    <w:p>
      <w:pPr>
        <w:ind w:left="1040" w:hanging="399"/>
        <w:spacing w:after="0"/>
        <w:tabs>
          <w:tab w:leader="none" w:pos="104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Cashless Exercise pursuant to Section 1.2 of the Warrant</w:t>
      </w:r>
    </w:p>
    <w:p>
      <w:pPr>
        <w:spacing w:after="0" w:line="209" w:lineRule="exact"/>
        <w:rPr>
          <w:rFonts w:ascii="Arial" w:cs="Arial" w:eastAsia="Arial" w:hAnsi="Arial"/>
          <w:sz w:val="15"/>
          <w:szCs w:val="15"/>
          <w:color w:val="auto"/>
        </w:rPr>
      </w:pPr>
    </w:p>
    <w:p>
      <w:pPr>
        <w:ind w:left="1040" w:hanging="399"/>
        <w:spacing w:after="0"/>
        <w:tabs>
          <w:tab w:leader="none" w:pos="104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Other [Describe]</w:t>
      </w:r>
    </w:p>
    <w:p>
      <w:pPr>
        <w:spacing w:after="0" w:line="198" w:lineRule="exact"/>
        <w:rPr>
          <w:sz w:val="20"/>
          <w:szCs w:val="20"/>
          <w:color w:val="auto"/>
        </w:rPr>
      </w:pPr>
    </w:p>
    <w:p>
      <w:pPr>
        <w:ind w:left="640" w:right="4500" w:firstLine="1"/>
        <w:spacing w:after="0" w:line="821" w:lineRule="auto"/>
        <w:tabs>
          <w:tab w:leader="none" w:pos="1107" w:val="left"/>
        </w:tabs>
        <w:numPr>
          <w:ilvl w:val="0"/>
          <w:numId w:val="211"/>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206375</wp:posOffset>
            </wp:positionV>
            <wp:extent cx="306705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067050" cy="762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-36195</wp:posOffset>
            </wp:positionV>
            <wp:extent cx="306705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067050" cy="762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-396240</wp:posOffset>
            </wp:positionV>
            <wp:extent cx="306705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067050" cy="7620"/>
                    </a:xfrm>
                    <a:prstGeom prst="rect">
                      <a:avLst/>
                    </a:prstGeom>
                    <a:noFill/>
                  </pic:spPr>
                </pic:pic>
              </a:graphicData>
            </a:graphic>
          </wp:anchor>
        </w:drawing>
      </w:r>
    </w:p>
    <w:p>
      <w:pPr>
        <w:spacing w:after="0" w:line="30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(Address)</w:t>
      </w:r>
    </w:p>
    <w:p>
      <w:pPr>
        <w:spacing w:after="0" w:line="198" w:lineRule="exact"/>
        <w:rPr>
          <w:sz w:val="20"/>
          <w:szCs w:val="20"/>
          <w:color w:val="auto"/>
        </w:rPr>
      </w:pPr>
    </w:p>
    <w:p>
      <w:pPr>
        <w:ind w:firstLine="637"/>
        <w:spacing w:after="0" w:line="289" w:lineRule="auto"/>
        <w:tabs>
          <w:tab w:leader="none" w:pos="1108" w:val="left"/>
        </w:tabs>
        <w:numPr>
          <w:ilvl w:val="0"/>
          <w:numId w:val="212"/>
        </w:numPr>
        <w:rPr>
          <w:rFonts w:ascii="Arial" w:cs="Arial" w:eastAsia="Arial" w:hAnsi="Arial"/>
          <w:sz w:val="15"/>
          <w:szCs w:val="15"/>
          <w:color w:val="auto"/>
        </w:rPr>
      </w:pPr>
      <w:r>
        <w:rPr>
          <w:rFonts w:ascii="Arial" w:cs="Arial" w:eastAsia="Arial" w:hAnsi="Arial"/>
          <w:sz w:val="15"/>
          <w:szCs w:val="15"/>
          <w:color w:val="auto"/>
        </w:rPr>
        <w:t>By its execution below and for the benefit of the Company, Holder hereby restates each of the representations and warranties in Section 4 of the Warrant to Purchase Stock as of the date hereof.</w:t>
      </w:r>
    </w:p>
    <w:p>
      <w:pPr>
        <w:spacing w:after="0" w:line="33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242570</wp:posOffset>
            </wp:positionV>
            <wp:extent cx="3699510"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14605</wp:posOffset>
            </wp:positionV>
            <wp:extent cx="3221355"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221355" cy="7620"/>
                    </a:xfrm>
                    <a:prstGeom prst="rect">
                      <a:avLst/>
                    </a:prstGeom>
                    <a:noFill/>
                  </pic:spPr>
                </pic:pic>
              </a:graphicData>
            </a:graphic>
          </wp:anchor>
        </w:drawing>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7620</wp:posOffset>
            </wp:positionV>
            <wp:extent cx="3221355"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221355" cy="7620"/>
                    </a:xfrm>
                    <a:prstGeom prst="rect">
                      <a:avLst/>
                    </a:prstGeom>
                    <a:noFill/>
                  </pic:spPr>
                </pic:pic>
              </a:graphicData>
            </a:graphic>
          </wp:anchor>
        </w:drawing>
      </w:r>
    </w:p>
    <w:p>
      <w:pPr>
        <w:spacing w:after="0" w:line="190"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7620</wp:posOffset>
            </wp:positionV>
            <wp:extent cx="322135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221355" cy="7620"/>
                    </a:xfrm>
                    <a:prstGeom prst="rect">
                      <a:avLst/>
                    </a:prstGeom>
                    <a:noFill/>
                  </pic:spPr>
                </pic:pic>
              </a:graphicData>
            </a:graphic>
          </wp:anchor>
        </w:drawing>
      </w:r>
    </w:p>
    <w:p>
      <w:pPr>
        <w:spacing w:after="0" w:line="178"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14605</wp:posOffset>
            </wp:positionV>
            <wp:extent cx="3221355"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22135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196215</wp:posOffset>
            </wp:positionV>
            <wp:extent cx="7285990" cy="2730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620" w:type="dxa"/>
        <w:tblCellMar>
          <w:top w:w="0" w:type="dxa"/>
          <w:left w:w="0" w:type="dxa"/>
          <w:bottom w:w="0" w:type="dxa"/>
          <w:right w:w="0" w:type="dxa"/>
        </w:tblCellMar>
      </w:tblPr>
      <w:tr>
        <w:trPr>
          <w:trHeight w:val="202"/>
        </w:trPr>
        <w:tc>
          <w:tcPr>
            <w:tcW w:w="1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60" w:type="dxa"/>
            <w:vAlign w:val="bottom"/>
            <w:gridSpan w:val="2"/>
          </w:tcPr>
          <w:p>
            <w:pPr>
              <w:ind w:left="80"/>
              <w:spacing w:after="0"/>
              <w:rPr>
                <w:sz w:val="20"/>
                <w:szCs w:val="20"/>
                <w:color w:val="auto"/>
              </w:rPr>
            </w:pPr>
            <w:r>
              <w:rPr>
                <w:rFonts w:ascii="Arial" w:cs="Arial" w:eastAsia="Arial" w:hAnsi="Arial"/>
                <w:sz w:val="15"/>
                <w:szCs w:val="15"/>
                <w:b w:val="1"/>
                <w:bCs w:val="1"/>
                <w:color w:val="auto"/>
              </w:rPr>
              <w:t>APPENDIX 2</w:t>
            </w:r>
          </w:p>
        </w:tc>
        <w:tc>
          <w:tcPr>
            <w:tcW w:w="2960" w:type="dxa"/>
            <w:vAlign w:val="bottom"/>
          </w:tcPr>
          <w:p>
            <w:pPr>
              <w:spacing w:after="0"/>
              <w:rPr>
                <w:sz w:val="17"/>
                <w:szCs w:val="17"/>
                <w:color w:val="auto"/>
              </w:rPr>
            </w:pPr>
          </w:p>
        </w:tc>
      </w:tr>
      <w:tr>
        <w:trPr>
          <w:trHeight w:val="348"/>
        </w:trPr>
        <w:tc>
          <w:tcPr>
            <w:tcW w:w="1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ASSIGNMENT</w:t>
            </w:r>
          </w:p>
        </w:tc>
        <w:tc>
          <w:tcPr>
            <w:tcW w:w="20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3"/>
        </w:trPr>
        <w:tc>
          <w:tcPr>
            <w:tcW w:w="6640" w:type="dxa"/>
            <w:vAlign w:val="bottom"/>
            <w:gridSpan w:val="4"/>
          </w:tcPr>
          <w:p>
            <w:pPr>
              <w:spacing w:after="0"/>
              <w:rPr>
                <w:sz w:val="20"/>
                <w:szCs w:val="20"/>
                <w:color w:val="auto"/>
              </w:rPr>
            </w:pPr>
            <w:r>
              <w:rPr>
                <w:rFonts w:ascii="Arial" w:cs="Arial" w:eastAsia="Arial" w:hAnsi="Arial"/>
                <w:sz w:val="15"/>
                <w:szCs w:val="15"/>
                <w:color w:val="auto"/>
              </w:rPr>
              <w:t>For value received, [Oxford Finance LLC / Square 1 Bank] hereby sells, assigns and transfers unto</w:t>
            </w:r>
          </w:p>
        </w:tc>
        <w:tc>
          <w:tcPr>
            <w:tcW w:w="2960" w:type="dxa"/>
            <w:vAlign w:val="bottom"/>
          </w:tcPr>
          <w:p>
            <w:pPr>
              <w:spacing w:after="0"/>
              <w:rPr>
                <w:sz w:val="24"/>
                <w:szCs w:val="24"/>
                <w:color w:val="auto"/>
              </w:rPr>
            </w:pPr>
          </w:p>
        </w:tc>
      </w:tr>
      <w:tr>
        <w:trPr>
          <w:trHeight w:val="371"/>
        </w:trPr>
        <w:tc>
          <w:tcPr>
            <w:tcW w:w="1500" w:type="dxa"/>
            <w:vAlign w:val="bottom"/>
          </w:tcPr>
          <w:p>
            <w:pPr>
              <w:ind w:left="740"/>
              <w:spacing w:after="0"/>
              <w:rPr>
                <w:sz w:val="20"/>
                <w:szCs w:val="20"/>
                <w:color w:val="auto"/>
              </w:rPr>
            </w:pPr>
            <w:r>
              <w:rPr>
                <w:rFonts w:ascii="Arial" w:cs="Arial" w:eastAsia="Arial" w:hAnsi="Arial"/>
                <w:sz w:val="15"/>
                <w:szCs w:val="15"/>
                <w:color w:val="auto"/>
              </w:rPr>
              <w:t>Name:</w:t>
            </w:r>
          </w:p>
        </w:tc>
        <w:tc>
          <w:tcPr>
            <w:tcW w:w="5140" w:type="dxa"/>
            <w:vAlign w:val="bottom"/>
            <w:gridSpan w:val="3"/>
          </w:tcPr>
          <w:p>
            <w:pPr>
              <w:ind w:left="200"/>
              <w:spacing w:after="0"/>
              <w:rPr>
                <w:sz w:val="20"/>
                <w:szCs w:val="20"/>
                <w:color w:val="auto"/>
              </w:rPr>
            </w:pPr>
            <w:r>
              <w:rPr>
                <w:rFonts w:ascii="Arial" w:cs="Arial" w:eastAsia="Arial" w:hAnsi="Arial"/>
                <w:sz w:val="15"/>
                <w:szCs w:val="15"/>
                <w:color w:val="auto"/>
              </w:rPr>
              <w:t>[OXFORD / BANK TRANSFEREE]</w:t>
            </w:r>
          </w:p>
        </w:tc>
        <w:tc>
          <w:tcPr>
            <w:tcW w:w="2960" w:type="dxa"/>
            <w:vAlign w:val="bottom"/>
          </w:tcPr>
          <w:p>
            <w:pPr>
              <w:spacing w:after="0"/>
              <w:rPr>
                <w:sz w:val="24"/>
                <w:szCs w:val="24"/>
                <w:color w:val="auto"/>
              </w:rPr>
            </w:pPr>
          </w:p>
        </w:tc>
      </w:tr>
      <w:tr>
        <w:trPr>
          <w:trHeight w:val="371"/>
        </w:trPr>
        <w:tc>
          <w:tcPr>
            <w:tcW w:w="1500" w:type="dxa"/>
            <w:vAlign w:val="bottom"/>
          </w:tcPr>
          <w:p>
            <w:pPr>
              <w:ind w:left="740"/>
              <w:spacing w:after="0"/>
              <w:rPr>
                <w:sz w:val="20"/>
                <w:szCs w:val="20"/>
                <w:color w:val="auto"/>
              </w:rPr>
            </w:pPr>
            <w:r>
              <w:rPr>
                <w:rFonts w:ascii="Arial" w:cs="Arial" w:eastAsia="Arial" w:hAnsi="Arial"/>
                <w:sz w:val="15"/>
                <w:szCs w:val="15"/>
                <w:color w:val="auto"/>
              </w:rPr>
              <w:t>Address:</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1"/>
        </w:trPr>
        <w:tc>
          <w:tcPr>
            <w:tcW w:w="1500" w:type="dxa"/>
            <w:vAlign w:val="bottom"/>
          </w:tcPr>
          <w:p>
            <w:pPr>
              <w:ind w:left="740"/>
              <w:spacing w:after="0"/>
              <w:rPr>
                <w:sz w:val="20"/>
                <w:szCs w:val="20"/>
                <w:color w:val="auto"/>
              </w:rPr>
            </w:pPr>
            <w:r>
              <w:rPr>
                <w:rFonts w:ascii="Arial" w:cs="Arial" w:eastAsia="Arial" w:hAnsi="Arial"/>
                <w:sz w:val="15"/>
                <w:szCs w:val="15"/>
                <w:color w:val="auto"/>
              </w:rPr>
              <w:t>Tax ID:</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57"/>
        </w:trPr>
        <w:tc>
          <w:tcPr>
            <w:tcW w:w="6640" w:type="dxa"/>
            <w:vAlign w:val="bottom"/>
            <w:gridSpan w:val="4"/>
          </w:tcPr>
          <w:p>
            <w:pPr>
              <w:spacing w:after="0"/>
              <w:rPr>
                <w:sz w:val="20"/>
                <w:szCs w:val="20"/>
                <w:color w:val="auto"/>
              </w:rPr>
            </w:pPr>
            <w:r>
              <w:rPr>
                <w:rFonts w:ascii="Arial" w:cs="Arial" w:eastAsia="Arial" w:hAnsi="Arial"/>
                <w:sz w:val="15"/>
                <w:szCs w:val="15"/>
                <w:color w:val="auto"/>
                <w:w w:val="96"/>
              </w:rPr>
              <w:t>that certain Warrant to Purchase Stock issued by SELECTA BIOSCIENCES, INC. (the “</w:t>
            </w:r>
            <w:r>
              <w:rPr>
                <w:rFonts w:ascii="Arial" w:cs="Arial" w:eastAsia="Arial" w:hAnsi="Arial"/>
                <w:sz w:val="15"/>
                <w:szCs w:val="15"/>
                <w:b w:val="1"/>
                <w:bCs w:val="1"/>
                <w:color w:val="auto"/>
                <w:w w:val="96"/>
              </w:rPr>
              <w:t>Company</w:t>
            </w:r>
            <w:r>
              <w:rPr>
                <w:rFonts w:ascii="Arial" w:cs="Arial" w:eastAsia="Arial" w:hAnsi="Arial"/>
                <w:sz w:val="15"/>
                <w:szCs w:val="15"/>
                <w:color w:val="auto"/>
                <w:w w:val="96"/>
              </w:rPr>
              <w:t>”), on</w:t>
            </w:r>
          </w:p>
        </w:tc>
        <w:tc>
          <w:tcPr>
            <w:tcW w:w="2960" w:type="dxa"/>
            <w:vAlign w:val="bottom"/>
          </w:tcPr>
          <w:p>
            <w:pPr>
              <w:ind w:left="160"/>
              <w:spacing w:after="0"/>
              <w:rPr>
                <w:sz w:val="20"/>
                <w:szCs w:val="20"/>
                <w:color w:val="auto"/>
              </w:rPr>
            </w:pPr>
            <w:r>
              <w:rPr>
                <w:rFonts w:ascii="Arial" w:cs="Arial" w:eastAsia="Arial" w:hAnsi="Arial"/>
                <w:sz w:val="15"/>
                <w:szCs w:val="15"/>
                <w:color w:val="auto"/>
                <w:w w:val="98"/>
              </w:rPr>
              <w:t>(the “</w:t>
            </w:r>
            <w:r>
              <w:rPr>
                <w:rFonts w:ascii="Arial" w:cs="Arial" w:eastAsia="Arial" w:hAnsi="Arial"/>
                <w:sz w:val="15"/>
                <w:szCs w:val="15"/>
                <w:b w:val="1"/>
                <w:bCs w:val="1"/>
                <w:color w:val="auto"/>
                <w:w w:val="98"/>
              </w:rPr>
              <w:t>Warrant</w:t>
            </w:r>
            <w:r>
              <w:rPr>
                <w:rFonts w:ascii="Arial" w:cs="Arial" w:eastAsia="Arial" w:hAnsi="Arial"/>
                <w:sz w:val="15"/>
                <w:szCs w:val="15"/>
                <w:color w:val="auto"/>
                <w:w w:val="98"/>
              </w:rPr>
              <w:t>”) together with all rights, title</w:t>
            </w:r>
          </w:p>
        </w:tc>
      </w:tr>
      <w:tr>
        <w:trPr>
          <w:trHeight w:val="196"/>
        </w:trPr>
        <w:tc>
          <w:tcPr>
            <w:tcW w:w="1500" w:type="dxa"/>
            <w:vAlign w:val="bottom"/>
          </w:tcPr>
          <w:p>
            <w:pPr>
              <w:spacing w:after="0"/>
              <w:rPr>
                <w:sz w:val="20"/>
                <w:szCs w:val="20"/>
                <w:color w:val="auto"/>
              </w:rPr>
            </w:pPr>
            <w:r>
              <w:rPr>
                <w:rFonts w:ascii="Arial" w:cs="Arial" w:eastAsia="Arial" w:hAnsi="Arial"/>
                <w:sz w:val="15"/>
                <w:szCs w:val="15"/>
                <w:color w:val="auto"/>
              </w:rPr>
              <w:t>and interest therein.</w:t>
            </w:r>
          </w:p>
        </w:tc>
        <w:tc>
          <w:tcPr>
            <w:tcW w:w="2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spacing w:after="0" w:line="16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[OXFORD FINANCE LLC / SQUARE 1 BANK]</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7620</wp:posOffset>
            </wp:positionV>
            <wp:extent cx="291211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912110" cy="7620"/>
                    </a:xfrm>
                    <a:prstGeom prst="rect">
                      <a:avLst/>
                    </a:prstGeom>
                    <a:noFill/>
                  </pic:spPr>
                </pic:pic>
              </a:graphicData>
            </a:graphic>
          </wp:anchor>
        </w:drawing>
      </w:r>
    </w:p>
    <w:p>
      <w:pPr>
        <w:sectPr>
          <w:pgSz w:w="11900" w:h="16838" w:orient="portrait"/>
          <w:cols w:equalWidth="0" w:num="1">
            <w:col w:w="11280"/>
          </w:cols>
          <w:pgMar w:left="240" w:top="314" w:right="379" w:bottom="0" w:gutter="0" w:footer="0" w:header="0"/>
        </w:sectPr>
      </w:pPr>
    </w:p>
    <w:bookmarkStart w:id="290" w:name="page291"/>
    <w:bookmarkEnd w:id="290"/>
    <w:p>
      <w:pPr>
        <w:spacing w:after="0" w:line="289" w:lineRule="auto"/>
        <w:rPr>
          <w:sz w:val="20"/>
          <w:szCs w:val="20"/>
          <w:color w:val="auto"/>
        </w:rPr>
      </w:pPr>
      <w:r>
        <w:rPr>
          <w:rFonts w:ascii="Arial" w:cs="Arial" w:eastAsia="Arial" w:hAnsi="Arial"/>
          <w:sz w:val="15"/>
          <w:szCs w:val="15"/>
          <w:color w:val="auto"/>
        </w:rPr>
        <w:t>By its execution below, and for the benefit of the Company, [OXFORD / BANK TRANSFEREE] makes each of the representations and warranties set forth in Article 4 of the Warrant and agrees to all other provisions of the Warrant as of the date hereof.</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[OXFORD / BANK TRANSFEREE]</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320675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300"/>
          </w:cols>
          <w:pgMar w:left="240" w:top="315" w:right="359" w:bottom="1440" w:gutter="0" w:footer="0" w:header="0"/>
        </w:sectPr>
      </w:pPr>
    </w:p>
    <w:bookmarkStart w:id="291" w:name="page292"/>
    <w:bookmarkEnd w:id="291"/>
    <w:p>
      <w:pPr>
        <w:spacing w:after="0" w:line="117" w:lineRule="exact"/>
        <w:rPr>
          <w:sz w:val="20"/>
          <w:szCs w:val="20"/>
          <w:color w:val="auto"/>
        </w:rPr>
      </w:pPr>
    </w:p>
    <w:p>
      <w:pPr>
        <w:ind w:left="10720"/>
        <w:spacing w:after="0"/>
        <w:rPr>
          <w:sz w:val="20"/>
          <w:szCs w:val="20"/>
          <w:color w:val="auto"/>
        </w:rPr>
      </w:pPr>
      <w:r>
        <w:rPr>
          <w:rFonts w:ascii="Arial" w:cs="Arial" w:eastAsia="Arial" w:hAnsi="Arial"/>
          <w:sz w:val="14"/>
          <w:szCs w:val="14"/>
          <w:b w:val="1"/>
          <w:bCs w:val="1"/>
          <w:color w:val="auto"/>
        </w:rPr>
        <w:t>Exhibit 4.6</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5"/>
          <w:szCs w:val="15"/>
          <w:color w:val="auto"/>
        </w:rPr>
        <w:t>THIS WARRANT AND THE SHARES ISSUABLE HEREUNDER HAVE NOT BEEN REGISTERED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WARRANT TO PURCHASE STOCK</w:t>
      </w:r>
    </w:p>
    <w:p>
      <w:pPr>
        <w:sectPr>
          <w:pgSz w:w="11900" w:h="16955" w:orient="portrait"/>
          <w:cols w:equalWidth="0" w:num="1">
            <w:col w:w="11440"/>
          </w:cols>
          <w:pgMar w:left="240" w:top="343" w:right="219" w:bottom="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SELECTA BIOSCIENCES, INC., a Delaware corporation</w:t>
      </w:r>
    </w:p>
    <w:p>
      <w:pPr>
        <w:spacing w:after="0" w:line="35" w:lineRule="exact"/>
        <w:rPr>
          <w:sz w:val="20"/>
          <w:szCs w:val="20"/>
          <w:color w:val="auto"/>
        </w:rPr>
      </w:pPr>
    </w:p>
    <w:p>
      <w:pPr>
        <w:sectPr>
          <w:pgSz w:w="11900" w:h="16955" w:orient="portrait"/>
          <w:cols w:equalWidth="0" w:num="2">
            <w:col w:w="1940" w:space="720"/>
            <w:col w:w="8780"/>
          </w:cols>
          <w:pgMar w:left="240" w:top="343" w:right="219" w:bottom="0" w:gutter="0" w:footer="0" w:header="0"/>
          <w:type w:val="continuous"/>
        </w:sectPr>
      </w:pPr>
    </w:p>
    <w:p>
      <w:pPr>
        <w:spacing w:after="0"/>
        <w:rPr>
          <w:sz w:val="20"/>
          <w:szCs w:val="20"/>
          <w:color w:val="auto"/>
        </w:rPr>
      </w:pPr>
      <w:r>
        <w:rPr>
          <w:rFonts w:ascii="Arial" w:cs="Arial" w:eastAsia="Arial" w:hAnsi="Arial"/>
          <w:sz w:val="15"/>
          <w:szCs w:val="15"/>
          <w:color w:val="auto"/>
        </w:rPr>
        <w:t>Number of Shares: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Type/Series of Stock:</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Warrant Price: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Issue Date: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Expiration Date: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Credit Facility:</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5"/>
          <w:szCs w:val="15"/>
          <w:color w:val="auto"/>
        </w:rPr>
        <w:t>(Subject to Section 1.7)</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Series E Preferred (Subject to Section 1.7)</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$4.50 per share (Subject to Section 1.7)</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2015</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2025 See also Section 5.1(b).</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This Warrant to Purchase Stock (“</w:t>
      </w:r>
      <w:r>
        <w:rPr>
          <w:rFonts w:ascii="Arial" w:cs="Arial" w:eastAsia="Arial" w:hAnsi="Arial"/>
          <w:sz w:val="14"/>
          <w:szCs w:val="14"/>
          <w:b w:val="1"/>
          <w:bCs w:val="1"/>
          <w:color w:val="auto"/>
        </w:rPr>
        <w:t>Warrant</w:t>
      </w:r>
      <w:r>
        <w:rPr>
          <w:rFonts w:ascii="Arial" w:cs="Arial" w:eastAsia="Arial" w:hAnsi="Arial"/>
          <w:sz w:val="14"/>
          <w:szCs w:val="14"/>
          <w:color w:val="auto"/>
        </w:rPr>
        <w:t>”) is issued in connection with that certain Loan and Security Agreement dated December 31,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2015 among Oxford Finance LLC, as Lender and Collateral Agent, the Lenders from time to time party thereto, including Pacific Western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Bank and the Company (as modified, amended and/or restated from time to time, the “</w:t>
      </w:r>
      <w:r>
        <w:rPr>
          <w:rFonts w:ascii="Arial" w:cs="Arial" w:eastAsia="Arial" w:hAnsi="Arial"/>
          <w:sz w:val="15"/>
          <w:szCs w:val="15"/>
          <w:b w:val="1"/>
          <w:bCs w:val="1"/>
          <w:color w:val="auto"/>
        </w:rPr>
        <w:t>Loan Agreement</w:t>
      </w:r>
      <w:r>
        <w:rPr>
          <w:rFonts w:ascii="Arial" w:cs="Arial" w:eastAsia="Arial" w:hAnsi="Arial"/>
          <w:sz w:val="15"/>
          <w:szCs w:val="15"/>
          <w:color w:val="auto"/>
        </w:rPr>
        <w:t>”).</w:t>
      </w:r>
    </w:p>
    <w:p>
      <w:pPr>
        <w:spacing w:after="0" w:line="182" w:lineRule="exact"/>
        <w:rPr>
          <w:sz w:val="20"/>
          <w:szCs w:val="20"/>
          <w:color w:val="auto"/>
        </w:rPr>
      </w:pPr>
    </w:p>
    <w:p>
      <w:pPr>
        <w:sectPr>
          <w:pgSz w:w="11900" w:h="16955" w:orient="portrait"/>
          <w:cols w:equalWidth="0" w:num="2">
            <w:col w:w="1940" w:space="720"/>
            <w:col w:w="8780"/>
          </w:cols>
          <w:pgMar w:left="240" w:top="343" w:right="219" w:bottom="0" w:gutter="0" w:footer="0" w:header="0"/>
          <w:type w:val="continuous"/>
        </w:sectPr>
      </w:pPr>
    </w:p>
    <w:p>
      <w:pPr>
        <w:ind w:right="40" w:firstLine="556"/>
        <w:spacing w:after="0" w:line="267" w:lineRule="auto"/>
        <w:rPr>
          <w:sz w:val="20"/>
          <w:szCs w:val="20"/>
          <w:color w:val="auto"/>
        </w:rPr>
      </w:pPr>
      <w:r>
        <w:rPr>
          <w:rFonts w:ascii="Arial" w:cs="Arial" w:eastAsia="Arial" w:hAnsi="Arial"/>
          <w:sz w:val="15"/>
          <w:szCs w:val="15"/>
          <w:color w:val="auto"/>
        </w:rPr>
        <w:t>THIS WARRANT CERTIFIES THAT, for good and valuable consideration, [OXFORD FINANCE LLC / PACIFIC WESTERN BANK] (“</w:t>
      </w:r>
      <w:r>
        <w:rPr>
          <w:rFonts w:ascii="Arial" w:cs="Arial" w:eastAsia="Arial" w:hAnsi="Arial"/>
          <w:sz w:val="15"/>
          <w:szCs w:val="15"/>
          <w:b w:val="1"/>
          <w:bCs w:val="1"/>
          <w:color w:val="auto"/>
        </w:rPr>
        <w:t>[Oxford / Bank]</w:t>
      </w:r>
      <w:r>
        <w:rPr>
          <w:rFonts w:ascii="Arial" w:cs="Arial" w:eastAsia="Arial" w:hAnsi="Arial"/>
          <w:sz w:val="15"/>
          <w:szCs w:val="15"/>
          <w:color w:val="auto"/>
        </w:rPr>
        <w:t>” and, together with any successor or permitted assignee or transferee of this Warrant or of any shares issued upon exercise hereof, “</w:t>
      </w:r>
      <w:r>
        <w:rPr>
          <w:rFonts w:ascii="Arial" w:cs="Arial" w:eastAsia="Arial" w:hAnsi="Arial"/>
          <w:sz w:val="15"/>
          <w:szCs w:val="15"/>
          <w:b w:val="1"/>
          <w:bCs w:val="1"/>
          <w:color w:val="auto"/>
        </w:rPr>
        <w:t>Holder</w:t>
      </w:r>
      <w:r>
        <w:rPr>
          <w:rFonts w:ascii="Arial" w:cs="Arial" w:eastAsia="Arial" w:hAnsi="Arial"/>
          <w:sz w:val="15"/>
          <w:szCs w:val="15"/>
          <w:color w:val="auto"/>
        </w:rPr>
        <w:t>”) is entitled to purchase the number of fully paid and non-assessable shares (the “</w:t>
      </w:r>
      <w:r>
        <w:rPr>
          <w:rFonts w:ascii="Arial" w:cs="Arial" w:eastAsia="Arial" w:hAnsi="Arial"/>
          <w:sz w:val="15"/>
          <w:szCs w:val="15"/>
          <w:b w:val="1"/>
          <w:bCs w:val="1"/>
          <w:color w:val="auto"/>
        </w:rPr>
        <w:t>Shares</w:t>
      </w:r>
      <w:r>
        <w:rPr>
          <w:rFonts w:ascii="Arial" w:cs="Arial" w:eastAsia="Arial" w:hAnsi="Arial"/>
          <w:sz w:val="15"/>
          <w:szCs w:val="15"/>
          <w:color w:val="auto"/>
        </w:rPr>
        <w:t>”) of the above-stated Type/Series of Stock (the “</w:t>
      </w:r>
      <w:r>
        <w:rPr>
          <w:rFonts w:ascii="Arial" w:cs="Arial" w:eastAsia="Arial" w:hAnsi="Arial"/>
          <w:sz w:val="15"/>
          <w:szCs w:val="15"/>
          <w:b w:val="1"/>
          <w:bCs w:val="1"/>
          <w:color w:val="auto"/>
        </w:rPr>
        <w:t>Class</w:t>
      </w:r>
      <w:r>
        <w:rPr>
          <w:rFonts w:ascii="Arial" w:cs="Arial" w:eastAsia="Arial" w:hAnsi="Arial"/>
          <w:sz w:val="15"/>
          <w:szCs w:val="15"/>
          <w:color w:val="auto"/>
        </w:rPr>
        <w:t>”) of the above-named company (the “</w:t>
      </w:r>
      <w:r>
        <w:rPr>
          <w:rFonts w:ascii="Arial" w:cs="Arial" w:eastAsia="Arial" w:hAnsi="Arial"/>
          <w:sz w:val="15"/>
          <w:szCs w:val="15"/>
          <w:b w:val="1"/>
          <w:bCs w:val="1"/>
          <w:color w:val="auto"/>
        </w:rPr>
        <w:t>Company</w:t>
      </w:r>
      <w:r>
        <w:rPr>
          <w:rFonts w:ascii="Arial" w:cs="Arial" w:eastAsia="Arial" w:hAnsi="Arial"/>
          <w:sz w:val="15"/>
          <w:szCs w:val="15"/>
          <w:color w:val="auto"/>
        </w:rPr>
        <w:t>”) at the above-stated Warrant Price, all as set forth above and as adjusted pursuant to Section 2 of this Warrant, subject to the provisions and upon the terms and conditions set forth in this Warrant. [Reference is made to Section 5.4 of this Warrant, whereby Bank shall transfer this warrant to its parent company, PacWest Bancorp.]</w:t>
      </w:r>
    </w:p>
    <w:p>
      <w:pPr>
        <w:spacing w:after="0" w:line="170" w:lineRule="exact"/>
        <w:rPr>
          <w:sz w:val="20"/>
          <w:szCs w:val="20"/>
          <w:color w:val="auto"/>
        </w:rPr>
      </w:pPr>
    </w:p>
    <w:p>
      <w:pPr>
        <w:ind w:left="4760"/>
        <w:spacing w:after="0"/>
        <w:tabs>
          <w:tab w:leader="none" w:pos="588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EXERCISE.</w:t>
      </w:r>
    </w:p>
    <w:p>
      <w:pPr>
        <w:spacing w:after="0" w:line="187" w:lineRule="exact"/>
        <w:rPr>
          <w:sz w:val="20"/>
          <w:szCs w:val="20"/>
          <w:color w:val="auto"/>
        </w:rPr>
      </w:pPr>
    </w:p>
    <w:p>
      <w:pPr>
        <w:ind w:firstLine="1112"/>
        <w:spacing w:after="0" w:line="268"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Method of Exercise</w:t>
      </w:r>
      <w:r>
        <w:rPr>
          <w:rFonts w:ascii="Arial" w:cs="Arial" w:eastAsia="Arial" w:hAnsi="Arial"/>
          <w:sz w:val="15"/>
          <w:szCs w:val="15"/>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6" w:lineRule="exact"/>
        <w:rPr>
          <w:sz w:val="20"/>
          <w:szCs w:val="20"/>
          <w:color w:val="auto"/>
        </w:rPr>
      </w:pPr>
    </w:p>
    <w:p>
      <w:pPr>
        <w:ind w:right="160" w:firstLine="1112"/>
        <w:spacing w:after="0" w:line="302"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Cashless Exercise</w:t>
      </w:r>
      <w:r>
        <w:rPr>
          <w:rFonts w:ascii="Arial" w:cs="Arial" w:eastAsia="Arial" w:hAnsi="Arial"/>
          <w:sz w:val="14"/>
          <w:szCs w:val="14"/>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X = Y(A-B)/A</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w:t>
      </w:r>
    </w:p>
    <w:p>
      <w:pPr>
        <w:spacing w:after="0" w:line="198" w:lineRule="exact"/>
        <w:rPr>
          <w:sz w:val="20"/>
          <w:szCs w:val="20"/>
          <w:color w:val="auto"/>
        </w:rPr>
      </w:pPr>
    </w:p>
    <w:p>
      <w:pPr>
        <w:ind w:left="1660"/>
        <w:spacing w:after="0"/>
        <w:tabs>
          <w:tab w:leader="none" w:pos="2220" w:val="left"/>
        </w:tabs>
        <w:rPr>
          <w:sz w:val="20"/>
          <w:szCs w:val="20"/>
          <w:color w:val="auto"/>
        </w:rPr>
      </w:pPr>
      <w:r>
        <w:rPr>
          <w:rFonts w:ascii="Arial" w:cs="Arial" w:eastAsia="Arial" w:hAnsi="Arial"/>
          <w:sz w:val="15"/>
          <w:szCs w:val="15"/>
          <w:color w:val="auto"/>
        </w:rPr>
        <w:t>X =</w:t>
      </w:r>
      <w:r>
        <w:rPr>
          <w:sz w:val="20"/>
          <w:szCs w:val="20"/>
          <w:color w:val="auto"/>
        </w:rPr>
        <w:tab/>
      </w:r>
      <w:r>
        <w:rPr>
          <w:rFonts w:ascii="Arial" w:cs="Arial" w:eastAsia="Arial" w:hAnsi="Arial"/>
          <w:sz w:val="13"/>
          <w:szCs w:val="13"/>
          <w:color w:val="auto"/>
        </w:rPr>
        <w:t>the number of Shares to be issued to the Holder;</w:t>
      </w:r>
    </w:p>
    <w:p>
      <w:pPr>
        <w:spacing w:after="0" w:line="198" w:lineRule="exact"/>
        <w:rPr>
          <w:sz w:val="20"/>
          <w:szCs w:val="20"/>
          <w:color w:val="auto"/>
        </w:rPr>
      </w:pPr>
    </w:p>
    <w:p>
      <w:pPr>
        <w:ind w:left="2220" w:right="180" w:hanging="555"/>
        <w:spacing w:after="0" w:line="289" w:lineRule="auto"/>
        <w:tabs>
          <w:tab w:leader="none" w:pos="2200" w:val="left"/>
        </w:tabs>
        <w:rPr>
          <w:sz w:val="20"/>
          <w:szCs w:val="20"/>
          <w:color w:val="auto"/>
        </w:rPr>
      </w:pPr>
      <w:r>
        <w:rPr>
          <w:rFonts w:ascii="Arial" w:cs="Arial" w:eastAsia="Arial" w:hAnsi="Arial"/>
          <w:sz w:val="15"/>
          <w:szCs w:val="15"/>
          <w:color w:val="auto"/>
        </w:rPr>
        <w:t>Y =</w:t>
      </w:r>
      <w:r>
        <w:rPr>
          <w:sz w:val="20"/>
          <w:szCs w:val="20"/>
          <w:color w:val="auto"/>
        </w:rPr>
        <w:tab/>
      </w:r>
      <w:r>
        <w:rPr>
          <w:rFonts w:ascii="Arial" w:cs="Arial" w:eastAsia="Arial" w:hAnsi="Arial"/>
          <w:sz w:val="15"/>
          <w:szCs w:val="15"/>
          <w:color w:val="auto"/>
        </w:rPr>
        <w:t>the number of Shares with respect to which this Warrant is being exercised (inclusive of the Shares surrendered to the Company in payment of the aggregate Warrant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60"/>
        <w:spacing w:after="0"/>
        <w:tabs>
          <w:tab w:leader="none" w:pos="2220" w:val="left"/>
        </w:tabs>
        <w:rPr>
          <w:sz w:val="20"/>
          <w:szCs w:val="20"/>
          <w:color w:val="auto"/>
        </w:rPr>
      </w:pPr>
      <w:r>
        <w:rPr>
          <w:rFonts w:ascii="Arial" w:cs="Arial" w:eastAsia="Arial" w:hAnsi="Arial"/>
          <w:sz w:val="15"/>
          <w:szCs w:val="15"/>
          <w:color w:val="auto"/>
        </w:rPr>
        <w:t>A =</w:t>
      </w:r>
      <w:r>
        <w:rPr>
          <w:sz w:val="20"/>
          <w:szCs w:val="20"/>
          <w:color w:val="auto"/>
        </w:rPr>
        <w:tab/>
      </w:r>
      <w:r>
        <w:rPr>
          <w:rFonts w:ascii="Arial" w:cs="Arial" w:eastAsia="Arial" w:hAnsi="Arial"/>
          <w:sz w:val="13"/>
          <w:szCs w:val="13"/>
          <w:color w:val="auto"/>
        </w:rPr>
        <w:t>the Fair Market Value (as determined pursuant to Section 1.3 below) of one Share; and</w:t>
      </w:r>
    </w:p>
    <w:p>
      <w:pPr>
        <w:spacing w:after="0" w:line="198" w:lineRule="exact"/>
        <w:rPr>
          <w:sz w:val="20"/>
          <w:szCs w:val="20"/>
          <w:color w:val="auto"/>
        </w:rPr>
      </w:pPr>
    </w:p>
    <w:p>
      <w:pPr>
        <w:ind w:left="1660"/>
        <w:spacing w:after="0"/>
        <w:tabs>
          <w:tab w:leader="none" w:pos="2200" w:val="left"/>
        </w:tabs>
        <w:rPr>
          <w:sz w:val="20"/>
          <w:szCs w:val="20"/>
          <w:color w:val="auto"/>
        </w:rPr>
      </w:pPr>
      <w:r>
        <w:rPr>
          <w:rFonts w:ascii="Arial" w:cs="Arial" w:eastAsia="Arial" w:hAnsi="Arial"/>
          <w:sz w:val="15"/>
          <w:szCs w:val="15"/>
          <w:color w:val="auto"/>
        </w:rPr>
        <w:t>B =</w:t>
      </w:r>
      <w:r>
        <w:rPr>
          <w:sz w:val="20"/>
          <w:szCs w:val="20"/>
          <w:color w:val="auto"/>
        </w:rPr>
        <w:tab/>
      </w:r>
      <w:r>
        <w:rPr>
          <w:rFonts w:ascii="Arial" w:cs="Arial" w:eastAsia="Arial" w:hAnsi="Arial"/>
          <w:sz w:val="13"/>
          <w:szCs w:val="13"/>
          <w:color w:val="auto"/>
        </w:rPr>
        <w:t>the Warrant Price.</w:t>
      </w:r>
    </w:p>
    <w:p>
      <w:pPr>
        <w:spacing w:after="0" w:line="198" w:lineRule="exact"/>
        <w:rPr>
          <w:sz w:val="20"/>
          <w:szCs w:val="20"/>
          <w:color w:val="auto"/>
        </w:rPr>
      </w:pPr>
    </w:p>
    <w:p>
      <w:pPr>
        <w:ind w:right="60" w:firstLine="1112"/>
        <w:spacing w:after="0" w:line="284"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Fair Market Value</w:t>
      </w:r>
      <w:r>
        <w:rPr>
          <w:rFonts w:ascii="Arial" w:cs="Arial" w:eastAsia="Arial" w:hAnsi="Arial"/>
          <w:sz w:val="14"/>
          <w:szCs w:val="14"/>
          <w:color w:val="auto"/>
        </w:rPr>
        <w:t>. If the Company’s common stock is then traded or quoted on a nationally recognized securities exchange, inter-dealer quotation system or over-the-counter market (a “</w:t>
      </w:r>
      <w:r>
        <w:rPr>
          <w:rFonts w:ascii="Arial" w:cs="Arial" w:eastAsia="Arial" w:hAnsi="Arial"/>
          <w:sz w:val="14"/>
          <w:szCs w:val="14"/>
          <w:b w:val="1"/>
          <w:bCs w:val="1"/>
          <w:color w:val="auto"/>
        </w:rPr>
        <w:t>Trading Market</w:t>
      </w:r>
      <w:r>
        <w:rPr>
          <w:rFonts w:ascii="Arial" w:cs="Arial" w:eastAsia="Arial" w:hAnsi="Arial"/>
          <w:sz w:val="14"/>
          <w:szCs w:val="14"/>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49" w:lineRule="exact"/>
        <w:rPr>
          <w:sz w:val="20"/>
          <w:szCs w:val="20"/>
          <w:color w:val="auto"/>
        </w:rPr>
      </w:pPr>
    </w:p>
    <w:p>
      <w:pPr>
        <w:ind w:right="20" w:firstLine="1112"/>
        <w:spacing w:after="0" w:line="27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Delivery of Certificate and New Warrant.</w:t>
      </w:r>
      <w:r>
        <w:rPr>
          <w:rFonts w:ascii="Arial" w:cs="Arial" w:eastAsia="Arial" w:hAnsi="Arial"/>
          <w:sz w:val="15"/>
          <w:szCs w:val="15"/>
          <w:color w:val="auto"/>
        </w:rPr>
        <w:t xml:space="preserve">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53" w:lineRule="exact"/>
        <w:rPr>
          <w:sz w:val="20"/>
          <w:szCs w:val="20"/>
          <w:color w:val="auto"/>
        </w:rPr>
      </w:pPr>
    </w:p>
    <w:p>
      <w:pPr>
        <w:ind w:right="220" w:firstLine="1112"/>
        <w:spacing w:after="0" w:line="268"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Replacement of Warrant.</w:t>
      </w:r>
      <w:r>
        <w:rPr>
          <w:rFonts w:ascii="Arial" w:cs="Arial" w:eastAsia="Arial" w:hAnsi="Arial"/>
          <w:sz w:val="15"/>
          <w:szCs w:val="15"/>
          <w:color w:val="auto"/>
        </w:rPr>
        <w:t xml:space="preserve">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68"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81" w:lineRule="exact"/>
        <w:rPr>
          <w:sz w:val="20"/>
          <w:szCs w:val="20"/>
          <w:color w:val="auto"/>
        </w:rPr>
      </w:pPr>
    </w:p>
    <w:p>
      <w:pPr>
        <w:ind w:right="200" w:firstLine="1104"/>
        <w:spacing w:after="0" w:line="286" w:lineRule="auto"/>
        <w:tabs>
          <w:tab w:leader="none" w:pos="1665"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Acquisition</w:t>
      </w:r>
      <w:r>
        <w:rPr>
          <w:rFonts w:ascii="Arial" w:cs="Arial" w:eastAsia="Arial" w:hAnsi="Arial"/>
          <w:sz w:val="14"/>
          <w:szCs w:val="14"/>
          <w:color w:val="auto"/>
        </w:rPr>
        <w:t>. For the purpose of this Warrant, “</w:t>
      </w:r>
      <w:r>
        <w:rPr>
          <w:rFonts w:ascii="Arial" w:cs="Arial" w:eastAsia="Arial" w:hAnsi="Arial"/>
          <w:sz w:val="14"/>
          <w:szCs w:val="14"/>
          <w:b w:val="1"/>
          <w:bCs w:val="1"/>
          <w:color w:val="auto"/>
        </w:rPr>
        <w:t>Acquisition</w:t>
      </w:r>
      <w:r>
        <w:rPr>
          <w:rFonts w:ascii="Arial" w:cs="Arial" w:eastAsia="Arial" w:hAnsi="Arial"/>
          <w:sz w:val="14"/>
          <w:szCs w:val="14"/>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45" w:lineRule="exact"/>
        <w:rPr>
          <w:rFonts w:ascii="Arial" w:cs="Arial" w:eastAsia="Arial" w:hAnsi="Arial"/>
          <w:sz w:val="14"/>
          <w:szCs w:val="14"/>
          <w:color w:val="auto"/>
        </w:rPr>
      </w:pPr>
    </w:p>
    <w:p>
      <w:pPr>
        <w:ind w:right="60" w:firstLine="1104"/>
        <w:spacing w:after="0" w:line="268" w:lineRule="auto"/>
        <w:tabs>
          <w:tab w:leader="none" w:pos="1674"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56" w:lineRule="exact"/>
        <w:rPr>
          <w:rFonts w:ascii="Arial" w:cs="Arial" w:eastAsia="Arial" w:hAnsi="Arial"/>
          <w:sz w:val="15"/>
          <w:szCs w:val="15"/>
          <w:color w:val="auto"/>
        </w:rPr>
      </w:pPr>
    </w:p>
    <w:p>
      <w:pPr>
        <w:ind w:right="100" w:firstLine="1104"/>
        <w:spacing w:after="0" w:line="302" w:lineRule="auto"/>
        <w:tabs>
          <w:tab w:leader="none" w:pos="1677"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w:t>
      </w:r>
    </w:p>
    <w:p>
      <w:pPr>
        <w:sectPr>
          <w:pgSz w:w="11900" w:h="16955" w:orient="portrait"/>
          <w:cols w:equalWidth="0" w:num="1">
            <w:col w:w="11440"/>
          </w:cols>
          <w:pgMar w:left="240" w:top="343" w:right="219" w:bottom="0" w:gutter="0" w:footer="0" w:header="0"/>
          <w:type w:val="continuous"/>
        </w:sectPr>
      </w:pPr>
    </w:p>
    <w:bookmarkStart w:id="292" w:name="page293"/>
    <w:bookmarkEnd w:id="292"/>
    <w:p>
      <w:pPr>
        <w:ind w:left="7" w:right="140"/>
        <w:spacing w:after="0" w:line="289" w:lineRule="auto"/>
        <w:rPr>
          <w:sz w:val="20"/>
          <w:szCs w:val="20"/>
          <w:color w:val="auto"/>
        </w:rPr>
      </w:pPr>
      <w:r>
        <w:rPr>
          <w:rFonts w:ascii="Arial" w:cs="Arial" w:eastAsia="Arial" w:hAnsi="Arial"/>
          <w:sz w:val="15"/>
          <w:szCs w:val="15"/>
          <w:color w:val="auto"/>
        </w:rPr>
        <w:t>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360"/>
        <w:spacing w:after="0" w:line="273" w:lineRule="auto"/>
        <w:rPr>
          <w:sz w:val="20"/>
          <w:szCs w:val="20"/>
          <w:color w:val="auto"/>
        </w:rPr>
      </w:pPr>
      <w:r>
        <w:rPr>
          <w:rFonts w:ascii="Arial" w:cs="Arial" w:eastAsia="Arial" w:hAnsi="Arial"/>
          <w:sz w:val="15"/>
          <w:szCs w:val="15"/>
          <w:color w:val="auto"/>
        </w:rPr>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3" w:lineRule="exact"/>
        <w:rPr>
          <w:sz w:val="20"/>
          <w:szCs w:val="20"/>
          <w:color w:val="auto"/>
        </w:rPr>
      </w:pPr>
    </w:p>
    <w:p>
      <w:pPr>
        <w:ind w:left="7" w:firstLine="1104"/>
        <w:spacing w:after="0" w:line="268" w:lineRule="auto"/>
        <w:tabs>
          <w:tab w:leader="none" w:pos="1681" w:val="left"/>
        </w:tabs>
        <w:numPr>
          <w:ilvl w:val="1"/>
          <w:numId w:val="214"/>
        </w:numPr>
        <w:rPr>
          <w:rFonts w:ascii="Arial" w:cs="Arial" w:eastAsia="Arial" w:hAnsi="Arial"/>
          <w:sz w:val="15"/>
          <w:szCs w:val="15"/>
          <w:color w:val="auto"/>
        </w:rPr>
      </w:pPr>
      <w:r>
        <w:rPr>
          <w:rFonts w:ascii="Arial" w:cs="Arial" w:eastAsia="Arial" w:hAnsi="Arial"/>
          <w:sz w:val="15"/>
          <w:szCs w:val="15"/>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0" w:lineRule="exact"/>
        <w:rPr>
          <w:rFonts w:ascii="Arial" w:cs="Arial" w:eastAsia="Arial" w:hAnsi="Arial"/>
          <w:sz w:val="15"/>
          <w:szCs w:val="15"/>
          <w:color w:val="auto"/>
        </w:rPr>
      </w:pPr>
    </w:p>
    <w:p>
      <w:pPr>
        <w:ind w:left="7" w:firstLine="1104"/>
        <w:spacing w:after="0" w:line="280" w:lineRule="auto"/>
        <w:tabs>
          <w:tab w:leader="none" w:pos="1684" w:val="left"/>
        </w:tabs>
        <w:numPr>
          <w:ilvl w:val="1"/>
          <w:numId w:val="214"/>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4"/>
          <w:szCs w:val="14"/>
          <w:color w:val="auto"/>
        </w:rPr>
      </w:pPr>
    </w:p>
    <w:p>
      <w:pPr>
        <w:ind w:left="227" w:hanging="227"/>
        <w:spacing w:after="0"/>
        <w:tabs>
          <w:tab w:leader="none" w:pos="227" w:val="left"/>
        </w:tabs>
        <w:numPr>
          <w:ilvl w:val="0"/>
          <w:numId w:val="215"/>
        </w:numPr>
        <w:rPr>
          <w:rFonts w:ascii="Arial" w:cs="Arial" w:eastAsia="Arial" w:hAnsi="Arial"/>
          <w:sz w:val="15"/>
          <w:szCs w:val="15"/>
          <w:color w:val="auto"/>
        </w:rPr>
      </w:pPr>
      <w:r>
        <w:rPr>
          <w:rFonts w:ascii="Arial" w:cs="Arial" w:eastAsia="Arial" w:hAnsi="Arial"/>
          <w:sz w:val="15"/>
          <w:szCs w:val="15"/>
          <w:color w:val="auto"/>
        </w:rPr>
        <w:t>does not extend beyond six (6) months from the closing of such Acquisition.</w:t>
      </w:r>
    </w:p>
    <w:p>
      <w:pPr>
        <w:spacing w:after="0" w:line="187" w:lineRule="exact"/>
        <w:rPr>
          <w:rFonts w:ascii="Arial" w:cs="Arial" w:eastAsia="Arial" w:hAnsi="Arial"/>
          <w:sz w:val="15"/>
          <w:szCs w:val="15"/>
          <w:color w:val="auto"/>
        </w:rPr>
      </w:pPr>
    </w:p>
    <w:p>
      <w:pPr>
        <w:ind w:left="7" w:right="60" w:firstLine="1104"/>
        <w:spacing w:after="0" w:line="281" w:lineRule="auto"/>
        <w:tabs>
          <w:tab w:leader="none" w:pos="1679" w:val="left"/>
        </w:tabs>
        <w:numPr>
          <w:ilvl w:val="1"/>
          <w:numId w:val="215"/>
        </w:numPr>
        <w:rPr>
          <w:rFonts w:ascii="Arial" w:cs="Arial" w:eastAsia="Arial" w:hAnsi="Arial"/>
          <w:sz w:val="14"/>
          <w:szCs w:val="14"/>
          <w:color w:val="auto"/>
        </w:rPr>
      </w:pPr>
      <w:r>
        <w:rPr>
          <w:rFonts w:ascii="Arial" w:cs="Arial" w:eastAsia="Arial" w:hAnsi="Arial"/>
          <w:sz w:val="14"/>
          <w:szCs w:val="14"/>
          <w:u w:val="single" w:color="auto"/>
          <w:color w:val="auto"/>
        </w:rPr>
        <w:t>Adjustment to Class of Shares; Number of Shares; Warrant Price; Adjustments Cumulative</w:t>
      </w:r>
      <w:r>
        <w:rPr>
          <w:rFonts w:ascii="Arial" w:cs="Arial" w:eastAsia="Arial" w:hAnsi="Arial"/>
          <w:sz w:val="14"/>
          <w:szCs w:val="14"/>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Eighty-Five Thousand Four Hundred Fifty Dollars ($85,450),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65" w:lineRule="exact"/>
        <w:rPr>
          <w:sz w:val="20"/>
          <w:szCs w:val="20"/>
          <w:color w:val="auto"/>
        </w:rPr>
      </w:pPr>
    </w:p>
    <w:p>
      <w:pPr>
        <w:ind w:left="3167"/>
        <w:spacing w:after="0"/>
        <w:tabs>
          <w:tab w:leader="none" w:pos="4267"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4"/>
          <w:szCs w:val="14"/>
          <w:u w:val="single" w:color="auto"/>
          <w:color w:val="auto"/>
        </w:rPr>
        <w:t>ADJUSTMENTS TO THE SHARES AND WARRANT PRICE.</w:t>
      </w:r>
    </w:p>
    <w:p>
      <w:pPr>
        <w:spacing w:after="0" w:line="187" w:lineRule="exact"/>
        <w:rPr>
          <w:sz w:val="20"/>
          <w:szCs w:val="20"/>
          <w:color w:val="auto"/>
        </w:rPr>
      </w:pPr>
    </w:p>
    <w:p>
      <w:pPr>
        <w:ind w:left="7" w:right="140" w:firstLine="1112"/>
        <w:spacing w:after="0" w:line="286"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Stock Dividends, Splits, Etc</w:t>
      </w:r>
      <w:r>
        <w:rPr>
          <w:rFonts w:ascii="Arial" w:cs="Arial" w:eastAsia="Arial" w:hAnsi="Arial"/>
          <w:sz w:val="14"/>
          <w:szCs w:val="14"/>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4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right="120" w:firstLine="1112"/>
        <w:spacing w:after="0" w:line="26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60" w:lineRule="exact"/>
        <w:rPr>
          <w:sz w:val="20"/>
          <w:szCs w:val="20"/>
          <w:color w:val="auto"/>
        </w:rPr>
      </w:pPr>
    </w:p>
    <w:p>
      <w:pPr>
        <w:ind w:left="7" w:right="20" w:firstLine="1112"/>
        <w:spacing w:after="0" w:line="263"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Conversion of Preferred Stock</w:t>
      </w:r>
      <w:r>
        <w:rPr>
          <w:rFonts w:ascii="Arial" w:cs="Arial" w:eastAsia="Arial" w:hAnsi="Arial"/>
          <w:sz w:val="15"/>
          <w:szCs w:val="15"/>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5"/>
          <w:szCs w:val="15"/>
          <w:b w:val="1"/>
          <w:bCs w:val="1"/>
          <w:color w:val="auto"/>
        </w:rPr>
        <w:t>IPO</w:t>
      </w:r>
      <w:r>
        <w:rPr>
          <w:rFonts w:ascii="Arial" w:cs="Arial" w:eastAsia="Arial" w:hAnsi="Arial"/>
          <w:sz w:val="15"/>
          <w:szCs w:val="15"/>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59" w:lineRule="exact"/>
        <w:rPr>
          <w:sz w:val="20"/>
          <w:szCs w:val="20"/>
          <w:color w:val="auto"/>
        </w:rPr>
      </w:pPr>
    </w:p>
    <w:p>
      <w:pPr>
        <w:jc w:val="both"/>
        <w:ind w:left="7" w:right="80" w:firstLine="1112"/>
        <w:spacing w:after="0" w:line="27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Adjustments for Diluting Issuances</w:t>
      </w:r>
      <w:r>
        <w:rPr>
          <w:rFonts w:ascii="Arial" w:cs="Arial" w:eastAsia="Arial" w:hAnsi="Arial"/>
          <w:sz w:val="15"/>
          <w:szCs w:val="15"/>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53" w:lineRule="exact"/>
        <w:rPr>
          <w:sz w:val="20"/>
          <w:szCs w:val="20"/>
          <w:color w:val="auto"/>
        </w:rPr>
      </w:pPr>
    </w:p>
    <w:p>
      <w:pPr>
        <w:ind w:left="7" w:right="80" w:firstLine="1112"/>
        <w:spacing w:after="0" w:line="26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No Fractional Share</w:t>
      </w:r>
      <w:r>
        <w:rPr>
          <w:rFonts w:ascii="Arial" w:cs="Arial" w:eastAsia="Arial" w:hAnsi="Arial"/>
          <w:sz w:val="15"/>
          <w:szCs w:val="15"/>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56" w:lineRule="exact"/>
        <w:rPr>
          <w:sz w:val="20"/>
          <w:szCs w:val="20"/>
          <w:color w:val="auto"/>
        </w:rPr>
      </w:pPr>
    </w:p>
    <w:p>
      <w:pPr>
        <w:jc w:val="both"/>
        <w:ind w:left="7" w:right="40" w:firstLine="1112"/>
        <w:spacing w:after="0" w:line="268"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Notice/Certificate as to Adjustments</w:t>
      </w:r>
      <w:r>
        <w:rPr>
          <w:rFonts w:ascii="Arial" w:cs="Arial" w:eastAsia="Arial" w:hAnsi="Arial"/>
          <w:sz w:val="15"/>
          <w:szCs w:val="15"/>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8" w:lineRule="exact"/>
        <w:rPr>
          <w:sz w:val="20"/>
          <w:szCs w:val="20"/>
          <w:color w:val="auto"/>
        </w:rPr>
      </w:pPr>
    </w:p>
    <w:p>
      <w:pPr>
        <w:ind w:left="3087"/>
        <w:spacing w:after="0"/>
        <w:tabs>
          <w:tab w:leader="none" w:pos="4187"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u w:val="single" w:color="auto"/>
          <w:color w:val="auto"/>
        </w:rPr>
        <w:t>REPRESENTATIONS AND COVENANTS OF THE COMPANY.</w:t>
      </w:r>
    </w:p>
    <w:p>
      <w:pPr>
        <w:spacing w:after="0" w:line="187"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represents and warrants to, and agrees with, the Holder as follows:</w:t>
      </w:r>
    </w:p>
    <w:p>
      <w:pPr>
        <w:spacing w:after="0" w:line="198" w:lineRule="exact"/>
        <w:rPr>
          <w:sz w:val="20"/>
          <w:szCs w:val="20"/>
          <w:color w:val="auto"/>
        </w:rPr>
      </w:pPr>
    </w:p>
    <w:p>
      <w:pPr>
        <w:ind w:left="7" w:right="320" w:firstLine="1104"/>
        <w:spacing w:after="0" w:line="327" w:lineRule="auto"/>
        <w:tabs>
          <w:tab w:leader="none" w:pos="1673" w:val="left"/>
        </w:tabs>
        <w:numPr>
          <w:ilvl w:val="0"/>
          <w:numId w:val="216"/>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17" w:lineRule="exact"/>
        <w:rPr>
          <w:rFonts w:ascii="Arial" w:cs="Arial" w:eastAsia="Arial" w:hAnsi="Arial"/>
          <w:sz w:val="14"/>
          <w:szCs w:val="14"/>
          <w:color w:val="auto"/>
        </w:rPr>
      </w:pPr>
    </w:p>
    <w:p>
      <w:pPr>
        <w:ind w:left="7" w:right="40" w:firstLine="1104"/>
        <w:spacing w:after="0" w:line="265" w:lineRule="auto"/>
        <w:tabs>
          <w:tab w:leader="none" w:pos="1681" w:val="left"/>
        </w:tabs>
        <w:numPr>
          <w:ilvl w:val="0"/>
          <w:numId w:val="216"/>
        </w:numPr>
        <w:rPr>
          <w:rFonts w:ascii="Arial" w:cs="Arial" w:eastAsia="Arial" w:hAnsi="Arial"/>
          <w:sz w:val="15"/>
          <w:szCs w:val="15"/>
          <w:color w:val="auto"/>
        </w:rPr>
      </w:pPr>
      <w:r>
        <w:rPr>
          <w:rFonts w:ascii="Arial" w:cs="Arial" w:eastAsia="Arial" w:hAnsi="Arial"/>
          <w:sz w:val="15"/>
          <w:szCs w:val="15"/>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27"/>
          </w:cols>
          <w:pgMar w:left="233" w:top="129" w:right="239" w:bottom="0" w:gutter="0" w:footer="0" w:header="0"/>
        </w:sectPr>
      </w:pPr>
    </w:p>
    <w:bookmarkStart w:id="293" w:name="page294"/>
    <w:bookmarkEnd w:id="293"/>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67" w:hanging="556"/>
        <w:spacing w:after="0"/>
        <w:tabs>
          <w:tab w:leader="none" w:pos="166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Company’s capitalization table attached hereto as Schedule 1 is true and complete, in all material respects, as of the Issue Date.</w:t>
      </w:r>
    </w:p>
    <w:p>
      <w:pPr>
        <w:spacing w:after="0" w:line="209" w:lineRule="exact"/>
        <w:rPr>
          <w:rFonts w:ascii="Arial" w:cs="Arial" w:eastAsia="Arial" w:hAnsi="Arial"/>
          <w:sz w:val="15"/>
          <w:szCs w:val="15"/>
          <w:color w:val="auto"/>
        </w:rPr>
      </w:pPr>
    </w:p>
    <w:p>
      <w:pPr>
        <w:ind w:left="1107"/>
        <w:spacing w:after="0"/>
        <w:rPr>
          <w:rFonts w:ascii="Arial" w:cs="Arial" w:eastAsia="Arial" w:hAnsi="Arial"/>
          <w:sz w:val="15"/>
          <w:szCs w:val="15"/>
          <w:color w:val="auto"/>
        </w:rPr>
      </w:pPr>
      <w:r>
        <w:rPr>
          <w:rFonts w:ascii="Arial" w:cs="Arial" w:eastAsia="Arial" w:hAnsi="Arial"/>
          <w:sz w:val="15"/>
          <w:szCs w:val="15"/>
          <w:color w:val="auto"/>
        </w:rPr>
        <w:t>3.2</w:t>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proposes at any time to:</w:t>
      </w:r>
    </w:p>
    <w:p>
      <w:pPr>
        <w:spacing w:after="0" w:line="187" w:lineRule="exact"/>
        <w:rPr>
          <w:sz w:val="20"/>
          <w:szCs w:val="20"/>
          <w:color w:val="auto"/>
        </w:rPr>
      </w:pPr>
    </w:p>
    <w:p>
      <w:pPr>
        <w:ind w:left="7" w:right="440" w:firstLine="1104"/>
        <w:spacing w:after="0" w:line="289" w:lineRule="auto"/>
        <w:tabs>
          <w:tab w:leader="none" w:pos="167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declare any dividend or distribution upon the outstanding shares of the Class or common stock, whether in cash, property, stock, or other securities and whether or not a regular cash dividend;</w:t>
      </w:r>
    </w:p>
    <w:p>
      <w:pPr>
        <w:spacing w:after="0" w:line="140" w:lineRule="exact"/>
        <w:rPr>
          <w:rFonts w:ascii="Arial" w:cs="Arial" w:eastAsia="Arial" w:hAnsi="Arial"/>
          <w:sz w:val="15"/>
          <w:szCs w:val="15"/>
          <w:color w:val="auto"/>
        </w:rPr>
      </w:pPr>
    </w:p>
    <w:p>
      <w:pPr>
        <w:ind w:left="7" w:right="100" w:firstLine="1104"/>
        <w:spacing w:after="0" w:line="289" w:lineRule="auto"/>
        <w:tabs>
          <w:tab w:leader="none" w:pos="1681" w:val="left"/>
        </w:tabs>
        <w:numPr>
          <w:ilvl w:val="0"/>
          <w:numId w:val="218"/>
        </w:numPr>
        <w:rPr>
          <w:rFonts w:ascii="Arial" w:cs="Arial" w:eastAsia="Arial" w:hAnsi="Arial"/>
          <w:sz w:val="15"/>
          <w:szCs w:val="15"/>
          <w:color w:val="auto"/>
        </w:rPr>
      </w:pPr>
      <w:r>
        <w:rPr>
          <w:rFonts w:ascii="Arial" w:cs="Arial" w:eastAsia="Arial" w:hAnsi="Arial"/>
          <w:sz w:val="15"/>
          <w:szCs w:val="15"/>
          <w:color w:val="auto"/>
        </w:rPr>
        <w:t>offer for subscription or sale pro rata to the holders of the outstanding shares of the Class any additional shares of any class or series of the Company’s stock (other than pursuant to contractual pre-emptive rights);</w:t>
      </w:r>
    </w:p>
    <w:p>
      <w:pPr>
        <w:spacing w:after="0" w:line="140" w:lineRule="exact"/>
        <w:rPr>
          <w:rFonts w:ascii="Arial" w:cs="Arial" w:eastAsia="Arial" w:hAnsi="Arial"/>
          <w:sz w:val="15"/>
          <w:szCs w:val="15"/>
          <w:color w:val="auto"/>
        </w:rPr>
      </w:pPr>
    </w:p>
    <w:p>
      <w:pPr>
        <w:ind w:left="1667" w:hanging="556"/>
        <w:spacing w:after="0"/>
        <w:tabs>
          <w:tab w:leader="none" w:pos="166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Class;</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effect an Acquisition or to liquidate, dissolve or wind up; or</w:t>
      </w:r>
    </w:p>
    <w:p>
      <w:pPr>
        <w:spacing w:after="0" w:line="198" w:lineRule="exact"/>
        <w:rPr>
          <w:rFonts w:ascii="Arial" w:cs="Arial" w:eastAsia="Arial" w:hAnsi="Arial"/>
          <w:sz w:val="15"/>
          <w:szCs w:val="15"/>
          <w:color w:val="auto"/>
        </w:rPr>
      </w:pPr>
    </w:p>
    <w:p>
      <w:pPr>
        <w:ind w:left="1667" w:hanging="556"/>
        <w:spacing w:after="0"/>
        <w:tabs>
          <w:tab w:leader="none" w:pos="166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effect an IPO;</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then, in connection with each such event, the Company shall give Holder:</w:t>
      </w:r>
    </w:p>
    <w:p>
      <w:pPr>
        <w:spacing w:after="0" w:line="198" w:lineRule="exact"/>
        <w:rPr>
          <w:sz w:val="20"/>
          <w:szCs w:val="20"/>
          <w:color w:val="auto"/>
        </w:rPr>
      </w:pPr>
    </w:p>
    <w:p>
      <w:pPr>
        <w:ind w:left="7" w:right="20" w:firstLine="1660"/>
        <w:spacing w:after="0" w:line="283" w:lineRule="auto"/>
        <w:tabs>
          <w:tab w:leader="none" w:pos="2237" w:val="left"/>
        </w:tabs>
        <w:numPr>
          <w:ilvl w:val="1"/>
          <w:numId w:val="219"/>
        </w:numPr>
        <w:rPr>
          <w:rFonts w:ascii="Arial" w:cs="Arial" w:eastAsia="Arial" w:hAnsi="Arial"/>
          <w:sz w:val="14"/>
          <w:szCs w:val="14"/>
          <w:color w:val="auto"/>
        </w:rPr>
      </w:pPr>
      <w:r>
        <w:rPr>
          <w:rFonts w:ascii="Arial" w:cs="Arial" w:eastAsia="Arial" w:hAnsi="Arial"/>
          <w:sz w:val="14"/>
          <w:szCs w:val="14"/>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w:t>
      </w:r>
    </w:p>
    <w:p>
      <w:pPr>
        <w:spacing w:after="0" w:line="1" w:lineRule="exact"/>
        <w:rPr>
          <w:rFonts w:ascii="Arial" w:cs="Arial" w:eastAsia="Arial" w:hAnsi="Arial"/>
          <w:sz w:val="14"/>
          <w:szCs w:val="14"/>
          <w:color w:val="auto"/>
        </w:rPr>
      </w:pPr>
    </w:p>
    <w:p>
      <w:pPr>
        <w:ind w:left="207" w:hanging="207"/>
        <w:spacing w:after="0"/>
        <w:tabs>
          <w:tab w:leader="none" w:pos="207" w:val="left"/>
        </w:tabs>
        <w:numPr>
          <w:ilvl w:val="0"/>
          <w:numId w:val="220"/>
        </w:numPr>
        <w:rPr>
          <w:rFonts w:ascii="Arial" w:cs="Arial" w:eastAsia="Arial" w:hAnsi="Arial"/>
          <w:sz w:val="15"/>
          <w:szCs w:val="15"/>
          <w:color w:val="auto"/>
        </w:rPr>
      </w:pPr>
      <w:r>
        <w:rPr>
          <w:rFonts w:ascii="Arial" w:cs="Arial" w:eastAsia="Arial" w:hAnsi="Arial"/>
          <w:sz w:val="15"/>
          <w:szCs w:val="15"/>
          <w:color w:val="auto"/>
        </w:rPr>
        <w:t>and (b) above;</w:t>
      </w:r>
    </w:p>
    <w:p>
      <w:pPr>
        <w:spacing w:after="0" w:line="187" w:lineRule="exact"/>
        <w:rPr>
          <w:rFonts w:ascii="Arial" w:cs="Arial" w:eastAsia="Arial" w:hAnsi="Arial"/>
          <w:sz w:val="15"/>
          <w:szCs w:val="15"/>
          <w:color w:val="auto"/>
        </w:rPr>
      </w:pPr>
    </w:p>
    <w:p>
      <w:pPr>
        <w:jc w:val="both"/>
        <w:ind w:left="7" w:right="200" w:firstLine="1660"/>
        <w:spacing w:after="0" w:line="273" w:lineRule="auto"/>
        <w:tabs>
          <w:tab w:leader="none" w:pos="2237" w:val="left"/>
        </w:tabs>
        <w:numPr>
          <w:ilvl w:val="1"/>
          <w:numId w:val="220"/>
        </w:numPr>
        <w:rPr>
          <w:rFonts w:ascii="Arial" w:cs="Arial" w:eastAsia="Arial" w:hAnsi="Arial"/>
          <w:sz w:val="15"/>
          <w:szCs w:val="15"/>
          <w:color w:val="auto"/>
        </w:rPr>
      </w:pPr>
      <w:r>
        <w:rPr>
          <w:rFonts w:ascii="Arial" w:cs="Arial" w:eastAsia="Arial" w:hAnsi="Arial"/>
          <w:sz w:val="15"/>
          <w:szCs w:val="15"/>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52" w:lineRule="exact"/>
        <w:rPr>
          <w:rFonts w:ascii="Arial" w:cs="Arial" w:eastAsia="Arial" w:hAnsi="Arial"/>
          <w:sz w:val="15"/>
          <w:szCs w:val="15"/>
          <w:color w:val="auto"/>
        </w:rPr>
      </w:pPr>
    </w:p>
    <w:p>
      <w:pPr>
        <w:ind w:left="2227" w:hanging="560"/>
        <w:spacing w:after="0"/>
        <w:tabs>
          <w:tab w:leader="none" w:pos="2227" w:val="left"/>
        </w:tabs>
        <w:numPr>
          <w:ilvl w:val="1"/>
          <w:numId w:val="220"/>
        </w:numPr>
        <w:rPr>
          <w:rFonts w:ascii="Arial" w:cs="Arial" w:eastAsia="Arial" w:hAnsi="Arial"/>
          <w:sz w:val="14"/>
          <w:szCs w:val="14"/>
          <w:color w:val="auto"/>
        </w:rPr>
      </w:pPr>
      <w:r>
        <w:rPr>
          <w:rFonts w:ascii="Arial" w:cs="Arial" w:eastAsia="Arial" w:hAnsi="Arial"/>
          <w:sz w:val="14"/>
          <w:szCs w:val="14"/>
          <w:color w:val="auto"/>
        </w:rPr>
        <w:t>with respect to the IPO, at least seven (7) Business Days prior written notice of the date on which the Company proposes to file its registration</w:t>
      </w:r>
    </w:p>
    <w:p>
      <w:pPr>
        <w:spacing w:after="0" w:line="34" w:lineRule="exact"/>
        <w:rPr>
          <w:rFonts w:ascii="Arial" w:cs="Arial" w:eastAsia="Arial" w:hAnsi="Arial"/>
          <w:sz w:val="14"/>
          <w:szCs w:val="14"/>
          <w:color w:val="auto"/>
        </w:rPr>
      </w:pPr>
    </w:p>
    <w:p>
      <w:pPr>
        <w:ind w:left="7"/>
        <w:spacing w:after="0"/>
        <w:rPr>
          <w:rFonts w:ascii="Arial" w:cs="Arial" w:eastAsia="Arial" w:hAnsi="Arial"/>
          <w:sz w:val="14"/>
          <w:szCs w:val="14"/>
          <w:color w:val="auto"/>
        </w:rPr>
      </w:pPr>
      <w:r>
        <w:rPr>
          <w:rFonts w:ascii="Arial" w:cs="Arial" w:eastAsia="Arial" w:hAnsi="Arial"/>
          <w:sz w:val="15"/>
          <w:szCs w:val="15"/>
          <w:color w:val="auto"/>
        </w:rPr>
        <w:t>statement in connection therewith.</w:t>
      </w:r>
    </w:p>
    <w:p>
      <w:pPr>
        <w:spacing w:after="0" w:line="188" w:lineRule="exact"/>
        <w:rPr>
          <w:sz w:val="20"/>
          <w:szCs w:val="20"/>
          <w:color w:val="auto"/>
        </w:rPr>
      </w:pPr>
    </w:p>
    <w:p>
      <w:pPr>
        <w:jc w:val="both"/>
        <w:ind w:left="7" w:right="320"/>
        <w:spacing w:after="0" w:line="273" w:lineRule="auto"/>
        <w:rPr>
          <w:sz w:val="20"/>
          <w:szCs w:val="20"/>
          <w:color w:val="auto"/>
        </w:rPr>
      </w:pPr>
      <w:r>
        <w:rPr>
          <w:rFonts w:ascii="Arial" w:cs="Arial" w:eastAsia="Arial" w:hAnsi="Arial"/>
          <w:sz w:val="15"/>
          <w:szCs w:val="15"/>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4" w:lineRule="exact"/>
        <w:rPr>
          <w:sz w:val="20"/>
          <w:szCs w:val="20"/>
          <w:color w:val="auto"/>
        </w:rPr>
      </w:pPr>
    </w:p>
    <w:p>
      <w:pPr>
        <w:ind w:left="3287"/>
        <w:spacing w:after="0"/>
        <w:tabs>
          <w:tab w:leader="none" w:pos="4387"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4"/>
          <w:szCs w:val="14"/>
          <w:u w:val="single" w:color="auto"/>
          <w:color w:val="auto"/>
        </w:rPr>
        <w:t>REPRESENTATIONS, WARRANTIES OF THE HOLDER.</w:t>
      </w:r>
    </w:p>
    <w:p>
      <w:pPr>
        <w:spacing w:after="0" w:line="187" w:lineRule="exact"/>
        <w:rPr>
          <w:sz w:val="20"/>
          <w:szCs w:val="20"/>
          <w:color w:val="auto"/>
        </w:rPr>
      </w:pPr>
    </w:p>
    <w:p>
      <w:pPr>
        <w:ind w:left="547"/>
        <w:spacing w:after="0"/>
        <w:rPr>
          <w:sz w:val="20"/>
          <w:szCs w:val="20"/>
          <w:color w:val="auto"/>
        </w:rPr>
      </w:pPr>
      <w:r>
        <w:rPr>
          <w:rFonts w:ascii="Arial" w:cs="Arial" w:eastAsia="Arial" w:hAnsi="Arial"/>
          <w:sz w:val="15"/>
          <w:szCs w:val="15"/>
          <w:color w:val="auto"/>
        </w:rPr>
        <w:t>The Holder represents and warrants to the Company as follows:</w:t>
      </w:r>
    </w:p>
    <w:p>
      <w:pPr>
        <w:spacing w:after="0" w:line="198" w:lineRule="exact"/>
        <w:rPr>
          <w:sz w:val="20"/>
          <w:szCs w:val="20"/>
          <w:color w:val="auto"/>
        </w:rPr>
      </w:pPr>
    </w:p>
    <w:p>
      <w:pPr>
        <w:ind w:left="7" w:firstLine="1112"/>
        <w:spacing w:after="0" w:line="273"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Purchase for Own Account.</w:t>
      </w:r>
      <w:r>
        <w:rPr>
          <w:rFonts w:ascii="Arial" w:cs="Arial" w:eastAsia="Arial" w:hAnsi="Arial"/>
          <w:sz w:val="15"/>
          <w:szCs w:val="15"/>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53" w:lineRule="exact"/>
        <w:rPr>
          <w:sz w:val="20"/>
          <w:szCs w:val="20"/>
          <w:color w:val="auto"/>
        </w:rPr>
      </w:pPr>
    </w:p>
    <w:p>
      <w:pPr>
        <w:ind w:left="7" w:right="180" w:firstLine="1112"/>
        <w:spacing w:after="0" w:line="26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Disclosure of Information</w:t>
      </w:r>
      <w:r>
        <w:rPr>
          <w:rFonts w:ascii="Arial" w:cs="Arial" w:eastAsia="Arial" w:hAnsi="Arial"/>
          <w:sz w:val="15"/>
          <w:szCs w:val="15"/>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5"/>
          <w:szCs w:val="15"/>
          <w:color w:val="auto"/>
        </w:rPr>
        <w:t>unreasonable effort or expense) necessary to verify any information furnished to Holder or to which Holder has access.</w:t>
      </w:r>
    </w:p>
    <w:p>
      <w:pPr>
        <w:spacing w:after="0" w:line="198" w:lineRule="exact"/>
        <w:rPr>
          <w:sz w:val="20"/>
          <w:szCs w:val="20"/>
          <w:color w:val="auto"/>
        </w:rPr>
      </w:pPr>
    </w:p>
    <w:p>
      <w:pPr>
        <w:ind w:left="7" w:right="20" w:firstLine="1112"/>
        <w:spacing w:after="0" w:line="26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0"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98" w:lineRule="exact"/>
        <w:rPr>
          <w:sz w:val="20"/>
          <w:szCs w:val="20"/>
          <w:color w:val="auto"/>
        </w:rPr>
      </w:pPr>
    </w:p>
    <w:p>
      <w:pPr>
        <w:ind w:left="7" w:firstLine="1112"/>
        <w:spacing w:after="0" w:line="293"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The Act</w:t>
      </w:r>
      <w:r>
        <w:rPr>
          <w:rFonts w:ascii="Arial" w:cs="Arial" w:eastAsia="Arial" w:hAnsi="Arial"/>
          <w:sz w:val="14"/>
          <w:szCs w:val="14"/>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40" w:lineRule="exact"/>
        <w:rPr>
          <w:sz w:val="20"/>
          <w:szCs w:val="20"/>
          <w:color w:val="auto"/>
        </w:rPr>
      </w:pPr>
    </w:p>
    <w:p>
      <w:pPr>
        <w:ind w:left="7" w:right="20" w:firstLine="1112"/>
        <w:spacing w:after="0" w:line="289"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The Holder agrees that the Shares shall be subject to the Market Standoff provisions in Section 3.12 of the Third Amended and Restated Investors’ Rights Agreement or similar agreement.</w:t>
      </w:r>
    </w:p>
    <w:p>
      <w:pPr>
        <w:spacing w:after="0" w:line="141"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210" w:lineRule="exact"/>
        <w:rPr>
          <w:sz w:val="20"/>
          <w:szCs w:val="20"/>
          <w:color w:val="auto"/>
        </w:rPr>
      </w:pPr>
    </w:p>
    <w:p>
      <w:pPr>
        <w:ind w:left="4487"/>
        <w:spacing w:after="0"/>
        <w:tabs>
          <w:tab w:leader="none" w:pos="5607"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5"/>
          <w:szCs w:val="15"/>
          <w:u w:val="single" w:color="auto"/>
          <w:color w:val="auto"/>
        </w:rPr>
        <w:t>MISCELLANEOUS.</w:t>
      </w:r>
    </w:p>
    <w:p>
      <w:pPr>
        <w:spacing w:after="0" w:line="198" w:lineRule="exact"/>
        <w:rPr>
          <w:sz w:val="20"/>
          <w:szCs w:val="20"/>
          <w:color w:val="auto"/>
        </w:rPr>
      </w:pPr>
    </w:p>
    <w:p>
      <w:pPr>
        <w:ind w:left="1107"/>
        <w:spacing w:after="0"/>
        <w:tabs>
          <w:tab w:leader="none" w:pos="1647"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4"/>
          <w:szCs w:val="14"/>
          <w:u w:val="single" w:color="auto"/>
          <w:color w:val="auto"/>
        </w:rPr>
        <w:t>Term; Automatic Cashless Exercise Upon Expiration</w:t>
      </w:r>
      <w:r>
        <w:rPr>
          <w:rFonts w:ascii="Arial" w:cs="Arial" w:eastAsia="Arial" w:hAnsi="Arial"/>
          <w:sz w:val="14"/>
          <w:szCs w:val="14"/>
          <w:color w:val="auto"/>
        </w:rPr>
        <w:t>.</w:t>
      </w:r>
    </w:p>
    <w:p>
      <w:pPr>
        <w:spacing w:after="0" w:line="187" w:lineRule="exact"/>
        <w:rPr>
          <w:sz w:val="20"/>
          <w:szCs w:val="20"/>
          <w:color w:val="auto"/>
        </w:rPr>
      </w:pPr>
    </w:p>
    <w:p>
      <w:pPr>
        <w:ind w:left="7" w:right="80" w:firstLine="1104"/>
        <w:spacing w:after="0" w:line="273" w:lineRule="auto"/>
        <w:tabs>
          <w:tab w:leader="none" w:pos="1673" w:val="left"/>
        </w:tabs>
        <w:numPr>
          <w:ilvl w:val="0"/>
          <w:numId w:val="221"/>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Subject to the provisions of Section 1.6 above, this Warrant is exercisable in whole or in part at any time and from time to time on or before 6:00 PM, Eastern Time, on the Expiration Date and shall be void thereafter; provided, however, that if the Company completes the IPO within the three-year period immediately prior to the Expiration Date, the Expiration Date shall automatically be extended until the third anniversary of the effective date of the Company’s IPO.</w:t>
      </w:r>
    </w:p>
    <w:p>
      <w:pPr>
        <w:spacing w:after="0" w:line="152" w:lineRule="exact"/>
        <w:rPr>
          <w:rFonts w:ascii="Arial" w:cs="Arial" w:eastAsia="Arial" w:hAnsi="Arial"/>
          <w:sz w:val="15"/>
          <w:szCs w:val="15"/>
          <w:color w:val="auto"/>
        </w:rPr>
      </w:pPr>
    </w:p>
    <w:p>
      <w:pPr>
        <w:ind w:left="7" w:firstLine="1104"/>
        <w:spacing w:after="0" w:line="293" w:lineRule="auto"/>
        <w:tabs>
          <w:tab w:leader="none" w:pos="1681"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ectPr>
          <w:pgSz w:w="11900" w:h="16838" w:orient="portrait"/>
          <w:cols w:equalWidth="0" w:num="1">
            <w:col w:w="11427"/>
          </w:cols>
          <w:pgMar w:left="233" w:top="314" w:right="239" w:bottom="0" w:gutter="0" w:footer="0" w:header="0"/>
        </w:sectPr>
      </w:pPr>
    </w:p>
    <w:bookmarkStart w:id="294" w:name="page295"/>
    <w:bookmarkEnd w:id="294"/>
    <w:p>
      <w:pPr>
        <w:ind w:right="100" w:firstLine="1112"/>
        <w:spacing w:after="0" w:line="289"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Legends</w:t>
      </w:r>
      <w:r>
        <w:rPr>
          <w:rFonts w:ascii="Arial" w:cs="Arial" w:eastAsia="Arial" w:hAnsi="Arial"/>
          <w:sz w:val="15"/>
          <w:szCs w:val="15"/>
          <w:color w:val="auto"/>
        </w:rPr>
        <w:t>. Each certificate evidencing Shares (and each certificate evidencing the securities issued upon conversion of any Shares, if any) shall be imprinted with a legend in substantially the following form:</w:t>
      </w:r>
    </w:p>
    <w:p>
      <w:pPr>
        <w:spacing w:after="0" w:line="141" w:lineRule="exact"/>
        <w:rPr>
          <w:sz w:val="20"/>
          <w:szCs w:val="20"/>
          <w:color w:val="auto"/>
        </w:rPr>
      </w:pPr>
    </w:p>
    <w:p>
      <w:pPr>
        <w:ind w:left="1100" w:right="340"/>
        <w:spacing w:after="0" w:line="289" w:lineRule="auto"/>
        <w:rPr>
          <w:sz w:val="20"/>
          <w:szCs w:val="20"/>
          <w:color w:val="auto"/>
        </w:rPr>
      </w:pPr>
      <w:r>
        <w:rPr>
          <w:rFonts w:ascii="Arial" w:cs="Arial" w:eastAsia="Arial" w:hAnsi="Arial"/>
          <w:sz w:val="15"/>
          <w:szCs w:val="15"/>
          <w:color w:val="auto"/>
        </w:rPr>
        <w:t>THE SHARES EVIDENCED BY THIS CERTIFICATE HAVE NOT BEEN REGISTERED UNDER THE SECURITIES ACT OF 1933, AS AMENDED (THE “</w:t>
      </w:r>
      <w:r>
        <w:rPr>
          <w:rFonts w:ascii="Arial" w:cs="Arial" w:eastAsia="Arial" w:hAnsi="Arial"/>
          <w:sz w:val="15"/>
          <w:szCs w:val="15"/>
          <w:b w:val="1"/>
          <w:bCs w:val="1"/>
          <w:color w:val="auto"/>
        </w:rPr>
        <w:t>ACT</w:t>
      </w:r>
      <w:r>
        <w:rPr>
          <w:rFonts w:ascii="Arial" w:cs="Arial" w:eastAsia="Arial" w:hAnsi="Arial"/>
          <w:sz w:val="15"/>
          <w:szCs w:val="15"/>
          <w:color w:val="auto"/>
        </w:rPr>
        <w:t>”), OR THE SECURITIES LAWS OF ANY STATE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100" w:right="220"/>
        <w:spacing w:after="0" w:line="268" w:lineRule="auto"/>
        <w:rPr>
          <w:sz w:val="20"/>
          <w:szCs w:val="20"/>
          <w:color w:val="auto"/>
        </w:rPr>
      </w:pPr>
      <w:r>
        <w:rPr>
          <w:rFonts w:ascii="Arial" w:cs="Arial" w:eastAsia="Arial" w:hAnsi="Arial"/>
          <w:sz w:val="15"/>
          <w:szCs w:val="15"/>
          <w:color w:val="auto"/>
        </w:rPr>
        <w:t>EXCEPT AS SET FORTH IN THAT CERTAIN WARRANT TO PURCHASE STOCK ISSUED BY THE ISSUER TO [OXFORD FINANCE LLC / PACIFIC WESTERN BANK] DATED DECEMBER 31,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56" w:lineRule="exact"/>
        <w:rPr>
          <w:sz w:val="20"/>
          <w:szCs w:val="20"/>
          <w:color w:val="auto"/>
        </w:rPr>
      </w:pPr>
    </w:p>
    <w:p>
      <w:pPr>
        <w:ind w:right="20" w:firstLine="1112"/>
        <w:spacing w:after="0" w:line="264"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Compliance with Securities Laws on Transfer</w:t>
      </w:r>
      <w:r>
        <w:rPr>
          <w:rFonts w:ascii="Arial" w:cs="Arial" w:eastAsia="Arial" w:hAnsi="Arial"/>
          <w:sz w:val="15"/>
          <w:szCs w:val="15"/>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PacWest Bancorp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59" w:lineRule="exact"/>
        <w:rPr>
          <w:sz w:val="20"/>
          <w:szCs w:val="20"/>
          <w:color w:val="auto"/>
        </w:rPr>
      </w:pPr>
    </w:p>
    <w:p>
      <w:pPr>
        <w:ind w:firstLine="1112"/>
        <w:spacing w:after="0" w:line="282"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[Oxford / Bank] of the executed Warrant, [Oxford / Bank] may transfer all or part of this Warrant to one or more of [Oxford / Bank] affiliates (each, a “</w:t>
      </w:r>
      <w:r>
        <w:rPr>
          <w:rFonts w:ascii="Arial" w:cs="Arial" w:eastAsia="Arial" w:hAnsi="Arial"/>
          <w:sz w:val="14"/>
          <w:szCs w:val="14"/>
          <w:b w:val="1"/>
          <w:bCs w:val="1"/>
          <w:color w:val="auto"/>
        </w:rPr>
        <w:t>[Oxford / Bank] Affiliate</w:t>
      </w:r>
      <w:r>
        <w:rPr>
          <w:rFonts w:ascii="Arial" w:cs="Arial" w:eastAsia="Arial" w:hAnsi="Arial"/>
          <w:sz w:val="14"/>
          <w:szCs w:val="14"/>
          <w:color w:val="auto"/>
        </w:rPr>
        <w:t>”), by execution of an Assignment substantially in the form of Appendix 2. Subject to the provisions of Article 5.3 and upon providing the Company with written notice, [Oxford / Bank], any such [Oxford / Bank]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 Bank]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51" w:lineRule="exact"/>
        <w:rPr>
          <w:sz w:val="20"/>
          <w:szCs w:val="20"/>
          <w:color w:val="auto"/>
        </w:rPr>
      </w:pPr>
    </w:p>
    <w:p>
      <w:pPr>
        <w:ind w:right="80" w:firstLine="1112"/>
        <w:spacing w:after="0" w:line="26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5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[Oxford Finance LLC / PacWest Bancorp]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[ADDRESS]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Notice to the Company shall be addressed as follows until Holder receives notice of a change in address:</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SELECTA BIOSCIENCES, INC.</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480 Arsenal Street</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Building One</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Watertown, MA 02472</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Attn: David Abraham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Telephone: (617) 923-1400</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Email: dabraham@selectabio.com</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a copy (which shall not constitute notice) to:</w:t>
      </w:r>
    </w:p>
    <w:p>
      <w:pPr>
        <w:spacing w:after="0" w:line="198"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Foley Hoag LLP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155 Seaport Boulevard</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Boston, MA 02210</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Attn: Arlene Bender</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Telephone: (617) 832-1205</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Facsimile: (617) 832-7000</w:t>
      </w:r>
    </w:p>
    <w:p>
      <w:pPr>
        <w:spacing w:after="0" w:line="1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Email: abender@foleyhoag.com</w:t>
      </w:r>
    </w:p>
    <w:p>
      <w:pPr>
        <w:spacing w:after="0" w:line="187" w:lineRule="exact"/>
        <w:rPr>
          <w:sz w:val="20"/>
          <w:szCs w:val="20"/>
          <w:color w:val="auto"/>
        </w:rPr>
      </w:pPr>
    </w:p>
    <w:p>
      <w:pPr>
        <w:ind w:right="600" w:firstLine="1112"/>
        <w:spacing w:after="0" w:line="327"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Waiver</w:t>
      </w:r>
      <w:r>
        <w:rPr>
          <w:rFonts w:ascii="Arial" w:cs="Arial" w:eastAsia="Arial" w:hAnsi="Arial"/>
          <w:sz w:val="14"/>
          <w:szCs w:val="14"/>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17" w:lineRule="exact"/>
        <w:rPr>
          <w:sz w:val="20"/>
          <w:szCs w:val="20"/>
          <w:color w:val="auto"/>
        </w:rPr>
      </w:pPr>
    </w:p>
    <w:p>
      <w:pPr>
        <w:ind w:right="260" w:firstLine="1112"/>
        <w:spacing w:after="0" w:line="28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1" w:lineRule="exact"/>
        <w:rPr>
          <w:sz w:val="20"/>
          <w:szCs w:val="20"/>
          <w:color w:val="auto"/>
        </w:rPr>
      </w:pPr>
    </w:p>
    <w:p>
      <w:pPr>
        <w:ind w:right="220" w:firstLine="1112"/>
        <w:spacing w:after="0" w:line="273"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Counterparts; Facsimile/Electronic Signatures</w:t>
      </w:r>
      <w:r>
        <w:rPr>
          <w:rFonts w:ascii="Arial" w:cs="Arial" w:eastAsia="Arial" w:hAnsi="Arial"/>
          <w:sz w:val="15"/>
          <w:szCs w:val="15"/>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3" w:lineRule="exact"/>
        <w:rPr>
          <w:sz w:val="20"/>
          <w:szCs w:val="20"/>
          <w:color w:val="auto"/>
        </w:rPr>
      </w:pPr>
    </w:p>
    <w:p>
      <w:pPr>
        <w:ind w:right="560" w:firstLine="1112"/>
        <w:spacing w:after="0" w:line="289"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Governing Law</w:t>
      </w:r>
      <w:r>
        <w:rPr>
          <w:rFonts w:ascii="Arial" w:cs="Arial" w:eastAsia="Arial" w:hAnsi="Arial"/>
          <w:sz w:val="15"/>
          <w:szCs w:val="15"/>
          <w:color w:val="auto"/>
        </w:rPr>
        <w:t>. This Warrant shall be governed by and construed in accordance with the laws of the State of California, without giving effect to its principles regarding conflicts of law.</w:t>
      </w:r>
    </w:p>
    <w:p>
      <w:pPr>
        <w:spacing w:after="0" w:line="141"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5"/>
          <w:szCs w:val="15"/>
          <w:color w:val="auto"/>
        </w:rPr>
        <w:t>5.10</w:t>
      </w:r>
      <w:r>
        <w:rPr>
          <w:sz w:val="20"/>
          <w:szCs w:val="20"/>
          <w:color w:val="auto"/>
        </w:rPr>
        <w:tab/>
      </w:r>
      <w:r>
        <w:rPr>
          <w:rFonts w:ascii="Arial" w:cs="Arial" w:eastAsia="Arial" w:hAnsi="Arial"/>
          <w:sz w:val="14"/>
          <w:szCs w:val="14"/>
          <w:u w:val="single" w:color="auto"/>
          <w:color w:val="auto"/>
        </w:rPr>
        <w:t>Headings</w:t>
      </w:r>
      <w:r>
        <w:rPr>
          <w:rFonts w:ascii="Arial" w:cs="Arial" w:eastAsia="Arial" w:hAnsi="Arial"/>
          <w:sz w:val="14"/>
          <w:szCs w:val="14"/>
          <w:color w:val="auto"/>
        </w:rPr>
        <w:t>. The headings in this Warrant are for purposes of reference only and shall not limit or otherwise affect the meaning of any provision of this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Warrant.</w:t>
      </w:r>
    </w:p>
    <w:p>
      <w:pPr>
        <w:spacing w:after="0" w:line="182"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color w:val="auto"/>
        </w:rPr>
        <w:t>Business Day</w:t>
      </w:r>
      <w:r>
        <w:rPr>
          <w:rFonts w:ascii="Arial" w:cs="Arial" w:eastAsia="Arial" w:hAnsi="Arial"/>
          <w:sz w:val="14"/>
          <w:szCs w:val="14"/>
          <w:color w:val="auto"/>
        </w:rPr>
        <w:t>” is any day that is not a Saturday, Sunday or a day on which [Oxford / Bank] is closed.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[Remainder of page left blank intentionally]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[Signature page follows]</w:t>
      </w:r>
    </w:p>
    <w:p>
      <w:pPr>
        <w:sectPr>
          <w:pgSz w:w="11900" w:h="16838" w:orient="portrait"/>
          <w:cols w:equalWidth="0" w:num="1">
            <w:col w:w="11380"/>
          </w:cols>
          <w:pgMar w:left="240" w:top="129" w:right="279" w:bottom="0" w:gutter="0" w:footer="0" w:header="0"/>
        </w:sectPr>
      </w:pPr>
    </w:p>
    <w:bookmarkStart w:id="295" w:name="page296"/>
    <w:bookmarkEnd w:id="295"/>
    <w:p>
      <w:pPr>
        <w:jc w:val="center"/>
        <w:ind w:right="-7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WITNESS WHEREOF, the parties have caused this Warrant to Purchase Stock to be executed by their duly authorized representatives effective as of the Issue Date written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above.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(Print)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7620</wp:posOffset>
            </wp:positionV>
            <wp:extent cx="3147695"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“HOLDER”</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147695"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(Print)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7620</wp:posOffset>
            </wp:positionV>
            <wp:extent cx="3147695"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147695" cy="7620"/>
                    </a:xfrm>
                    <a:prstGeom prst="rect">
                      <a:avLst/>
                    </a:prstGeom>
                    <a:noFill/>
                  </pic:spPr>
                </pic:pic>
              </a:graphicData>
            </a:graphic>
          </wp:anchor>
        </w:drawing>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to Warrant to Purchase Stock</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285990" cy="2730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420" w:type="dxa"/>
            <w:vAlign w:val="bottom"/>
            <w:gridSpan w:val="2"/>
          </w:tcPr>
          <w:p>
            <w:pPr>
              <w:jc w:val="center"/>
              <w:ind w:right="820"/>
              <w:spacing w:after="0"/>
              <w:rPr>
                <w:sz w:val="20"/>
                <w:szCs w:val="20"/>
                <w:color w:val="auto"/>
              </w:rPr>
            </w:pPr>
            <w:r>
              <w:rPr>
                <w:rFonts w:ascii="Arial" w:cs="Arial" w:eastAsia="Arial" w:hAnsi="Arial"/>
                <w:sz w:val="15"/>
                <w:szCs w:val="15"/>
                <w:color w:val="auto"/>
                <w:w w:val="99"/>
              </w:rPr>
              <w:t>APPENDIX 1</w:t>
            </w:r>
          </w:p>
        </w:tc>
        <w:tc>
          <w:tcPr>
            <w:tcW w:w="2740" w:type="dxa"/>
            <w:vAlign w:val="bottom"/>
          </w:tcPr>
          <w:p>
            <w:pPr>
              <w:spacing w:after="0"/>
              <w:rPr>
                <w:sz w:val="17"/>
                <w:szCs w:val="17"/>
                <w:color w:val="auto"/>
              </w:rPr>
            </w:pPr>
          </w:p>
        </w:tc>
      </w:tr>
      <w:tr>
        <w:trPr>
          <w:trHeight w:val="348"/>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5"/>
                <w:szCs w:val="15"/>
                <w:color w:val="auto"/>
                <w:w w:val="97"/>
              </w:rPr>
              <w:t>NOTICE OF EXERCISE</w:t>
            </w:r>
          </w:p>
        </w:tc>
        <w:tc>
          <w:tcPr>
            <w:tcW w:w="274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75"/>
        </w:trPr>
        <w:tc>
          <w:tcPr>
            <w:tcW w:w="340" w:type="dxa"/>
            <w:vAlign w:val="bottom"/>
          </w:tcPr>
          <w:p>
            <w:pPr>
              <w:jc w:val="right"/>
              <w:ind w:right="143"/>
              <w:spacing w:after="0"/>
              <w:rPr>
                <w:sz w:val="20"/>
                <w:szCs w:val="20"/>
                <w:color w:val="auto"/>
              </w:rPr>
            </w:pPr>
            <w:r>
              <w:rPr>
                <w:rFonts w:ascii="Arial" w:cs="Arial" w:eastAsia="Arial" w:hAnsi="Arial"/>
                <w:sz w:val="15"/>
                <w:szCs w:val="15"/>
                <w:color w:val="auto"/>
                <w:w w:val="79"/>
              </w:rPr>
              <w:t>1.</w:t>
            </w:r>
          </w:p>
        </w:tc>
        <w:tc>
          <w:tcPr>
            <w:tcW w:w="4040" w:type="dxa"/>
            <w:vAlign w:val="bottom"/>
          </w:tcPr>
          <w:p>
            <w:pPr>
              <w:ind w:left="220"/>
              <w:spacing w:after="0"/>
              <w:rPr>
                <w:sz w:val="20"/>
                <w:szCs w:val="20"/>
                <w:color w:val="auto"/>
              </w:rPr>
            </w:pPr>
            <w:r>
              <w:rPr>
                <w:rFonts w:ascii="Arial" w:cs="Arial" w:eastAsia="Arial" w:hAnsi="Arial"/>
                <w:sz w:val="15"/>
                <w:szCs w:val="15"/>
                <w:color w:val="auto"/>
                <w:w w:val="95"/>
              </w:rPr>
              <w:t>The undersigned Holder hereby exercises its right purchase</w:t>
            </w:r>
          </w:p>
        </w:tc>
        <w:tc>
          <w:tcPr>
            <w:tcW w:w="2420" w:type="dxa"/>
            <w:vAlign w:val="bottom"/>
            <w:gridSpan w:val="2"/>
          </w:tcPr>
          <w:p>
            <w:pPr>
              <w:ind w:left="420"/>
              <w:spacing w:after="0"/>
              <w:rPr>
                <w:sz w:val="20"/>
                <w:szCs w:val="20"/>
                <w:color w:val="auto"/>
              </w:rPr>
            </w:pPr>
            <w:r>
              <w:rPr>
                <w:rFonts w:ascii="Arial" w:cs="Arial" w:eastAsia="Arial" w:hAnsi="Arial"/>
                <w:sz w:val="15"/>
                <w:szCs w:val="15"/>
                <w:color w:val="auto"/>
                <w:w w:val="99"/>
              </w:rPr>
              <w:t>shares of the Common/Series</w:t>
            </w:r>
          </w:p>
        </w:tc>
        <w:tc>
          <w:tcPr>
            <w:tcW w:w="2740" w:type="dxa"/>
            <w:vAlign w:val="bottom"/>
          </w:tcPr>
          <w:p>
            <w:pPr>
              <w:ind w:left="160"/>
              <w:spacing w:after="0"/>
              <w:rPr>
                <w:sz w:val="20"/>
                <w:szCs w:val="20"/>
                <w:color w:val="auto"/>
              </w:rPr>
            </w:pPr>
            <w:r>
              <w:rPr>
                <w:rFonts w:ascii="Arial" w:cs="Arial" w:eastAsia="Arial" w:hAnsi="Arial"/>
                <w:sz w:val="15"/>
                <w:szCs w:val="15"/>
                <w:color w:val="auto"/>
                <w:w w:val="94"/>
              </w:rPr>
              <w:t>Preferred [circle one] Stock of SELECTA</w:t>
            </w:r>
          </w:p>
        </w:tc>
      </w:tr>
    </w:tbl>
    <w:p>
      <w:pPr>
        <w:spacing w:after="0"/>
        <w:rPr>
          <w:sz w:val="20"/>
          <w:szCs w:val="20"/>
          <w:color w:val="auto"/>
        </w:rPr>
      </w:pPr>
      <w:r>
        <w:rPr>
          <w:rFonts w:ascii="Arial" w:cs="Arial" w:eastAsia="Arial" w:hAnsi="Arial"/>
          <w:sz w:val="14"/>
          <w:szCs w:val="14"/>
          <w:color w:val="auto"/>
        </w:rPr>
        <w:t>BIOSCIENCES, INC. (the “</w:t>
      </w:r>
      <w:r>
        <w:rPr>
          <w:rFonts w:ascii="Arial" w:cs="Arial" w:eastAsia="Arial" w:hAnsi="Arial"/>
          <w:sz w:val="14"/>
          <w:szCs w:val="14"/>
          <w:b w:val="1"/>
          <w:bCs w:val="1"/>
          <w:color w:val="auto"/>
        </w:rPr>
        <w:t>Company</w:t>
      </w:r>
      <w:r>
        <w:rPr>
          <w:rFonts w:ascii="Arial" w:cs="Arial" w:eastAsia="Arial" w:hAnsi="Arial"/>
          <w:sz w:val="14"/>
          <w:szCs w:val="14"/>
          <w:color w:val="auto"/>
        </w:rPr>
        <w:t>”) in accordance with the attached Warrant To Purchase Stock, and tenders payment of the aggregate Warrant Price for such shares as follows:</w:t>
      </w:r>
    </w:p>
    <w:p>
      <w:pPr>
        <w:spacing w:after="0" w:line="198" w:lineRule="exact"/>
        <w:rPr>
          <w:sz w:val="20"/>
          <w:szCs w:val="20"/>
          <w:color w:val="auto"/>
        </w:rPr>
      </w:pPr>
    </w:p>
    <w:p>
      <w:pPr>
        <w:ind w:left="760"/>
        <w:spacing w:after="0"/>
        <w:tabs>
          <w:tab w:leader="none" w:pos="1500" w:val="left"/>
          <w:tab w:leader="none" w:pos="362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color w:val="auto"/>
        </w:rPr>
        <w:t>check in the amount of $</w:t>
      </w:r>
      <w:r>
        <w:rPr>
          <w:sz w:val="20"/>
          <w:szCs w:val="20"/>
          <w:color w:val="auto"/>
        </w:rPr>
        <w:tab/>
      </w:r>
      <w:r>
        <w:rPr>
          <w:rFonts w:ascii="Arial" w:cs="Arial" w:eastAsia="Arial" w:hAnsi="Arial"/>
          <w:sz w:val="13"/>
          <w:szCs w:val="13"/>
          <w:color w:val="auto"/>
        </w:rPr>
        <w:t>payable to order of the Company enclosed herewith</w:t>
      </w:r>
    </w:p>
    <w:p>
      <w:pPr>
        <w:spacing w:after="0" w:line="198" w:lineRule="exact"/>
        <w:rPr>
          <w:sz w:val="20"/>
          <w:szCs w:val="20"/>
          <w:color w:val="auto"/>
        </w:rPr>
      </w:pPr>
    </w:p>
    <w:p>
      <w:pPr>
        <w:ind w:left="1520" w:hanging="763"/>
        <w:spacing w:after="0"/>
        <w:tabs>
          <w:tab w:leader="none" w:pos="152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Wire transfer of immediately available funds to the Company’s account</w:t>
      </w:r>
    </w:p>
    <w:p>
      <w:pPr>
        <w:spacing w:after="0" w:line="198" w:lineRule="exact"/>
        <w:rPr>
          <w:rFonts w:ascii="Arial" w:cs="Arial" w:eastAsia="Arial" w:hAnsi="Arial"/>
          <w:sz w:val="15"/>
          <w:szCs w:val="15"/>
          <w:color w:val="auto"/>
        </w:rPr>
      </w:pPr>
    </w:p>
    <w:p>
      <w:pPr>
        <w:ind w:left="1520" w:hanging="763"/>
        <w:spacing w:after="0"/>
        <w:tabs>
          <w:tab w:leader="none" w:pos="152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Cashless Exercise pursuant to Section 1.2 of the Warrant</w:t>
      </w:r>
    </w:p>
    <w:p>
      <w:pPr>
        <w:spacing w:after="0" w:line="209" w:lineRule="exact"/>
        <w:rPr>
          <w:rFonts w:ascii="Arial" w:cs="Arial" w:eastAsia="Arial" w:hAnsi="Arial"/>
          <w:sz w:val="15"/>
          <w:szCs w:val="15"/>
          <w:color w:val="auto"/>
        </w:rPr>
      </w:pPr>
    </w:p>
    <w:p>
      <w:pPr>
        <w:ind w:left="1520" w:hanging="763"/>
        <w:spacing w:after="0"/>
        <w:tabs>
          <w:tab w:leader="none" w:pos="152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Other [Describe]</w:t>
      </w:r>
    </w:p>
    <w:p>
      <w:pPr>
        <w:spacing w:after="0" w:line="198" w:lineRule="exact"/>
        <w:rPr>
          <w:sz w:val="20"/>
          <w:szCs w:val="20"/>
          <w:color w:val="auto"/>
        </w:rPr>
      </w:pPr>
    </w:p>
    <w:p>
      <w:pPr>
        <w:ind w:left="760" w:right="4140" w:hanging="3"/>
        <w:spacing w:after="0" w:line="821" w:lineRule="auto"/>
        <w:tabs>
          <w:tab w:leader="none" w:pos="1524" w:val="left"/>
        </w:tabs>
        <w:numPr>
          <w:ilvl w:val="0"/>
          <w:numId w:val="223"/>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206375</wp:posOffset>
            </wp:positionV>
            <wp:extent cx="4486275"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486275" cy="762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-36195</wp:posOffset>
            </wp:positionV>
            <wp:extent cx="4486275"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486275" cy="762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-396240</wp:posOffset>
            </wp:positionV>
            <wp:extent cx="4486275"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486275" cy="7620"/>
                    </a:xfrm>
                    <a:prstGeom prst="rect">
                      <a:avLst/>
                    </a:prstGeom>
                    <a:noFill/>
                  </pic:spPr>
                </pic:pic>
              </a:graphicData>
            </a:graphic>
          </wp:anchor>
        </w:drawing>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(Address)</w:t>
      </w:r>
    </w:p>
    <w:p>
      <w:pPr>
        <w:spacing w:after="0" w:line="198" w:lineRule="exact"/>
        <w:rPr>
          <w:sz w:val="20"/>
          <w:szCs w:val="20"/>
          <w:color w:val="auto"/>
        </w:rPr>
      </w:pPr>
    </w:p>
    <w:p>
      <w:pPr>
        <w:ind w:right="60" w:firstLine="549"/>
        <w:spacing w:after="0" w:line="289" w:lineRule="auto"/>
        <w:tabs>
          <w:tab w:leader="none" w:pos="111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By its execution below and for the benefit of the Company, Holder hereby restates each of the representations and warranties in Section 4 of the Warrant to Purchase Stock as of the date hereof.</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242570</wp:posOffset>
            </wp:positionV>
            <wp:extent cx="362585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90"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7620</wp:posOffset>
            </wp:positionV>
            <wp:extent cx="3206750" cy="76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178"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14605</wp:posOffset>
            </wp:positionV>
            <wp:extent cx="320675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20675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196215</wp:posOffset>
            </wp:positionV>
            <wp:extent cx="7285990" cy="2730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APPENDIX 2</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u w:val="single" w:color="auto"/>
          <w:color w:val="auto"/>
        </w:rPr>
        <w:t>ASSIGNMENT</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For value received, [Oxford Finance LLC / Pacific Western Bank] hereby sells, assigns and transfers unto</w:t>
      </w:r>
    </w:p>
    <w:p>
      <w:pPr>
        <w:spacing w:after="0" w:line="198" w:lineRule="exact"/>
        <w:rPr>
          <w:sz w:val="20"/>
          <w:szCs w:val="20"/>
          <w:color w:val="auto"/>
        </w:rPr>
      </w:pPr>
    </w:p>
    <w:p>
      <w:pPr>
        <w:ind w:left="3520"/>
        <w:spacing w:after="0"/>
        <w:tabs>
          <w:tab w:leader="none" w:pos="446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[OXFORD / BANK TRANSFEREE]</w:t>
      </w:r>
    </w:p>
    <w:p>
      <w:pPr>
        <w:spacing w:after="0" w:line="198" w:lineRule="exact"/>
        <w:rPr>
          <w:sz w:val="20"/>
          <w:szCs w:val="20"/>
          <w:color w:val="auto"/>
        </w:rPr>
      </w:pPr>
    </w:p>
    <w:p>
      <w:pPr>
        <w:ind w:left="3520"/>
        <w:spacing w:after="0"/>
        <w:rPr>
          <w:sz w:val="20"/>
          <w:szCs w:val="20"/>
          <w:color w:val="auto"/>
        </w:rPr>
      </w:pPr>
      <w:r>
        <w:rPr>
          <w:rFonts w:ascii="Arial" w:cs="Arial" w:eastAsia="Arial" w:hAnsi="Arial"/>
          <w:sz w:val="15"/>
          <w:szCs w:val="15"/>
          <w:color w:val="auto"/>
        </w:rPr>
        <w:t>Address:</w:t>
      </w:r>
    </w:p>
    <w:p>
      <w:pPr>
        <w:spacing w:after="0" w:line="210" w:lineRule="exact"/>
        <w:rPr>
          <w:sz w:val="20"/>
          <w:szCs w:val="20"/>
          <w:color w:val="auto"/>
        </w:rPr>
      </w:pPr>
    </w:p>
    <w:p>
      <w:pPr>
        <w:ind w:left="3520"/>
        <w:spacing w:after="0"/>
        <w:rPr>
          <w:sz w:val="20"/>
          <w:szCs w:val="20"/>
          <w:color w:val="auto"/>
        </w:rPr>
      </w:pPr>
      <w:r>
        <w:rPr>
          <w:rFonts w:ascii="Arial" w:cs="Arial" w:eastAsia="Arial" w:hAnsi="Arial"/>
          <w:sz w:val="15"/>
          <w:szCs w:val="15"/>
          <w:color w:val="auto"/>
        </w:rPr>
        <w:t>Tax ID:</w:t>
      </w:r>
    </w:p>
    <w:p>
      <w:pPr>
        <w:sectPr>
          <w:pgSz w:w="11900" w:h="16838" w:orient="portrait"/>
          <w:cols w:equalWidth="0" w:num="1">
            <w:col w:w="11340"/>
          </w:cols>
          <w:pgMar w:left="240" w:top="315" w:right="319" w:bottom="0" w:gutter="0" w:footer="0" w:header="0"/>
        </w:sectPr>
      </w:pPr>
    </w:p>
    <w:bookmarkStart w:id="296" w:name="page297"/>
    <w:bookmarkEnd w:id="296"/>
    <w:p>
      <w:pPr>
        <w:ind w:left="700"/>
        <w:spacing w:after="0"/>
        <w:rPr>
          <w:sz w:val="20"/>
          <w:szCs w:val="20"/>
          <w:color w:val="auto"/>
        </w:rPr>
      </w:pPr>
      <w:r>
        <w:rPr>
          <w:rFonts w:ascii="Arial" w:cs="Arial" w:eastAsia="Arial" w:hAnsi="Arial"/>
          <w:sz w:val="14"/>
          <w:szCs w:val="14"/>
          <w:color w:val="auto"/>
        </w:rPr>
        <w:t>that certain Warrant to Purchase Stock issued by SELECTA BIOSCIENCES, INC. (the “</w:t>
      </w:r>
      <w:r>
        <w:rPr>
          <w:rFonts w:ascii="Arial" w:cs="Arial" w:eastAsia="Arial" w:hAnsi="Arial"/>
          <w:sz w:val="14"/>
          <w:szCs w:val="14"/>
          <w:b w:val="1"/>
          <w:bCs w:val="1"/>
          <w:color w:val="auto"/>
        </w:rPr>
        <w:t>Company</w:t>
      </w:r>
      <w:r>
        <w:rPr>
          <w:rFonts w:ascii="Arial" w:cs="Arial" w:eastAsia="Arial" w:hAnsi="Arial"/>
          <w:sz w:val="14"/>
          <w:szCs w:val="14"/>
          <w:color w:val="auto"/>
        </w:rPr>
        <w:t>”), on December 31, 2015 (the “</w:t>
      </w:r>
      <w:r>
        <w:rPr>
          <w:rFonts w:ascii="Arial" w:cs="Arial" w:eastAsia="Arial" w:hAnsi="Arial"/>
          <w:sz w:val="14"/>
          <w:szCs w:val="14"/>
          <w:b w:val="1"/>
          <w:bCs w:val="1"/>
          <w:color w:val="auto"/>
        </w:rPr>
        <w:t>Warrant</w:t>
      </w:r>
      <w:r>
        <w:rPr>
          <w:rFonts w:ascii="Arial" w:cs="Arial" w:eastAsia="Arial" w:hAnsi="Arial"/>
          <w:sz w:val="14"/>
          <w:szCs w:val="14"/>
          <w:color w:val="auto"/>
        </w:rPr>
        <w:t>”) together with all rights, title and</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interest therein.</w:t>
      </w:r>
    </w:p>
    <w:p>
      <w:pPr>
        <w:spacing w:after="0" w:line="36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[OXFORD FINANCE LLC / SQUARE 1 BANK]</w:t>
      </w:r>
    </w:p>
    <w:p>
      <w:pPr>
        <w:spacing w:after="0" w:line="395"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90"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90"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7620</wp:posOffset>
            </wp:positionV>
            <wp:extent cx="306705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067050" cy="7620"/>
                    </a:xfrm>
                    <a:prstGeom prst="rect">
                      <a:avLst/>
                    </a:prstGeom>
                    <a:noFill/>
                  </pic:spPr>
                </pic:pic>
              </a:graphicData>
            </a:graphic>
          </wp:anchor>
        </w:drawing>
      </w:r>
    </w:p>
    <w:p>
      <w:pPr>
        <w:spacing w:after="0" w:line="178"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By its execution below, and for the benefit of the Company, [OXFORD / BANK TRANSFEREE] makes each of the representations and warranties set forth in Article 4 of the Warrant and agrees to all other provisions of the Warrant as of the date hereof.</w:t>
      </w:r>
    </w:p>
    <w:p>
      <w:pPr>
        <w:spacing w:after="0" w:line="14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[OXFORD / BANK TRANSFEREE]</w:t>
      </w:r>
    </w:p>
    <w:p>
      <w:pPr>
        <w:spacing w:after="0" w:line="210"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90"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022600" cy="7620"/>
                    </a:xfrm>
                    <a:prstGeom prst="rect">
                      <a:avLst/>
                    </a:prstGeom>
                    <a:noFill/>
                  </pic:spPr>
                </pic:pic>
              </a:graphicData>
            </a:graphic>
          </wp:anchor>
        </w:drawing>
      </w:r>
    </w:p>
    <w:p>
      <w:pPr>
        <w:spacing w:after="0" w:line="190"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7620</wp:posOffset>
            </wp:positionV>
            <wp:extent cx="302260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0226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97" w:name="page298"/>
    <w:bookmarkEnd w:id="297"/>
    <w:p>
      <w:pPr>
        <w:jc w:val="right"/>
        <w:spacing w:after="0"/>
        <w:rPr>
          <w:sz w:val="20"/>
          <w:szCs w:val="20"/>
          <w:color w:val="auto"/>
        </w:rPr>
      </w:pPr>
      <w:r>
        <w:rPr>
          <w:rFonts w:ascii="Arial" w:cs="Arial" w:eastAsia="Arial" w:hAnsi="Arial"/>
          <w:sz w:val="15"/>
          <w:szCs w:val="15"/>
          <w:b w:val="1"/>
          <w:bCs w:val="1"/>
          <w:color w:val="auto"/>
        </w:rPr>
        <w:t>Exhibit 10.14</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CONSULTING AGREEMENT</w:t>
      </w:r>
    </w:p>
    <w:p>
      <w:pPr>
        <w:spacing w:after="0" w:line="2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(Ulrich von Andrian)</w:t>
      </w:r>
    </w:p>
    <w:p>
      <w:pPr>
        <w:spacing w:after="0" w:line="188" w:lineRule="exact"/>
        <w:rPr>
          <w:sz w:val="20"/>
          <w:szCs w:val="20"/>
          <w:color w:val="auto"/>
        </w:rPr>
      </w:pPr>
    </w:p>
    <w:p>
      <w:pPr>
        <w:ind w:left="7" w:right="160" w:firstLine="556"/>
        <w:spacing w:after="0" w:line="289" w:lineRule="auto"/>
        <w:rPr>
          <w:sz w:val="20"/>
          <w:szCs w:val="20"/>
          <w:color w:val="auto"/>
        </w:rPr>
      </w:pPr>
      <w:r>
        <w:rPr>
          <w:rFonts w:ascii="Arial" w:cs="Arial" w:eastAsia="Arial" w:hAnsi="Arial"/>
          <w:sz w:val="15"/>
          <w:szCs w:val="15"/>
          <w:color w:val="auto"/>
        </w:rPr>
        <w:t>This Consulting Agreement dated as of March 10, 2008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by and between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Ulrich von Andrian (the “</w:t>
      </w:r>
      <w:r>
        <w:rPr>
          <w:rFonts w:ascii="Arial" w:cs="Arial" w:eastAsia="Arial" w:hAnsi="Arial"/>
          <w:sz w:val="15"/>
          <w:szCs w:val="15"/>
          <w:u w:val="single" w:color="auto"/>
          <w:color w:val="auto"/>
        </w:rPr>
        <w:t>Consultant</w:t>
      </w:r>
      <w:r>
        <w:rPr>
          <w:rFonts w:ascii="Arial" w:cs="Arial" w:eastAsia="Arial" w:hAnsi="Arial"/>
          <w:sz w:val="15"/>
          <w:szCs w:val="15"/>
          <w:color w:val="auto"/>
        </w:rPr>
        <w:t>”).</w:t>
      </w:r>
    </w:p>
    <w:p>
      <w:pPr>
        <w:spacing w:after="0" w:line="141" w:lineRule="exact"/>
        <w:rPr>
          <w:sz w:val="20"/>
          <w:szCs w:val="20"/>
          <w:color w:val="auto"/>
        </w:rPr>
      </w:pPr>
    </w:p>
    <w:p>
      <w:pPr>
        <w:ind w:left="7" w:firstLine="556"/>
        <w:spacing w:after="0" w:line="289" w:lineRule="auto"/>
        <w:rPr>
          <w:sz w:val="20"/>
          <w:szCs w:val="20"/>
          <w:color w:val="auto"/>
        </w:rPr>
      </w:pPr>
      <w:r>
        <w:rPr>
          <w:rFonts w:ascii="Arial" w:cs="Arial" w:eastAsia="Arial" w:hAnsi="Arial"/>
          <w:sz w:val="15"/>
          <w:szCs w:val="15"/>
          <w:color w:val="auto"/>
        </w:rPr>
        <w:t>WHEREAS, the Company desires to engage the Consultant to perform consulting services on behalf of the Company and the Consultant desires to perform such services on the terms and conditions hereinafter set forth.</w:t>
      </w:r>
    </w:p>
    <w:p>
      <w:pPr>
        <w:spacing w:after="0" w:line="141" w:lineRule="exact"/>
        <w:rPr>
          <w:sz w:val="20"/>
          <w:szCs w:val="20"/>
          <w:color w:val="auto"/>
        </w:rPr>
      </w:pPr>
    </w:p>
    <w:p>
      <w:pPr>
        <w:ind w:left="547"/>
        <w:spacing w:after="0"/>
        <w:rPr>
          <w:sz w:val="20"/>
          <w:szCs w:val="20"/>
          <w:color w:val="auto"/>
        </w:rPr>
      </w:pPr>
      <w:r>
        <w:rPr>
          <w:rFonts w:ascii="Arial" w:cs="Arial" w:eastAsia="Arial" w:hAnsi="Arial"/>
          <w:sz w:val="15"/>
          <w:szCs w:val="15"/>
          <w:color w:val="auto"/>
        </w:rPr>
        <w:t>NOW, THEREFORE, in consideration of the premises and the mutual covenants set forth herein, the parties hereby agree as follows:</w:t>
      </w:r>
    </w:p>
    <w:p>
      <w:pPr>
        <w:spacing w:after="0" w:line="198" w:lineRule="exact"/>
        <w:rPr>
          <w:sz w:val="20"/>
          <w:szCs w:val="20"/>
          <w:color w:val="auto"/>
        </w:rPr>
      </w:pPr>
    </w:p>
    <w:p>
      <w:pPr>
        <w:ind w:left="1047" w:hanging="457"/>
        <w:spacing w:after="0"/>
        <w:tabs>
          <w:tab w:leader="none" w:pos="1047" w:val="left"/>
        </w:tabs>
        <w:numPr>
          <w:ilvl w:val="1"/>
          <w:numId w:val="225"/>
        </w:numPr>
        <w:rPr>
          <w:rFonts w:ascii="Arial" w:cs="Arial" w:eastAsia="Arial" w:hAnsi="Arial"/>
          <w:sz w:val="15"/>
          <w:szCs w:val="15"/>
          <w:color w:val="auto"/>
        </w:rPr>
      </w:pPr>
      <w:r>
        <w:rPr>
          <w:rFonts w:ascii="Arial" w:cs="Arial" w:eastAsia="Arial" w:hAnsi="Arial"/>
          <w:sz w:val="15"/>
          <w:szCs w:val="15"/>
          <w:u w:val="single" w:color="auto"/>
          <w:color w:val="auto"/>
        </w:rPr>
        <w:t>Consulting Services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7" w:right="40" w:firstLine="1104"/>
        <w:spacing w:after="0" w:line="289" w:lineRule="auto"/>
        <w:tabs>
          <w:tab w:leader="none" w:pos="1615" w:val="left"/>
        </w:tabs>
        <w:numPr>
          <w:ilvl w:val="2"/>
          <w:numId w:val="225"/>
        </w:numPr>
        <w:rPr>
          <w:rFonts w:ascii="Arial" w:cs="Arial" w:eastAsia="Arial" w:hAnsi="Arial"/>
          <w:sz w:val="15"/>
          <w:szCs w:val="15"/>
          <w:color w:val="auto"/>
        </w:rPr>
      </w:pPr>
      <w:r>
        <w:rPr>
          <w:rFonts w:ascii="Arial" w:cs="Arial" w:eastAsia="Arial" w:hAnsi="Arial"/>
          <w:sz w:val="15"/>
          <w:szCs w:val="15"/>
          <w:color w:val="auto"/>
        </w:rPr>
        <w:t xml:space="preserve">The Company hereby retains the Consultant and the Consultant hereby agrees to perform such consulting and advisory services relating to the Field of Interest (as defined in Section 13(j)) as the Company may request and as set forth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Consulting Services</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left="7" w:right="140" w:firstLine="1104"/>
        <w:spacing w:after="0" w:line="371" w:lineRule="auto"/>
        <w:tabs>
          <w:tab w:leader="none" w:pos="1623" w:val="left"/>
        </w:tabs>
        <w:numPr>
          <w:ilvl w:val="2"/>
          <w:numId w:val="225"/>
        </w:numPr>
        <w:rPr>
          <w:rFonts w:ascii="Arial" w:cs="Arial" w:eastAsia="Arial" w:hAnsi="Arial"/>
          <w:sz w:val="13"/>
          <w:szCs w:val="13"/>
          <w:color w:val="auto"/>
        </w:rPr>
      </w:pPr>
      <w:r>
        <w:rPr>
          <w:rFonts w:ascii="Arial" w:cs="Arial" w:eastAsia="Arial" w:hAnsi="Arial"/>
          <w:sz w:val="13"/>
          <w:szCs w:val="13"/>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13"/>
          <w:szCs w:val="13"/>
          <w:u w:val="single" w:color="auto"/>
          <w:color w:val="auto"/>
        </w:rPr>
        <w:t>Schedule A</w:t>
      </w:r>
      <w:r>
        <w:rPr>
          <w:rFonts w:ascii="Arial" w:cs="Arial" w:eastAsia="Arial" w:hAnsi="Arial"/>
          <w:sz w:val="13"/>
          <w:szCs w:val="13"/>
          <w:color w:val="auto"/>
        </w:rPr>
        <w:t>, the Consultant may deliver the Consulting Services over the telephone, in person or by written correspondence.</w:t>
      </w:r>
    </w:p>
    <w:p>
      <w:pPr>
        <w:spacing w:after="0" w:line="93" w:lineRule="exact"/>
        <w:rPr>
          <w:rFonts w:ascii="Arial" w:cs="Arial" w:eastAsia="Arial" w:hAnsi="Arial"/>
          <w:sz w:val="13"/>
          <w:szCs w:val="13"/>
          <w:color w:val="auto"/>
        </w:rPr>
      </w:pPr>
    </w:p>
    <w:p>
      <w:pPr>
        <w:ind w:left="7" w:right="160" w:firstLine="1104"/>
        <w:spacing w:after="0" w:line="327" w:lineRule="auto"/>
        <w:tabs>
          <w:tab w:leader="none" w:pos="1626" w:val="left"/>
        </w:tabs>
        <w:numPr>
          <w:ilvl w:val="2"/>
          <w:numId w:val="225"/>
        </w:numPr>
        <w:rPr>
          <w:rFonts w:ascii="Arial" w:cs="Arial" w:eastAsia="Arial" w:hAnsi="Arial"/>
          <w:sz w:val="14"/>
          <w:szCs w:val="14"/>
          <w:color w:val="auto"/>
        </w:rPr>
      </w:pPr>
      <w:r>
        <w:rPr>
          <w:rFonts w:ascii="Arial" w:cs="Arial" w:eastAsia="Arial" w:hAnsi="Arial"/>
          <w:sz w:val="14"/>
          <w:szCs w:val="14"/>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17" w:lineRule="exact"/>
        <w:rPr>
          <w:rFonts w:ascii="Arial" w:cs="Arial" w:eastAsia="Arial" w:hAnsi="Arial"/>
          <w:sz w:val="14"/>
          <w:szCs w:val="14"/>
          <w:color w:val="auto"/>
        </w:rPr>
      </w:pPr>
    </w:p>
    <w:p>
      <w:pPr>
        <w:ind w:left="7" w:right="40" w:firstLine="1104"/>
        <w:spacing w:after="0" w:line="268" w:lineRule="auto"/>
        <w:tabs>
          <w:tab w:leader="none" w:pos="1623" w:val="left"/>
        </w:tabs>
        <w:numPr>
          <w:ilvl w:val="2"/>
          <w:numId w:val="225"/>
        </w:numPr>
        <w:rPr>
          <w:rFonts w:ascii="Arial" w:cs="Arial" w:eastAsia="Arial" w:hAnsi="Arial"/>
          <w:sz w:val="15"/>
          <w:szCs w:val="15"/>
          <w:color w:val="auto"/>
        </w:rPr>
      </w:pPr>
      <w:r>
        <w:rPr>
          <w:rFonts w:ascii="Arial" w:cs="Arial" w:eastAsia="Arial" w:hAnsi="Arial"/>
          <w:sz w:val="15"/>
          <w:szCs w:val="15"/>
          <w:color w:val="auto"/>
        </w:rPr>
        <w:t>The Company acknowledges that (i) the Consultant is a member of the faculty of Harvard Medical School (“</w:t>
      </w:r>
      <w:r>
        <w:rPr>
          <w:rFonts w:ascii="Arial" w:cs="Arial" w:eastAsia="Arial" w:hAnsi="Arial"/>
          <w:sz w:val="15"/>
          <w:szCs w:val="15"/>
          <w:u w:val="single" w:color="auto"/>
          <w:color w:val="auto"/>
        </w:rPr>
        <w:t>Harvard</w:t>
      </w:r>
      <w:r>
        <w:rPr>
          <w:rFonts w:ascii="Arial" w:cs="Arial" w:eastAsia="Arial" w:hAnsi="Arial"/>
          <w:sz w:val="15"/>
          <w:szCs w:val="15"/>
          <w:color w:val="auto"/>
        </w:rPr>
        <w:t xml:space="preserve">”); (ii) the Consultant is subject to certain policies of Harvard, as such policies may be revised from time to time, including among others, policies concerning consulting, conflicts of interest and commitment, intellectual property, and use of Harvard’s name; and (iii) any provision of this Agreement that conflicts with such policies shall be superseded by such policies. Further, the Company agrees that this Agreement is subject to the </w:t>
      </w:r>
      <w:r>
        <w:rPr>
          <w:rFonts w:ascii="Arial" w:cs="Arial" w:eastAsia="Arial" w:hAnsi="Arial"/>
          <w:sz w:val="15"/>
          <w:szCs w:val="15"/>
          <w:u w:val="single" w:color="auto"/>
          <w:color w:val="auto"/>
        </w:rPr>
        <w:t>Addendum</w:t>
      </w:r>
      <w:r>
        <w:rPr>
          <w:rFonts w:ascii="Arial" w:cs="Arial" w:eastAsia="Arial" w:hAnsi="Arial"/>
          <w:sz w:val="15"/>
          <w:szCs w:val="15"/>
          <w:color w:val="auto"/>
        </w:rPr>
        <w:t xml:space="preserve"> attached hereto, the terms of which are incorporated herein by reference.</w:t>
      </w:r>
    </w:p>
    <w:p>
      <w:pPr>
        <w:spacing w:after="0" w:line="156" w:lineRule="exact"/>
        <w:rPr>
          <w:rFonts w:ascii="Arial" w:cs="Arial" w:eastAsia="Arial" w:hAnsi="Arial"/>
          <w:sz w:val="15"/>
          <w:szCs w:val="15"/>
          <w:color w:val="auto"/>
        </w:rPr>
      </w:pPr>
    </w:p>
    <w:p>
      <w:pPr>
        <w:ind w:left="7" w:right="40" w:firstLine="549"/>
        <w:spacing w:after="0" w:line="289" w:lineRule="auto"/>
        <w:tabs>
          <w:tab w:leader="none" w:pos="1061"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xml:space="preserve">. The Company shall pay the Consultant a consulting fee as provided in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Company will reimburse the Consultant for reasonable business expenses incurred by the Consultant in the performance of Consulting Services for the Company as provided in </w:t>
      </w:r>
      <w:r>
        <w:rPr>
          <w:rFonts w:ascii="Arial" w:cs="Arial" w:eastAsia="Arial" w:hAnsi="Arial"/>
          <w:sz w:val="15"/>
          <w:szCs w:val="15"/>
          <w:u w:val="single" w:color="auto"/>
          <w:color w:val="auto"/>
        </w:rPr>
        <w:t>Schedule A</w:t>
      </w:r>
      <w:r>
        <w:rPr>
          <w:rFonts w:ascii="Arial" w:cs="Arial" w:eastAsia="Arial" w:hAnsi="Arial"/>
          <w:sz w:val="15"/>
          <w:szCs w:val="15"/>
          <w:color w:val="auto"/>
        </w:rPr>
        <w:t>.</w:t>
      </w:r>
    </w:p>
    <w:p>
      <w:pPr>
        <w:spacing w:after="0" w:line="140" w:lineRule="exact"/>
        <w:rPr>
          <w:rFonts w:ascii="Arial" w:cs="Arial" w:eastAsia="Arial" w:hAnsi="Arial"/>
          <w:sz w:val="15"/>
          <w:szCs w:val="15"/>
          <w:color w:val="auto"/>
        </w:rPr>
      </w:pPr>
    </w:p>
    <w:p>
      <w:pPr>
        <w:ind w:left="7" w:right="540" w:firstLine="549"/>
        <w:spacing w:after="0" w:line="289" w:lineRule="auto"/>
        <w:tabs>
          <w:tab w:leader="none" w:pos="1061"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Independent Contractor</w:t>
      </w:r>
      <w:r>
        <w:rPr>
          <w:rFonts w:ascii="Arial" w:cs="Arial" w:eastAsia="Arial" w:hAnsi="Arial"/>
          <w:sz w:val="15"/>
          <w:szCs w:val="15"/>
          <w:color w:val="auto"/>
        </w:rPr>
        <w:t>. In furnishing the Consulting Services, the Consultant understands that he will at all times be acting as an independent contractor of the Company and, as such, will not be an employee of the Company and will not by reason of this Agreement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285990" cy="2730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7" w:right="60"/>
        <w:spacing w:after="0" w:line="273" w:lineRule="auto"/>
        <w:rPr>
          <w:sz w:val="20"/>
          <w:szCs w:val="20"/>
          <w:color w:val="auto"/>
        </w:rPr>
      </w:pPr>
      <w:r>
        <w:rPr>
          <w:rFonts w:ascii="Arial" w:cs="Arial" w:eastAsia="Arial" w:hAnsi="Arial"/>
          <w:sz w:val="15"/>
          <w:szCs w:val="15"/>
          <w:color w:val="auto"/>
        </w:rPr>
        <w:t>reason of his Consulting Services to the Company be entitled to participate in or to receive any benefit or right under any of the Company’s employee benefit or welfare plans. The Consultant also will be responsible for paying all withholding and other taxes required by law to be paid as and when the same become due and payable. Consultant shall not enter into any agreements or incur any obligations on behalf of the Company.</w:t>
      </w:r>
    </w:p>
    <w:p>
      <w:pPr>
        <w:spacing w:after="0" w:line="153" w:lineRule="exact"/>
        <w:rPr>
          <w:sz w:val="20"/>
          <w:szCs w:val="20"/>
          <w:color w:val="auto"/>
        </w:rPr>
      </w:pPr>
    </w:p>
    <w:p>
      <w:pPr>
        <w:ind w:left="7" w:right="100" w:firstLine="549"/>
        <w:spacing w:after="0" w:line="281" w:lineRule="auto"/>
        <w:tabs>
          <w:tab w:leader="none" w:pos="1119" w:val="left"/>
        </w:tabs>
        <w:numPr>
          <w:ilvl w:val="1"/>
          <w:numId w:val="227"/>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xml:space="preserve">. The parties may terminate this Agreement with the mutual consent of both parties. The Company may terminate this Agreement at any time for Cause (as defined in Section 13(j)) or at any time after March 31, 2012 without Cause;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in the event this Agreement is terminated by the Company without Cause, then the Company shall (i) deposit into escrow with an escrow agent acceptable to both parties an amount of cash equal to the consulting fee paid to the Consultant during the preceding ninety</w:t>
      </w:r>
    </w:p>
    <w:p>
      <w:pPr>
        <w:jc w:val="both"/>
        <w:ind w:left="7" w:right="60" w:hanging="7"/>
        <w:spacing w:after="0" w:line="266" w:lineRule="auto"/>
        <w:tabs>
          <w:tab w:leader="none" w:pos="303"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days, and (ii) cause the escrow agent to pay such amount to the Consultant payable when and as if Consultant had continued to provide Consulting Services to the Company during the ninety (90) days immediately following such termination. The Consultant may terminate this Agreement for any reason;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he shall first provide written notice to the Company at least 30 days prior to the effective date of termination.</w:t>
      </w:r>
    </w:p>
    <w:p>
      <w:pPr>
        <w:spacing w:after="0" w:line="157" w:lineRule="exact"/>
        <w:rPr>
          <w:rFonts w:ascii="Arial" w:cs="Arial" w:eastAsia="Arial" w:hAnsi="Arial"/>
          <w:sz w:val="15"/>
          <w:szCs w:val="15"/>
          <w:color w:val="auto"/>
        </w:rPr>
      </w:pPr>
    </w:p>
    <w:p>
      <w:pPr>
        <w:ind w:left="1107" w:hanging="517"/>
        <w:spacing w:after="0"/>
        <w:tabs>
          <w:tab w:leader="none" w:pos="1107" w:val="left"/>
        </w:tabs>
        <w:numPr>
          <w:ilvl w:val="2"/>
          <w:numId w:val="228"/>
        </w:numPr>
        <w:rPr>
          <w:rFonts w:ascii="Arial" w:cs="Arial" w:eastAsia="Arial" w:hAnsi="Arial"/>
          <w:sz w:val="15"/>
          <w:szCs w:val="15"/>
          <w:color w:val="auto"/>
        </w:rPr>
      </w:pPr>
      <w:r>
        <w:rPr>
          <w:rFonts w:ascii="Arial" w:cs="Arial" w:eastAsia="Arial" w:hAnsi="Arial"/>
          <w:sz w:val="15"/>
          <w:szCs w:val="15"/>
          <w:u w:val="single" w:color="auto"/>
          <w:color w:val="auto"/>
        </w:rPr>
        <w:t>Exceptions to this Agreement</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47" w:right="80" w:firstLine="1064"/>
        <w:spacing w:after="0" w:line="263" w:lineRule="auto"/>
        <w:tabs>
          <w:tab w:leader="none" w:pos="1657" w:val="left"/>
        </w:tabs>
        <w:numPr>
          <w:ilvl w:val="3"/>
          <w:numId w:val="228"/>
        </w:numPr>
        <w:rPr>
          <w:rFonts w:ascii="Arial" w:cs="Arial" w:eastAsia="Arial" w:hAnsi="Arial"/>
          <w:sz w:val="15"/>
          <w:szCs w:val="15"/>
          <w:color w:val="auto"/>
        </w:rPr>
      </w:pPr>
      <w:r>
        <w:rPr>
          <w:rFonts w:ascii="Arial" w:cs="Arial" w:eastAsia="Arial" w:hAnsi="Arial"/>
          <w:sz w:val="15"/>
          <w:szCs w:val="15"/>
          <w:u w:val="single" w:color="auto"/>
          <w:color w:val="auto"/>
        </w:rPr>
        <w:t>Certain Other Contracts</w:t>
      </w:r>
      <w:r>
        <w:rPr>
          <w:rFonts w:ascii="Arial" w:cs="Arial" w:eastAsia="Arial" w:hAnsi="Arial"/>
          <w:sz w:val="15"/>
          <w:szCs w:val="15"/>
          <w:color w:val="auto"/>
        </w:rPr>
        <w:t>. The Company acknowledges that (I) the Consultant is affiliated with the CBR Institute for Biomedical Research (“</w:t>
      </w:r>
      <w:r>
        <w:rPr>
          <w:rFonts w:ascii="Arial" w:cs="Arial" w:eastAsia="Arial" w:hAnsi="Arial"/>
          <w:sz w:val="15"/>
          <w:szCs w:val="15"/>
          <w:u w:val="single" w:color="auto"/>
          <w:color w:val="auto"/>
        </w:rPr>
        <w:t>CBRI</w:t>
      </w:r>
      <w:r>
        <w:rPr>
          <w:rFonts w:ascii="Arial" w:cs="Arial" w:eastAsia="Arial" w:hAnsi="Arial"/>
          <w:sz w:val="15"/>
          <w:szCs w:val="15"/>
          <w:color w:val="auto"/>
        </w:rPr>
        <w:t>”) and is a member of the faculty of Harvard, and (II) the Consultant is now or may become a party to agreements with CBRI and/or Harvard and other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an existing confidentiality agreement with CBRI, Harvard or any other third party, (ii) use the funding, resources, facilities or inventions of CBRI, Harvard or any other third party to perform the Consulting Services, or (iii) perform the Consulting Services in any manner that would give CBRI, Harvard or any other third party rights to any intellectual property created in connection with such services.</w:t>
      </w:r>
    </w:p>
    <w:p>
      <w:pPr>
        <w:spacing w:after="0" w:line="159" w:lineRule="exact"/>
        <w:rPr>
          <w:rFonts w:ascii="Arial" w:cs="Arial" w:eastAsia="Arial" w:hAnsi="Arial"/>
          <w:sz w:val="15"/>
          <w:szCs w:val="15"/>
          <w:color w:val="auto"/>
        </w:rPr>
      </w:pPr>
    </w:p>
    <w:p>
      <w:pPr>
        <w:jc w:val="both"/>
        <w:ind w:left="47" w:right="20" w:firstLine="1064"/>
        <w:spacing w:after="0" w:line="265" w:lineRule="auto"/>
        <w:tabs>
          <w:tab w:leader="none" w:pos="1666" w:val="left"/>
        </w:tabs>
        <w:numPr>
          <w:ilvl w:val="3"/>
          <w:numId w:val="228"/>
        </w:numPr>
        <w:rPr>
          <w:rFonts w:ascii="Arial" w:cs="Arial" w:eastAsia="Arial" w:hAnsi="Arial"/>
          <w:sz w:val="15"/>
          <w:szCs w:val="15"/>
          <w:color w:val="auto"/>
        </w:rPr>
      </w:pPr>
      <w:r>
        <w:rPr>
          <w:rFonts w:ascii="Arial" w:cs="Arial" w:eastAsia="Arial" w:hAnsi="Arial"/>
          <w:sz w:val="15"/>
          <w:szCs w:val="15"/>
          <w:u w:val="single" w:color="auto"/>
          <w:color w:val="auto"/>
        </w:rPr>
        <w:t>Prior Inventions</w:t>
      </w:r>
      <w:r>
        <w:rPr>
          <w:rFonts w:ascii="Arial" w:cs="Arial" w:eastAsia="Arial" w:hAnsi="Arial"/>
          <w:sz w:val="15"/>
          <w:szCs w:val="15"/>
          <w:color w:val="auto"/>
        </w:rPr>
        <w:t>. The Consultant has informed the Company, in writing, of any and all inventions which he claims as his own or otherwise intends to exclude from this Agreement because it was developed by him prior to the date of this Agreement. The Consultant acknowledges that after execution of this Agreement he shall have no right to exclude any Inventions (as defined in Section 7) from this Agreement. The provisions of this Section 5(b) shall not apply to, and the definition of Company Inventions in Section 7 shall not be understood to include, any invention or other form of intellectual property made or developed by the Consultant in connection with his activities as a faculty member of Harvard or that are otherwise subject to the intellectual property policies of Harvard.</w:t>
      </w:r>
    </w:p>
    <w:p>
      <w:pPr>
        <w:spacing w:after="0" w:line="159" w:lineRule="exact"/>
        <w:rPr>
          <w:rFonts w:ascii="Arial" w:cs="Arial" w:eastAsia="Arial" w:hAnsi="Arial"/>
          <w:sz w:val="15"/>
          <w:szCs w:val="15"/>
          <w:color w:val="auto"/>
        </w:rPr>
      </w:pPr>
    </w:p>
    <w:p>
      <w:pPr>
        <w:ind w:left="7" w:right="60" w:firstLine="549"/>
        <w:spacing w:after="0" w:line="289" w:lineRule="auto"/>
        <w:tabs>
          <w:tab w:leader="none" w:pos="1119" w:val="left"/>
        </w:tabs>
        <w:numPr>
          <w:ilvl w:val="1"/>
          <w:numId w:val="228"/>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While providing the Consulting Services to the Company and thereafter, the Consultant shall not, directly or indirectly, use any Confidential Information (as defined below) other than pursuant to his provision of the Consulting Services by</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 w:right="320"/>
        <w:spacing w:after="0" w:line="265" w:lineRule="auto"/>
        <w:rPr>
          <w:sz w:val="20"/>
          <w:szCs w:val="20"/>
          <w:color w:val="auto"/>
        </w:rPr>
      </w:pPr>
      <w:r>
        <w:rPr>
          <w:rFonts w:ascii="Arial" w:cs="Arial" w:eastAsia="Arial" w:hAnsi="Arial"/>
          <w:sz w:val="15"/>
          <w:szCs w:val="15"/>
          <w:color w:val="auto"/>
        </w:rPr>
        <w:t>and for the benefit of the Company, or disclose to anyone outside of the Company any such Confidential Information. The term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60" w:lineRule="exact"/>
        <w:rPr>
          <w:sz w:val="20"/>
          <w:szCs w:val="20"/>
          <w:color w:val="auto"/>
        </w:rPr>
      </w:pPr>
    </w:p>
    <w:p>
      <w:pPr>
        <w:ind w:left="47" w:right="120" w:firstLine="1676"/>
        <w:spacing w:after="0" w:line="268" w:lineRule="auto"/>
        <w:tabs>
          <w:tab w:leader="none" w:pos="1933"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56" w:lineRule="exact"/>
        <w:rPr>
          <w:rFonts w:ascii="Arial" w:cs="Arial" w:eastAsia="Arial" w:hAnsi="Arial"/>
          <w:sz w:val="15"/>
          <w:szCs w:val="15"/>
          <w:color w:val="auto"/>
        </w:rPr>
      </w:pPr>
    </w:p>
    <w:p>
      <w:pPr>
        <w:ind w:left="47" w:right="120" w:firstLine="1676"/>
        <w:spacing w:after="0" w:line="273" w:lineRule="auto"/>
        <w:tabs>
          <w:tab w:leader="none" w:pos="194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name of any customer, supplier, employee, prospective customer,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the Company.</w:t>
      </w:r>
    </w:p>
    <w:p>
      <w:pPr>
        <w:sectPr>
          <w:pgSz w:w="11900" w:h="16838" w:orient="portrait"/>
          <w:cols w:equalWidth="0" w:num="1">
            <w:col w:w="11447"/>
          </w:cols>
          <w:pgMar w:left="233" w:top="332" w:right="219" w:bottom="0" w:gutter="0" w:footer="0" w:header="0"/>
        </w:sectPr>
      </w:pPr>
    </w:p>
    <w:bookmarkStart w:id="298" w:name="page299"/>
    <w:bookmarkEnd w:id="298"/>
    <w:p>
      <w:pPr>
        <w:spacing w:after="0" w:line="40" w:lineRule="exact"/>
        <w:rPr>
          <w:sz w:val="20"/>
          <w:szCs w:val="20"/>
          <w:color w:val="auto"/>
        </w:rPr>
      </w:pPr>
    </w:p>
    <w:p>
      <w:pPr>
        <w:ind w:left="40" w:right="200" w:firstLine="1056"/>
        <w:spacing w:after="0" w:line="289" w:lineRule="auto"/>
        <w:rPr>
          <w:sz w:val="20"/>
          <w:szCs w:val="20"/>
          <w:color w:val="auto"/>
        </w:rPr>
      </w:pPr>
      <w:r>
        <w:rPr>
          <w:rFonts w:ascii="Arial" w:cs="Arial" w:eastAsia="Arial" w:hAnsi="Arial"/>
          <w:sz w:val="15"/>
          <w:szCs w:val="15"/>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41" w:lineRule="exact"/>
        <w:rPr>
          <w:sz w:val="20"/>
          <w:szCs w:val="20"/>
          <w:color w:val="auto"/>
        </w:rPr>
      </w:pPr>
    </w:p>
    <w:p>
      <w:pPr>
        <w:ind w:left="40" w:right="20" w:firstLine="1056"/>
        <w:spacing w:after="0" w:line="273" w:lineRule="auto"/>
        <w:rPr>
          <w:sz w:val="20"/>
          <w:szCs w:val="20"/>
          <w:color w:val="auto"/>
        </w:rPr>
      </w:pPr>
      <w:r>
        <w:rPr>
          <w:rFonts w:ascii="Arial" w:cs="Arial" w:eastAsia="Arial" w:hAnsi="Arial"/>
          <w:sz w:val="15"/>
          <w:szCs w:val="15"/>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53"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41" w:lineRule="exact"/>
        <w:rPr>
          <w:sz w:val="20"/>
          <w:szCs w:val="20"/>
          <w:color w:val="auto"/>
        </w:rPr>
      </w:pPr>
    </w:p>
    <w:p>
      <w:pPr>
        <w:ind w:left="1100" w:hanging="551"/>
        <w:spacing w:after="0"/>
        <w:tabs>
          <w:tab w:leader="none" w:pos="1100"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Inventions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40" w:firstLine="1064"/>
        <w:spacing w:after="0" w:line="302" w:lineRule="auto"/>
        <w:tabs>
          <w:tab w:leader="none" w:pos="1592" w:val="left"/>
        </w:tabs>
        <w:numPr>
          <w:ilvl w:val="1"/>
          <w:numId w:val="230"/>
        </w:numPr>
        <w:rPr>
          <w:rFonts w:ascii="Arial" w:cs="Arial" w:eastAsia="Arial" w:hAnsi="Arial"/>
          <w:sz w:val="14"/>
          <w:szCs w:val="14"/>
          <w:color w:val="auto"/>
        </w:rPr>
      </w:pPr>
      <w:r>
        <w:rPr>
          <w:rFonts w:ascii="Arial" w:cs="Arial" w:eastAsia="Arial" w:hAnsi="Arial"/>
          <w:sz w:val="14"/>
          <w:szCs w:val="14"/>
          <w:u w:val="single" w:color="auto"/>
          <w:color w:val="auto"/>
        </w:rPr>
        <w:t>Certain Inventions Made by Others</w:t>
      </w:r>
      <w:r>
        <w:rPr>
          <w:rFonts w:ascii="Arial" w:cs="Arial" w:eastAsia="Arial" w:hAnsi="Arial"/>
          <w:sz w:val="14"/>
          <w:szCs w:val="14"/>
          <w:color w:val="auto"/>
        </w:rPr>
        <w:t>. Subject to the Consultant’s obligations to CBRI, Harvard and other third parties, during the Terms of this Agreement, the Consultant will use his best efforts (i) to disclose to the President of the Company, on a confidential basis, technology and product opportunities which come to the attention of the Consultant in the Field of Interest, and (ii) any invention, improvement, discovery, process, formula or method or other intellectual property relating to or useful in, the Field of Interest,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5"/>
          <w:szCs w:val="15"/>
          <w:color w:val="auto"/>
        </w:rPr>
        <w:t>whether or not patentable or copyrightable, and whether or not discovered or developed by Consultant.</w:t>
      </w:r>
    </w:p>
    <w:p>
      <w:pPr>
        <w:spacing w:after="0" w:line="198" w:lineRule="exact"/>
        <w:rPr>
          <w:sz w:val="20"/>
          <w:szCs w:val="20"/>
          <w:color w:val="auto"/>
        </w:rPr>
      </w:pPr>
    </w:p>
    <w:p>
      <w:pPr>
        <w:ind w:left="40" w:firstLine="2399"/>
        <w:spacing w:after="0" w:line="280" w:lineRule="auto"/>
        <w:tabs>
          <w:tab w:leader="none" w:pos="2649" w:val="left"/>
        </w:tabs>
        <w:numPr>
          <w:ilvl w:val="1"/>
          <w:numId w:val="231"/>
        </w:numPr>
        <w:rPr>
          <w:rFonts w:ascii="Arial" w:cs="Arial" w:eastAsia="Arial" w:hAnsi="Arial"/>
          <w:sz w:val="14"/>
          <w:szCs w:val="14"/>
          <w:color w:val="auto"/>
        </w:rPr>
      </w:pPr>
      <w:r>
        <w:rPr>
          <w:rFonts w:ascii="Arial" w:cs="Arial" w:eastAsia="Arial" w:hAnsi="Arial"/>
          <w:sz w:val="14"/>
          <w:szCs w:val="14"/>
          <w:u w:val="single" w:color="auto"/>
          <w:color w:val="auto"/>
        </w:rPr>
        <w:t>Inventions Made by the Consultant</w:t>
      </w:r>
      <w:r>
        <w:rPr>
          <w:rFonts w:ascii="Arial" w:cs="Arial" w:eastAsia="Arial" w:hAnsi="Arial"/>
          <w:sz w:val="14"/>
          <w:szCs w:val="14"/>
          <w:color w:val="auto"/>
        </w:rPr>
        <w:t>. Subject to the Consultant’s obligations to CBRI and Harvard, the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either alone or with others, and in any way related to the Field of Interest or to tasks assigned to the Consultant during the course of his relationship with the Company, whether or not conceived, developed, reduced to practice or made on the Company’s premises (collectively “</w:t>
      </w:r>
      <w:r>
        <w:rPr>
          <w:rFonts w:ascii="Arial" w:cs="Arial" w:eastAsia="Arial" w:hAnsi="Arial"/>
          <w:sz w:val="14"/>
          <w:szCs w:val="14"/>
          <w:u w:val="single" w:color="auto"/>
          <w:color w:val="auto"/>
        </w:rPr>
        <w:t>Inventions</w:t>
      </w:r>
      <w:r>
        <w:rPr>
          <w:rFonts w:ascii="Arial" w:cs="Arial" w:eastAsia="Arial" w:hAnsi="Arial"/>
          <w:sz w:val="14"/>
          <w:szCs w:val="14"/>
          <w:color w:val="auto"/>
        </w:rPr>
        <w:t>”), and any and all services and products which embody, emulate or employ any such Invention or Confidential Information shall be the sole property of the Company and all copyrights, patents, patent rights, trademarks and reproduction rights to, and other proprietary rights in, each such Invention or Confidential Information, whether or not patentable or copyrightable, shall belong exclusively to the Company. The Consultant agrees that all such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55" w:lineRule="exact"/>
        <w:rPr>
          <w:rFonts w:ascii="Arial" w:cs="Arial" w:eastAsia="Arial" w:hAnsi="Arial"/>
          <w:sz w:val="14"/>
          <w:szCs w:val="14"/>
          <w:color w:val="auto"/>
        </w:rPr>
      </w:pPr>
    </w:p>
    <w:p>
      <w:pPr>
        <w:ind w:left="40" w:right="100" w:firstLine="508"/>
        <w:spacing w:after="0" w:line="289" w:lineRule="auto"/>
        <w:tabs>
          <w:tab w:leader="none" w:pos="1096" w:val="left"/>
        </w:tabs>
        <w:numPr>
          <w:ilvl w:val="0"/>
          <w:numId w:val="232"/>
        </w:numPr>
        <w:rPr>
          <w:rFonts w:ascii="Arial" w:cs="Arial" w:eastAsia="Arial" w:hAnsi="Arial"/>
          <w:sz w:val="15"/>
          <w:szCs w:val="15"/>
          <w:color w:val="auto"/>
        </w:rPr>
      </w:pPr>
      <w:r>
        <w:rPr>
          <w:rFonts w:ascii="Arial" w:cs="Arial" w:eastAsia="Arial" w:hAnsi="Arial"/>
          <w:sz w:val="15"/>
          <w:szCs w:val="15"/>
          <w:u w:val="single" w:color="auto"/>
          <w:color w:val="auto"/>
        </w:rPr>
        <w:t>Consultant’s Obligation to Keep Records</w:t>
      </w:r>
      <w:r>
        <w:rPr>
          <w:rFonts w:ascii="Arial" w:cs="Arial" w:eastAsia="Arial" w:hAnsi="Arial"/>
          <w:sz w:val="15"/>
          <w:szCs w:val="15"/>
          <w:color w:val="auto"/>
        </w:rPr>
        <w:t>. Consultant shall make and maintain adequate and current written records of all Inventions, and shall disclose all Inventions promptly, fully and in writing to the Company immediately upon development of the same and at any time upon request.</w:t>
      </w:r>
    </w:p>
    <w:p>
      <w:pPr>
        <w:spacing w:after="0" w:line="140" w:lineRule="exact"/>
        <w:rPr>
          <w:rFonts w:ascii="Arial" w:cs="Arial" w:eastAsia="Arial" w:hAnsi="Arial"/>
          <w:sz w:val="15"/>
          <w:szCs w:val="15"/>
          <w:color w:val="auto"/>
        </w:rPr>
      </w:pPr>
    </w:p>
    <w:p>
      <w:pPr>
        <w:ind w:left="40" w:firstLine="508"/>
        <w:spacing w:after="0" w:line="283" w:lineRule="auto"/>
        <w:tabs>
          <w:tab w:leader="none" w:pos="1096" w:val="left"/>
        </w:tabs>
        <w:numPr>
          <w:ilvl w:val="0"/>
          <w:numId w:val="232"/>
        </w:numPr>
        <w:rPr>
          <w:rFonts w:ascii="Arial" w:cs="Arial" w:eastAsia="Arial" w:hAnsi="Arial"/>
          <w:sz w:val="14"/>
          <w:szCs w:val="14"/>
          <w:color w:val="auto"/>
        </w:rPr>
      </w:pPr>
      <w:r>
        <w:rPr>
          <w:rFonts w:ascii="Arial" w:cs="Arial" w:eastAsia="Arial" w:hAnsi="Arial"/>
          <w:sz w:val="14"/>
          <w:szCs w:val="14"/>
          <w:u w:val="single" w:color="auto"/>
          <w:color w:val="auto"/>
        </w:rPr>
        <w:t>Consultant’s Obligation to Cooperate</w:t>
      </w:r>
      <w:r>
        <w:rPr>
          <w:rFonts w:ascii="Arial" w:cs="Arial" w:eastAsia="Arial" w:hAnsi="Arial"/>
          <w:sz w:val="14"/>
          <w:szCs w:val="14"/>
          <w:color w:val="auto"/>
        </w:rPr>
        <w:t>. The Consultant will, at any time during or after the term of this Agreement, upon request of the Company, execute all documents and perform all lawful acts which the Company considers necessary or advisable to secure its rights hereunder and to carry out the intent of this Agreement. Without limiting the generality of the foregoing, the Consultant will assist the Company in any reasonable manner to obtain for its own benefit patents or copyrights in any and all countries with respect to all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out-of-pocket expenses of the Consultant’s assistance incurred at the request of the Company under this Section will be reimbursed by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right="60" w:firstLine="564"/>
        <w:spacing w:after="0" w:line="264" w:lineRule="auto"/>
        <w:tabs>
          <w:tab w:leader="none" w:pos="1090"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Subject to written waivers that may be provided by the Company upon request, which shall not be unreasonably withheld, the Consultant agrees that during the term of this Agreement and for a period of one year after the termination of this Agreement, the Consultant shall not directly or indirectly (i) 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58" w:lineRule="exact"/>
        <w:rPr>
          <w:rFonts w:ascii="Arial" w:cs="Arial" w:eastAsia="Arial" w:hAnsi="Arial"/>
          <w:sz w:val="15"/>
          <w:szCs w:val="15"/>
          <w:color w:val="auto"/>
        </w:rPr>
      </w:pPr>
    </w:p>
    <w:p>
      <w:pPr>
        <w:ind w:left="40" w:right="60" w:firstLine="564"/>
        <w:spacing w:after="0" w:line="265" w:lineRule="auto"/>
        <w:tabs>
          <w:tab w:leader="none" w:pos="1084"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During the term of this Agreement and for a period of one year after the termination of this Agreement,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59" w:lineRule="exact"/>
        <w:rPr>
          <w:rFonts w:ascii="Arial" w:cs="Arial" w:eastAsia="Arial" w:hAnsi="Arial"/>
          <w:sz w:val="15"/>
          <w:szCs w:val="15"/>
          <w:color w:val="auto"/>
        </w:rPr>
      </w:pPr>
    </w:p>
    <w:p>
      <w:pPr>
        <w:ind w:left="40" w:right="80" w:firstLine="564"/>
        <w:spacing w:after="0" w:line="264" w:lineRule="auto"/>
        <w:tabs>
          <w:tab w:leader="none" w:pos="928"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Inventions.</w:t>
      </w:r>
    </w:p>
    <w:p>
      <w:pPr>
        <w:spacing w:after="0" w:line="158" w:lineRule="exact"/>
        <w:rPr>
          <w:rFonts w:ascii="Arial" w:cs="Arial" w:eastAsia="Arial" w:hAnsi="Arial"/>
          <w:sz w:val="15"/>
          <w:szCs w:val="15"/>
          <w:color w:val="auto"/>
        </w:rPr>
      </w:pPr>
    </w:p>
    <w:p>
      <w:pPr>
        <w:ind w:left="1100" w:hanging="496"/>
        <w:spacing w:after="0"/>
        <w:tabs>
          <w:tab w:leader="none" w:pos="1100"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8" w:lineRule="exact"/>
        <w:rPr>
          <w:rFonts w:ascii="Arial" w:cs="Arial" w:eastAsia="Arial" w:hAnsi="Arial"/>
          <w:sz w:val="15"/>
          <w:szCs w:val="15"/>
          <w:color w:val="auto"/>
        </w:rPr>
      </w:pPr>
    </w:p>
    <w:p>
      <w:pPr>
        <w:ind w:left="40" w:right="180" w:firstLine="1064"/>
        <w:spacing w:after="0" w:line="289" w:lineRule="auto"/>
        <w:tabs>
          <w:tab w:leader="none" w:pos="1592" w:val="left"/>
        </w:tabs>
        <w:numPr>
          <w:ilvl w:val="1"/>
          <w:numId w:val="23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and the documents referred to herein constitute the entire agreement among the parties with respect to the subject matter hereof and supersede all other prior agreements and understandings, both written and oral, between the parties with respect to such subject matter.</w:t>
      </w:r>
    </w:p>
    <w:p>
      <w:pPr>
        <w:spacing w:after="0" w:line="140" w:lineRule="exact"/>
        <w:rPr>
          <w:rFonts w:ascii="Arial" w:cs="Arial" w:eastAsia="Arial" w:hAnsi="Arial"/>
          <w:sz w:val="15"/>
          <w:szCs w:val="15"/>
          <w:color w:val="auto"/>
        </w:rPr>
      </w:pPr>
    </w:p>
    <w:p>
      <w:pPr>
        <w:ind w:left="40" w:right="220" w:firstLine="1064"/>
        <w:spacing w:after="0" w:line="273" w:lineRule="auto"/>
        <w:tabs>
          <w:tab w:leader="none" w:pos="1600" w:val="left"/>
        </w:tabs>
        <w:numPr>
          <w:ilvl w:val="1"/>
          <w:numId w:val="233"/>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60" w:hanging="556"/>
        <w:spacing w:after="0"/>
        <w:tabs>
          <w:tab w:leader="none" w:pos="1660"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Amendments and Supplements</w:t>
      </w:r>
      <w:r>
        <w:rPr>
          <w:rFonts w:ascii="Arial" w:cs="Arial" w:eastAsia="Arial" w:hAnsi="Arial"/>
          <w:sz w:val="14"/>
          <w:szCs w:val="14"/>
          <w:color w:val="auto"/>
        </w:rPr>
        <w:t>. This Agreement may not be altered, changed or amended, except by an instrument in writing signed by the parties hereto.</w:t>
      </w:r>
    </w:p>
    <w:p>
      <w:pPr>
        <w:spacing w:after="0" w:line="209" w:lineRule="exact"/>
        <w:rPr>
          <w:rFonts w:ascii="Arial" w:cs="Arial" w:eastAsia="Arial" w:hAnsi="Arial"/>
          <w:sz w:val="14"/>
          <w:szCs w:val="14"/>
          <w:color w:val="auto"/>
        </w:rPr>
      </w:pPr>
    </w:p>
    <w:p>
      <w:pPr>
        <w:jc w:val="both"/>
        <w:ind w:left="40" w:right="100" w:firstLine="1064"/>
        <w:spacing w:after="0" w:line="327" w:lineRule="auto"/>
        <w:tabs>
          <w:tab w:leader="none" w:pos="1658"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w:t>
      </w:r>
    </w:p>
    <w:p>
      <w:pPr>
        <w:sectPr>
          <w:pgSz w:w="11900" w:h="16878" w:orient="portrait"/>
          <w:cols w:equalWidth="0" w:num="1">
            <w:col w:w="11420"/>
          </w:cols>
          <w:pgMar w:left="240" w:top="129" w:right="239" w:bottom="0" w:gutter="0" w:footer="0" w:header="0"/>
        </w:sectPr>
      </w:pPr>
    </w:p>
    <w:bookmarkStart w:id="299" w:name="page300"/>
    <w:bookmarkEnd w:id="299"/>
    <w:p>
      <w:pPr>
        <w:spacing w:after="0" w:line="29" w:lineRule="exact"/>
        <w:rPr>
          <w:sz w:val="20"/>
          <w:szCs w:val="20"/>
          <w:color w:val="auto"/>
        </w:rPr>
      </w:pPr>
    </w:p>
    <w:p>
      <w:pPr>
        <w:ind w:left="40" w:right="40"/>
        <w:spacing w:after="0" w:line="289" w:lineRule="auto"/>
        <w:rPr>
          <w:sz w:val="20"/>
          <w:szCs w:val="20"/>
          <w:color w:val="auto"/>
        </w:rPr>
      </w:pPr>
      <w:r>
        <w:rPr>
          <w:rFonts w:ascii="Arial" w:cs="Arial" w:eastAsia="Arial" w:hAnsi="Arial"/>
          <w:sz w:val="15"/>
          <w:szCs w:val="15"/>
          <w:color w:val="auto"/>
        </w:rPr>
        <w:t>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41" w:lineRule="exact"/>
        <w:rPr>
          <w:sz w:val="20"/>
          <w:szCs w:val="20"/>
          <w:color w:val="auto"/>
        </w:rPr>
      </w:pPr>
    </w:p>
    <w:p>
      <w:pPr>
        <w:ind w:left="40" w:right="420" w:firstLine="1064"/>
        <w:spacing w:after="0" w:line="289" w:lineRule="auto"/>
        <w:tabs>
          <w:tab w:leader="none" w:pos="1661" w:val="left"/>
        </w:tabs>
        <w:numPr>
          <w:ilvl w:val="0"/>
          <w:numId w:val="235"/>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and enforced in accordance with, the substantive laws of The Commonwealth of Massachusetts, without regard to its principles of conflicts of laws.</w:t>
      </w:r>
    </w:p>
    <w:p>
      <w:pPr>
        <w:spacing w:after="0" w:line="140" w:lineRule="exact"/>
        <w:rPr>
          <w:rFonts w:ascii="Arial" w:cs="Arial" w:eastAsia="Arial" w:hAnsi="Arial"/>
          <w:sz w:val="15"/>
          <w:szCs w:val="15"/>
          <w:color w:val="auto"/>
        </w:rPr>
      </w:pPr>
    </w:p>
    <w:p>
      <w:pPr>
        <w:ind w:left="40" w:right="80" w:firstLine="1064"/>
        <w:spacing w:after="0" w:line="322" w:lineRule="auto"/>
        <w:tabs>
          <w:tab w:leader="none" w:pos="1656" w:val="left"/>
        </w:tabs>
        <w:numPr>
          <w:ilvl w:val="0"/>
          <w:numId w:val="235"/>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All notices and other communications hereunder (other than Consulting Services, which shall be delivered in the manner specified in Section 1 and </w:t>
      </w:r>
      <w:r>
        <w:rPr>
          <w:rFonts w:ascii="Arial" w:cs="Arial" w:eastAsia="Arial" w:hAnsi="Arial"/>
          <w:sz w:val="13"/>
          <w:szCs w:val="13"/>
          <w:u w:val="single" w:color="auto"/>
          <w:color w:val="auto"/>
        </w:rPr>
        <w:t>Schedule A</w:t>
      </w:r>
      <w:r>
        <w:rPr>
          <w:rFonts w:ascii="Arial" w:cs="Arial" w:eastAsia="Arial" w:hAnsi="Arial"/>
          <w:sz w:val="13"/>
          <w:szCs w:val="13"/>
          <w:color w:val="auto"/>
        </w:rPr>
        <w:t>)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the Company:</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Selecta Biosciences,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One Kendall Square, No. 169</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Cambridge, MA 02142</w:t>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Attn: President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the Consultant:</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Ulrich von Andrian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ind w:left="40" w:firstLine="1064"/>
        <w:spacing w:after="0" w:line="268" w:lineRule="auto"/>
        <w:tabs>
          <w:tab w:leader="none" w:pos="1670"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firstLine="1104"/>
        <w:spacing w:after="0" w:line="284" w:lineRule="auto"/>
        <w:tabs>
          <w:tab w:leader="none" w:pos="1674"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Survival; Validity</w:t>
      </w:r>
      <w:r>
        <w:rPr>
          <w:rFonts w:ascii="Arial" w:cs="Arial" w:eastAsia="Arial" w:hAnsi="Arial"/>
          <w:sz w:val="14"/>
          <w:szCs w:val="14"/>
          <w:color w:val="auto"/>
        </w:rPr>
        <w:t>. Notwithstanding the termination of the Consultant’s relationship with the Company (whether pursuant to Section 4 or otherwise), the Consultant’s covenants and obligations set forth in Sections 6, 7, 9, 10, 11, 12 and 13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13(h), any invalid, illegal or unenforceable provision of this Agreement shall be severable, and after any such severance, all other provisions hereof shall remain in full force and effect.</w:t>
      </w:r>
    </w:p>
    <w:p>
      <w:pPr>
        <w:spacing w:after="0" w:line="148" w:lineRule="exact"/>
        <w:rPr>
          <w:rFonts w:ascii="Arial" w:cs="Arial" w:eastAsia="Arial" w:hAnsi="Arial"/>
          <w:sz w:val="14"/>
          <w:szCs w:val="14"/>
          <w:color w:val="auto"/>
        </w:rPr>
      </w:pPr>
    </w:p>
    <w:p>
      <w:pPr>
        <w:ind w:right="60" w:firstLine="1104"/>
        <w:spacing w:after="0" w:line="293" w:lineRule="auto"/>
        <w:tabs>
          <w:tab w:leader="none" w:pos="1686"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Construction</w:t>
      </w:r>
      <w:r>
        <w:rPr>
          <w:rFonts w:ascii="Arial" w:cs="Arial" w:eastAsia="Arial" w:hAnsi="Arial"/>
          <w:sz w:val="14"/>
          <w:szCs w:val="14"/>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w:t>
      </w:r>
      <w:r>
        <w:rPr>
          <w:rFonts w:ascii="Arial" w:cs="Arial" w:eastAsia="Arial" w:hAnsi="Arial"/>
          <w:sz w:val="14"/>
          <w:szCs w:val="14"/>
          <w:u w:val="single" w:color="auto"/>
          <w:color w:val="auto"/>
        </w:rPr>
        <w:t>s “include,</w:t>
      </w:r>
      <w:r>
        <w:rPr>
          <w:rFonts w:ascii="Arial" w:cs="Arial" w:eastAsia="Arial" w:hAnsi="Arial"/>
          <w:sz w:val="14"/>
          <w:szCs w:val="14"/>
          <w:color w:val="auto"/>
        </w:rPr>
        <w:t>” “</w:t>
      </w:r>
      <w:r>
        <w:rPr>
          <w:rFonts w:ascii="Arial" w:cs="Arial" w:eastAsia="Arial" w:hAnsi="Arial"/>
          <w:sz w:val="14"/>
          <w:szCs w:val="14"/>
          <w:u w:val="single" w:color="auto"/>
          <w:color w:val="auto"/>
        </w:rPr>
        <w:t>includes</w:t>
      </w:r>
      <w:r>
        <w:rPr>
          <w:rFonts w:ascii="Arial" w:cs="Arial" w:eastAsia="Arial" w:hAnsi="Arial"/>
          <w:sz w:val="14"/>
          <w:szCs w:val="14"/>
          <w:color w:val="auto"/>
        </w:rPr>
        <w:t>” and “</w:t>
      </w:r>
      <w:r>
        <w:rPr>
          <w:rFonts w:ascii="Arial" w:cs="Arial" w:eastAsia="Arial" w:hAnsi="Arial"/>
          <w:sz w:val="14"/>
          <w:szCs w:val="14"/>
          <w:u w:val="single" w:color="auto"/>
          <w:color w:val="auto"/>
        </w:rPr>
        <w:t>including</w:t>
      </w:r>
      <w:r>
        <w:rPr>
          <w:rFonts w:ascii="Arial" w:cs="Arial" w:eastAsia="Arial" w:hAnsi="Arial"/>
          <w:sz w:val="14"/>
          <w:szCs w:val="14"/>
          <w:color w:val="auto"/>
        </w:rPr>
        <w:t>” when used herein shall be deemed in each case to be followed by the words “</w:t>
      </w:r>
      <w:r>
        <w:rPr>
          <w:rFonts w:ascii="Arial" w:cs="Arial" w:eastAsia="Arial" w:hAnsi="Arial"/>
          <w:sz w:val="14"/>
          <w:szCs w:val="14"/>
          <w:u w:val="single" w:color="auto"/>
          <w:color w:val="auto"/>
        </w:rPr>
        <w:t>without limitation</w:t>
      </w:r>
      <w:r>
        <w:rPr>
          <w:rFonts w:ascii="Arial" w:cs="Arial" w:eastAsia="Arial" w:hAnsi="Arial"/>
          <w:sz w:val="14"/>
          <w:szCs w:val="14"/>
          <w:color w:val="auto"/>
        </w:rPr>
        <w:t>.” Whenever the context may require, any pronouns used herein shall include the corresponding masculine, feminine or neuter fauns, and the singular form of names and pronouns shall include the plural and vice-versa.</w:t>
      </w:r>
    </w:p>
    <w:p>
      <w:pPr>
        <w:spacing w:after="0" w:line="140" w:lineRule="exact"/>
        <w:rPr>
          <w:rFonts w:ascii="Arial" w:cs="Arial" w:eastAsia="Arial" w:hAnsi="Arial"/>
          <w:sz w:val="14"/>
          <w:szCs w:val="14"/>
          <w:color w:val="auto"/>
        </w:rPr>
      </w:pPr>
    </w:p>
    <w:p>
      <w:pPr>
        <w:ind w:left="1660" w:hanging="556"/>
        <w:spacing w:after="0"/>
        <w:tabs>
          <w:tab w:leader="none" w:pos="1660"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w:t>
      </w:r>
    </w:p>
    <w:p>
      <w:pPr>
        <w:spacing w:after="0" w:line="198" w:lineRule="exact"/>
        <w:rPr>
          <w:sz w:val="20"/>
          <w:szCs w:val="20"/>
          <w:color w:val="auto"/>
        </w:rPr>
      </w:pPr>
    </w:p>
    <w:p>
      <w:pPr>
        <w:ind w:right="40" w:firstLine="1112"/>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Cause</w:t>
      </w:r>
      <w:r>
        <w:rPr>
          <w:rFonts w:ascii="Arial" w:cs="Arial" w:eastAsia="Arial" w:hAnsi="Arial"/>
          <w:sz w:val="14"/>
          <w:szCs w:val="14"/>
          <w:color w:val="auto"/>
        </w:rPr>
        <w:t>” shall mean: (i) Consultant’s dishonesty with respect to the Company; (ii) Consultant’s misconduct which materially and adversely reflects upon the business, affairs, operations, or reputation of the Company or upon Consultant’s ability to perform his duties for the Company; (iii) Consultant’s failure to perform his duties and responsibilities for the Company, which failure continues for more than ten (10) days after the Company gives written notice to Consultant which sets forth in reasonable detail the nature of such failure; (iv) Consultant’s negligent performance of his duties, which negligent performance continues for more than ten (10) days after the Company gives written notice to Consultant which sets forth in reasonable detail the nature of such negligence; or (v) Consultant’s breach of any one or more of the material provisions of this Agreement, which breach continues for more than ten (10) days after the Company gives written notice to Consultant which sets forth in reasonable detail the nature of such breach.</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Field of Interest</w:t>
      </w:r>
      <w:r>
        <w:rPr>
          <w:rFonts w:ascii="Arial" w:cs="Arial" w:eastAsia="Arial" w:hAnsi="Arial"/>
          <w:sz w:val="15"/>
          <w:szCs w:val="15"/>
          <w:color w:val="auto"/>
        </w:rPr>
        <w:t>” shall mean PLGA nanoparticles that target antigen-presenting cells in lymph nodes.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shall mean an individual, a corporation, an association, a partnership, an estate, a trust and any other entity or organization.</w:t>
      </w:r>
    </w:p>
    <w:p>
      <w:pPr>
        <w:spacing w:after="0" w:line="198" w:lineRule="exact"/>
        <w:rPr>
          <w:sz w:val="20"/>
          <w:szCs w:val="20"/>
          <w:color w:val="auto"/>
        </w:rPr>
      </w:pPr>
    </w:p>
    <w:p>
      <w:pPr>
        <w:ind w:left="5680" w:right="880" w:hanging="4576"/>
        <w:spacing w:after="0" w:line="547" w:lineRule="auto"/>
        <w:tabs>
          <w:tab w:leader="none" w:pos="1613"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one or more counterparts, all of which together shall constitute one and the same Agreement.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285990" cy="2730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5"/>
          <w:szCs w:val="15"/>
          <w:color w:val="auto"/>
        </w:rPr>
        <w:t>IN WITNESS WHEREOF, the parties have caused this Consulting Agreement to be executed as an agreement under seal as of the date first written above.</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Laila von Andrian-Werburg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 Laila von Andrian-Werburg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-108585</wp:posOffset>
            </wp:positionV>
            <wp:extent cx="3324225"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President</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CONSULTANT:</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Ulrich von Andrian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14605</wp:posOffset>
            </wp:positionV>
            <wp:extent cx="3625850"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Ulrich von Andrian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5"/>
          <w:szCs w:val="15"/>
          <w:u w:val="single" w:color="auto"/>
          <w:color w:val="auto"/>
        </w:rPr>
        <w:t>Schedule A</w:t>
      </w:r>
    </w:p>
    <w:p>
      <w:pPr>
        <w:spacing w:after="0" w:line="198" w:lineRule="exact"/>
        <w:rPr>
          <w:sz w:val="20"/>
          <w:szCs w:val="20"/>
          <w:color w:val="auto"/>
        </w:rPr>
      </w:pPr>
    </w:p>
    <w:p>
      <w:pPr>
        <w:ind w:left="1160" w:hanging="611"/>
        <w:spacing w:after="0"/>
        <w:tabs>
          <w:tab w:leader="none" w:pos="1160"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t>Description of Consulting Services</w:t>
      </w:r>
      <w:r>
        <w:rPr>
          <w:rFonts w:ascii="Arial" w:cs="Arial" w:eastAsia="Arial" w:hAnsi="Arial"/>
          <w:sz w:val="15"/>
          <w:szCs w:val="15"/>
          <w:color w:val="auto"/>
        </w:rPr>
        <w:t>.</w:t>
      </w:r>
    </w:p>
    <w:p>
      <w:pPr>
        <w:spacing w:after="0" w:line="198" w:lineRule="exact"/>
        <w:rPr>
          <w:sz w:val="20"/>
          <w:szCs w:val="20"/>
          <w:color w:val="auto"/>
        </w:rPr>
      </w:pPr>
    </w:p>
    <w:p>
      <w:pPr>
        <w:ind w:left="40" w:right="140" w:firstLine="500"/>
        <w:spacing w:after="0" w:line="327" w:lineRule="auto"/>
        <w:rPr>
          <w:sz w:val="20"/>
          <w:szCs w:val="20"/>
          <w:color w:val="auto"/>
        </w:rPr>
      </w:pPr>
      <w:r>
        <w:rPr>
          <w:rFonts w:ascii="Arial" w:cs="Arial" w:eastAsia="Arial" w:hAnsi="Arial"/>
          <w:sz w:val="14"/>
          <w:szCs w:val="14"/>
          <w:color w:val="auto"/>
        </w:rPr>
        <w:t>The Consultant shall provide consulting services to the Company as may be mutually determined by the Company and Consultant from time to time. In determined the times and locations for the performance of such services, due consideration shall be given to Consultant’s commitments to CBRI, Harvard or any future employer of Consultant.</w:t>
      </w:r>
    </w:p>
    <w:p>
      <w:pPr>
        <w:sectPr>
          <w:pgSz w:w="11900" w:h="16867" w:orient="portrait"/>
          <w:cols w:equalWidth="0" w:num="1">
            <w:col w:w="11380"/>
          </w:cols>
          <w:pgMar w:left="240" w:top="129" w:right="279" w:bottom="0" w:gutter="0" w:footer="0" w:header="0"/>
        </w:sectPr>
      </w:pPr>
    </w:p>
    <w:bookmarkStart w:id="300" w:name="page301"/>
    <w:bookmarkEnd w:id="300"/>
    <w:p>
      <w:pPr>
        <w:ind w:left="1180" w:hanging="611"/>
        <w:spacing w:after="0"/>
        <w:tabs>
          <w:tab w:leader="none" w:pos="1180"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w:t>
      </w:r>
    </w:p>
    <w:p>
      <w:pPr>
        <w:spacing w:after="0" w:line="198" w:lineRule="exact"/>
        <w:rPr>
          <w:sz w:val="20"/>
          <w:szCs w:val="20"/>
          <w:color w:val="auto"/>
        </w:rPr>
      </w:pPr>
    </w:p>
    <w:p>
      <w:pPr>
        <w:ind w:left="60" w:right="120" w:firstLine="1112"/>
        <w:spacing w:after="0" w:line="283" w:lineRule="auto"/>
        <w:rPr>
          <w:sz w:val="20"/>
          <w:szCs w:val="20"/>
          <w:color w:val="auto"/>
        </w:rPr>
      </w:pPr>
      <w:r>
        <w:rPr>
          <w:rFonts w:ascii="Arial" w:cs="Arial" w:eastAsia="Arial" w:hAnsi="Arial"/>
          <w:sz w:val="14"/>
          <w:szCs w:val="14"/>
          <w:color w:val="auto"/>
        </w:rPr>
        <w:t>2.1 The Company shall pay Consultant a periodic consulting fee payable quarterly in arrears on the first day of April, July, October and January of each year during the term of this Agreement and all renewal terms of this Agreement. Such consulting fee shall initially be $0.00, but shall increase upon the occurrence of the following events:</w:t>
      </w:r>
    </w:p>
    <w:p>
      <w:pPr>
        <w:spacing w:after="0" w:line="1" w:lineRule="exact"/>
        <w:rPr>
          <w:sz w:val="20"/>
          <w:szCs w:val="20"/>
          <w:color w:val="auto"/>
        </w:rPr>
      </w:pPr>
    </w:p>
    <w:p>
      <w:pPr>
        <w:ind w:left="60" w:right="60" w:firstLine="8"/>
        <w:spacing w:after="0" w:line="294" w:lineRule="auto"/>
        <w:tabs>
          <w:tab w:leader="none" w:pos="244" w:val="left"/>
        </w:tabs>
        <w:numPr>
          <w:ilvl w:val="0"/>
          <w:numId w:val="241"/>
        </w:numPr>
        <w:rPr>
          <w:rFonts w:ascii="Arial" w:cs="Arial" w:eastAsia="Arial" w:hAnsi="Arial"/>
          <w:sz w:val="14"/>
          <w:szCs w:val="14"/>
          <w:color w:val="auto"/>
        </w:rPr>
      </w:pPr>
      <w:r>
        <w:rPr>
          <w:rFonts w:ascii="Arial" w:cs="Arial" w:eastAsia="Arial" w:hAnsi="Arial"/>
          <w:sz w:val="14"/>
          <w:szCs w:val="14"/>
          <w:color w:val="auto"/>
        </w:rPr>
        <w:t>to $25,000 per 365-day period on and after the Initial Milestone Date (as defined below) and continuing until the Second Milestone Date (as defined below); (ii) to $50,000 per 365-day period on and after the Second Milestone Date and continuing until the Third Milestone Date (as defined below); (iii) to $75,000 per 365-day period on and after the Third Milestone Date and continuing until the Fourth Milestone Date (as defined below); and (iv) to $100,000 per 365-day period on and after the Fourth Milestone Date.</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used herein, the term “</w:t>
      </w:r>
      <w:r>
        <w:rPr>
          <w:rFonts w:ascii="Arial" w:cs="Arial" w:eastAsia="Arial" w:hAnsi="Arial"/>
          <w:sz w:val="14"/>
          <w:szCs w:val="14"/>
          <w:u w:val="single" w:color="auto"/>
          <w:color w:val="auto"/>
        </w:rPr>
        <w:t>Initial Milestone Date</w:t>
      </w:r>
      <w:r>
        <w:rPr>
          <w:rFonts w:ascii="Arial" w:cs="Arial" w:eastAsia="Arial" w:hAnsi="Arial"/>
          <w:sz w:val="14"/>
          <w:szCs w:val="14"/>
          <w:color w:val="auto"/>
        </w:rPr>
        <w:t>” shall mean the date upon which the cumulative Cash Flow (as defined below) received by the Company shall be equal to 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greater than $2,500,000; the term “</w:t>
      </w:r>
      <w:r>
        <w:rPr>
          <w:rFonts w:ascii="Arial" w:cs="Arial" w:eastAsia="Arial" w:hAnsi="Arial"/>
          <w:sz w:val="14"/>
          <w:szCs w:val="14"/>
          <w:u w:val="single" w:color="auto"/>
          <w:color w:val="auto"/>
        </w:rPr>
        <w:t>Second Milestone Date</w:t>
      </w:r>
      <w:r>
        <w:rPr>
          <w:rFonts w:ascii="Arial" w:cs="Arial" w:eastAsia="Arial" w:hAnsi="Arial"/>
          <w:sz w:val="14"/>
          <w:szCs w:val="14"/>
          <w:color w:val="auto"/>
        </w:rPr>
        <w:t>” shall mean the date upon which the cumulative Cash Flow received by the Company shall be equal to or greater than</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$10,000,000; the term “</w:t>
      </w:r>
      <w:r>
        <w:rPr>
          <w:rFonts w:ascii="Arial" w:cs="Arial" w:eastAsia="Arial" w:hAnsi="Arial"/>
          <w:sz w:val="14"/>
          <w:szCs w:val="14"/>
          <w:u w:val="single" w:color="auto"/>
          <w:color w:val="auto"/>
        </w:rPr>
        <w:t>Third Milestone Date</w:t>
      </w:r>
      <w:r>
        <w:rPr>
          <w:rFonts w:ascii="Arial" w:cs="Arial" w:eastAsia="Arial" w:hAnsi="Arial"/>
          <w:sz w:val="14"/>
          <w:szCs w:val="14"/>
          <w:color w:val="auto"/>
        </w:rPr>
        <w:t>” shall mean the date upon which the cumulative Cash Flow received by the Company shall be equal to or greater than $25,000,000; and</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Fourth Milestone Date</w:t>
      </w:r>
      <w:r>
        <w:rPr>
          <w:rFonts w:ascii="Arial" w:cs="Arial" w:eastAsia="Arial" w:hAnsi="Arial"/>
          <w:sz w:val="14"/>
          <w:szCs w:val="14"/>
          <w:color w:val="auto"/>
        </w:rPr>
        <w:t>” shall mean the earliest to occur of (i) the date upon which the cumulative Cash Flow received by the Company shall be equal to or greater than</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color w:val="auto"/>
        </w:rPr>
        <w:t>$50,000,000, (ii) the consummation by the Company of an Initial Public Offering (as defined below) or (iii) the sale of the Company in a merger or consolidation in which the</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Company is not the surviving corporation or in which the Company is the surviving corporation but becomes a wholly-owned subsidiary of another corporation, or involving the sale of</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substantially all of the Company’s assets.</w:t>
      </w:r>
    </w:p>
    <w:p>
      <w:pPr>
        <w:spacing w:after="0" w:line="188" w:lineRule="exact"/>
        <w:rPr>
          <w:sz w:val="20"/>
          <w:szCs w:val="20"/>
          <w:color w:val="auto"/>
        </w:rPr>
      </w:pPr>
    </w:p>
    <w:p>
      <w:pPr>
        <w:ind w:left="60" w:right="300" w:firstLine="500"/>
        <w:spacing w:after="0" w:line="273"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Cash Flow</w:t>
      </w:r>
      <w:r>
        <w:rPr>
          <w:rFonts w:ascii="Arial" w:cs="Arial" w:eastAsia="Arial" w:hAnsi="Arial"/>
          <w:sz w:val="15"/>
          <w:szCs w:val="15"/>
          <w:color w:val="auto"/>
        </w:rPr>
        <w:t>” shall include all funds received by the Company (other than funds which must be repaid), including, without limitation, the proceeds of the sale of equity securities by the Company and the committed proceeds for equity and research funding in connection with a strategic alliance or corporate partnering transaction with a third party in the Field of Interest.</w:t>
      </w:r>
    </w:p>
    <w:p>
      <w:pPr>
        <w:spacing w:after="0" w:line="153" w:lineRule="exact"/>
        <w:rPr>
          <w:sz w:val="20"/>
          <w:szCs w:val="20"/>
          <w:color w:val="auto"/>
        </w:rPr>
      </w:pPr>
    </w:p>
    <w:p>
      <w:pPr>
        <w:jc w:val="both"/>
        <w:ind w:left="60" w:right="100" w:firstLine="500"/>
        <w:spacing w:after="0" w:line="273"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u w:val="single" w:color="auto"/>
          <w:color w:val="auto"/>
        </w:rPr>
        <w:t>Initial Public Offering</w:t>
      </w:r>
      <w:r>
        <w:rPr>
          <w:rFonts w:ascii="Arial" w:cs="Arial" w:eastAsia="Arial" w:hAnsi="Arial"/>
          <w:sz w:val="15"/>
          <w:szCs w:val="15"/>
          <w:color w:val="auto"/>
        </w:rPr>
        <w:t>” shall mean a firm commitment underwritten public offering pursuant to an effective registration statement under the Securities Act of 1933, as amended, covering the offer and sale of the Company’s Common Stock to the public, for the account of the Company, at a public offering price of at least $3.00 per share, with such amount to be appropriately adjusted to take account of any stock split, stock dividend, subdivision,</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combination of shares, or the like, and having an aggregate offering price to the public of not less than $30,000,000.</w:t>
      </w:r>
    </w:p>
    <w:p>
      <w:pPr>
        <w:spacing w:after="0" w:line="198" w:lineRule="exact"/>
        <w:rPr>
          <w:sz w:val="20"/>
          <w:szCs w:val="20"/>
          <w:color w:val="auto"/>
        </w:rPr>
      </w:pPr>
    </w:p>
    <w:p>
      <w:pPr>
        <w:ind w:left="20" w:right="160" w:firstLine="1112"/>
        <w:spacing w:after="0" w:line="289" w:lineRule="auto"/>
        <w:rPr>
          <w:sz w:val="20"/>
          <w:szCs w:val="20"/>
          <w:color w:val="auto"/>
        </w:rPr>
      </w:pPr>
      <w:r>
        <w:rPr>
          <w:rFonts w:ascii="Arial" w:cs="Arial" w:eastAsia="Arial" w:hAnsi="Arial"/>
          <w:sz w:val="15"/>
          <w:szCs w:val="15"/>
          <w:color w:val="auto"/>
        </w:rPr>
        <w:t>2.2 Consultant shall be reimbursed for all reasonable, appropriate or necessary travel and other out-of-pocket expenses incurred in the performance of his duties hereunder upon submission and approval of written statements and bills in accordance with the then regular reimbursement procedures of the Company.</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5990"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Addendum to Consulting Agreement</w:t>
      </w:r>
    </w:p>
    <w:p>
      <w:pPr>
        <w:spacing w:after="0" w:line="198" w:lineRule="exact"/>
        <w:rPr>
          <w:sz w:val="20"/>
          <w:szCs w:val="20"/>
          <w:color w:val="auto"/>
        </w:rPr>
      </w:pPr>
    </w:p>
    <w:p>
      <w:pPr>
        <w:ind w:left="20" w:right="740" w:firstLine="556"/>
        <w:spacing w:after="0" w:line="289" w:lineRule="auto"/>
        <w:rPr>
          <w:sz w:val="20"/>
          <w:szCs w:val="20"/>
          <w:color w:val="auto"/>
        </w:rPr>
      </w:pPr>
      <w:r>
        <w:rPr>
          <w:rFonts w:ascii="Arial" w:cs="Arial" w:eastAsia="Arial" w:hAnsi="Arial"/>
          <w:sz w:val="15"/>
          <w:szCs w:val="15"/>
          <w:color w:val="auto"/>
        </w:rPr>
        <w:t>The Company acknowledges that Consultant’s primary employment responsibility is to Harvard Medical School and Harvard University (together, “HMS”) and that Consultant’s obligations under HMS policies take priority over any obligations that Consultant may have to the Company by reason of this Agreement.</w:t>
      </w:r>
    </w:p>
    <w:p>
      <w:pPr>
        <w:spacing w:after="0" w:line="141" w:lineRule="exact"/>
        <w:rPr>
          <w:sz w:val="20"/>
          <w:szCs w:val="20"/>
          <w:color w:val="auto"/>
        </w:rPr>
      </w:pPr>
    </w:p>
    <w:p>
      <w:pPr>
        <w:ind w:left="20" w:right="160" w:firstLine="556"/>
        <w:spacing w:after="0" w:line="273" w:lineRule="auto"/>
        <w:rPr>
          <w:sz w:val="20"/>
          <w:szCs w:val="20"/>
          <w:color w:val="auto"/>
        </w:rPr>
      </w:pPr>
      <w:r>
        <w:rPr>
          <w:rFonts w:ascii="Arial" w:cs="Arial" w:eastAsia="Arial" w:hAnsi="Arial"/>
          <w:sz w:val="15"/>
          <w:szCs w:val="15"/>
          <w:color w:val="auto"/>
        </w:rPr>
        <w:t>The Company acknowledges that Consultant’s activities may be further bound by the policies of Governmental agencies (e.g. the National Institutes of Health) or funding agencies (e.g., the Howard Hughes Medical Institute or the Juvenile Diabetes Foundation) as applicable, including policies relating to consulting and conflicts of interest, and that such policies may take priority over any obligations that Consultant may have to the Company by reason of this Agreement.</w:t>
      </w:r>
    </w:p>
    <w:p>
      <w:pPr>
        <w:spacing w:after="0" w:line="153" w:lineRule="exact"/>
        <w:rPr>
          <w:sz w:val="20"/>
          <w:szCs w:val="20"/>
          <w:color w:val="auto"/>
        </w:rPr>
      </w:pPr>
    </w:p>
    <w:p>
      <w:pPr>
        <w:ind w:left="20" w:right="200" w:firstLine="556"/>
        <w:spacing w:after="0" w:line="327" w:lineRule="auto"/>
        <w:rPr>
          <w:sz w:val="20"/>
          <w:szCs w:val="20"/>
          <w:color w:val="auto"/>
        </w:rPr>
      </w:pPr>
      <w:r>
        <w:rPr>
          <w:rFonts w:ascii="Arial" w:cs="Arial" w:eastAsia="Arial" w:hAnsi="Arial"/>
          <w:sz w:val="14"/>
          <w:szCs w:val="14"/>
          <w:color w:val="auto"/>
        </w:rPr>
        <w:t>The parties understand and agree that it is Consultant’s responsibility to ensure that Consultant’s services to the Company do not employ proprietary information of HMS nor make substantial use of HMS’s time or resources nor involve HMS students, employees, post-doctoral trainees or any other HMS personnel other than the Consultant.</w:t>
      </w:r>
    </w:p>
    <w:p>
      <w:pPr>
        <w:spacing w:after="0" w:line="117" w:lineRule="exact"/>
        <w:rPr>
          <w:sz w:val="20"/>
          <w:szCs w:val="20"/>
          <w:color w:val="auto"/>
        </w:rPr>
      </w:pPr>
    </w:p>
    <w:p>
      <w:pPr>
        <w:jc w:val="both"/>
        <w:ind w:left="20" w:right="320" w:firstLine="556"/>
        <w:spacing w:after="0" w:line="273" w:lineRule="auto"/>
        <w:rPr>
          <w:sz w:val="20"/>
          <w:szCs w:val="20"/>
          <w:color w:val="auto"/>
        </w:rPr>
      </w:pPr>
      <w:r>
        <w:rPr>
          <w:rFonts w:ascii="Arial" w:cs="Arial" w:eastAsia="Arial" w:hAnsi="Arial"/>
          <w:sz w:val="15"/>
          <w:szCs w:val="15"/>
          <w:color w:val="auto"/>
        </w:rPr>
        <w:t>Subject to obligations to protect the Company’s proprietary or confidential information, Consultant’s services may not restrict or hinder his/her ability to conduct current or foreseeable research or teaching assignments with HMS, nor limit Consultant’s ability to publish work generated at or on the behalf of HMS, nor infringe on Consultant’s academic freedom.</w:t>
      </w:r>
    </w:p>
    <w:p>
      <w:pPr>
        <w:spacing w:after="0" w:line="153" w:lineRule="exact"/>
        <w:rPr>
          <w:sz w:val="20"/>
          <w:szCs w:val="20"/>
          <w:color w:val="auto"/>
        </w:rPr>
      </w:pPr>
    </w:p>
    <w:p>
      <w:pPr>
        <w:ind w:left="20" w:right="20" w:firstLine="556"/>
        <w:spacing w:after="0" w:line="289" w:lineRule="auto"/>
        <w:rPr>
          <w:sz w:val="20"/>
          <w:szCs w:val="20"/>
          <w:color w:val="auto"/>
        </w:rPr>
      </w:pPr>
      <w:r>
        <w:rPr>
          <w:rFonts w:ascii="Arial" w:cs="Arial" w:eastAsia="Arial" w:hAnsi="Arial"/>
          <w:sz w:val="15"/>
          <w:szCs w:val="15"/>
          <w:color w:val="auto"/>
        </w:rPr>
        <w:t>The Company will have no rights by reason of the Agreement in any intellectual property whatsoever, whether or not patentable or copyrightable, generated wholly or in part as a result of Consultant’s activities as an employee of HMS or using the resources or proprietary information of HMS.</w:t>
      </w:r>
    </w:p>
    <w:p>
      <w:pPr>
        <w:spacing w:after="0" w:line="141" w:lineRule="exact"/>
        <w:rPr>
          <w:sz w:val="20"/>
          <w:szCs w:val="20"/>
          <w:color w:val="auto"/>
        </w:rPr>
      </w:pPr>
    </w:p>
    <w:p>
      <w:pPr>
        <w:ind w:left="20" w:right="240" w:firstLine="556"/>
        <w:spacing w:after="0" w:line="273" w:lineRule="auto"/>
        <w:rPr>
          <w:sz w:val="20"/>
          <w:szCs w:val="20"/>
          <w:color w:val="auto"/>
        </w:rPr>
      </w:pPr>
      <w:r>
        <w:rPr>
          <w:rFonts w:ascii="Arial" w:cs="Arial" w:eastAsia="Arial" w:hAnsi="Arial"/>
          <w:sz w:val="15"/>
          <w:szCs w:val="15"/>
          <w:color w:val="auto"/>
        </w:rPr>
        <w:t>The Company further acknowledges that Consultant will serve as a consultant in the capacity of an individual, and not as an agent, employee or representative of HMS. Any confidential or other information provided to Consultant by Company will be deemed received only by Consultant as an individual and not by HMS, and any obligations pertaining thereto will apply only to the Consultant and not HMS.</w:t>
      </w:r>
    </w:p>
    <w:p>
      <w:pPr>
        <w:spacing w:after="0" w:line="153" w:lineRule="exact"/>
        <w:rPr>
          <w:sz w:val="20"/>
          <w:szCs w:val="20"/>
          <w:color w:val="auto"/>
        </w:rPr>
      </w:pPr>
    </w:p>
    <w:p>
      <w:pPr>
        <w:ind w:left="20" w:right="300" w:firstLine="556"/>
        <w:spacing w:after="0" w:line="289" w:lineRule="auto"/>
        <w:rPr>
          <w:sz w:val="20"/>
          <w:szCs w:val="20"/>
          <w:color w:val="auto"/>
        </w:rPr>
      </w:pPr>
      <w:r>
        <w:rPr>
          <w:rFonts w:ascii="Arial" w:cs="Arial" w:eastAsia="Arial" w:hAnsi="Arial"/>
          <w:sz w:val="15"/>
          <w:szCs w:val="15"/>
          <w:color w:val="auto"/>
        </w:rPr>
        <w:t>The name of HMS or Harvard or its affiliates may not be used in connection with Consultant’s services, other than in affiliation as his employer, without written permission from HMS.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gridSpan w:val="2"/>
          </w:tcPr>
          <w:p>
            <w:pPr>
              <w:ind w:left="20"/>
              <w:spacing w:after="0"/>
              <w:rPr>
                <w:sz w:val="20"/>
                <w:szCs w:val="20"/>
                <w:color w:val="auto"/>
              </w:rPr>
            </w:pPr>
            <w:r>
              <w:rPr>
                <w:rFonts w:ascii="Arial" w:cs="Arial" w:eastAsia="Arial" w:hAnsi="Arial"/>
                <w:sz w:val="15"/>
                <w:szCs w:val="15"/>
                <w:color w:val="auto"/>
              </w:rPr>
              <w:t>Selecta Biosciences, Inc.</w:t>
            </w: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CONSULTANT</w:t>
            </w:r>
          </w:p>
        </w:tc>
        <w:tc>
          <w:tcPr>
            <w:tcW w:w="20" w:type="dxa"/>
            <w:vAlign w:val="bottom"/>
          </w:tcPr>
          <w:p>
            <w:pPr>
              <w:spacing w:after="0"/>
              <w:rPr>
                <w:sz w:val="17"/>
                <w:szCs w:val="17"/>
                <w:color w:val="auto"/>
              </w:rPr>
            </w:pPr>
          </w:p>
        </w:tc>
      </w:tr>
      <w:tr>
        <w:trPr>
          <w:trHeight w:val="371"/>
        </w:trPr>
        <w:tc>
          <w:tcPr>
            <w:tcW w:w="3080" w:type="dxa"/>
            <w:vAlign w:val="bottom"/>
            <w:gridSpan w:val="2"/>
          </w:tcPr>
          <w:p>
            <w:pPr>
              <w:ind w:left="20"/>
              <w:spacing w:after="0"/>
              <w:rPr>
                <w:sz w:val="20"/>
                <w:szCs w:val="20"/>
                <w:color w:val="auto"/>
              </w:rPr>
            </w:pPr>
            <w:r>
              <w:rPr>
                <w:rFonts w:ascii="Arial" w:cs="Arial" w:eastAsia="Arial" w:hAnsi="Arial"/>
                <w:sz w:val="15"/>
                <w:szCs w:val="15"/>
                <w:color w:val="auto"/>
              </w:rPr>
              <w:t>By:    /s/ Laila von Andrian-Werburg</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/s/ Ulrich von Andrian</w:t>
            </w:r>
          </w:p>
        </w:tc>
        <w:tc>
          <w:tcPr>
            <w:tcW w:w="20" w:type="dxa"/>
            <w:vAlign w:val="bottom"/>
          </w:tcPr>
          <w:p>
            <w:pPr>
              <w:spacing w:after="0"/>
              <w:rPr>
                <w:sz w:val="24"/>
                <w:szCs w:val="24"/>
                <w:color w:val="auto"/>
              </w:rPr>
            </w:pPr>
          </w:p>
        </w:tc>
      </w:tr>
      <w:tr>
        <w:trPr>
          <w:trHeight w:val="167"/>
        </w:trPr>
        <w:tc>
          <w:tcPr>
            <w:tcW w:w="500" w:type="dxa"/>
            <w:vAlign w:val="bottom"/>
          </w:tcPr>
          <w:p>
            <w:pPr>
              <w:ind w:left="20"/>
              <w:spacing w:after="0" w:line="167" w:lineRule="exact"/>
              <w:rPr>
                <w:sz w:val="20"/>
                <w:szCs w:val="20"/>
                <w:color w:val="auto"/>
              </w:rPr>
            </w:pPr>
            <w:r>
              <w:rPr>
                <w:rFonts w:ascii="Arial" w:cs="Arial" w:eastAsia="Arial" w:hAnsi="Arial"/>
                <w:sz w:val="15"/>
                <w:szCs w:val="15"/>
                <w:color w:val="auto"/>
              </w:rPr>
              <w:t>Name:</w:t>
            </w:r>
          </w:p>
        </w:tc>
        <w:tc>
          <w:tcPr>
            <w:tcW w:w="258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Laila von Andrian-Werburg</w:t>
            </w:r>
          </w:p>
        </w:tc>
        <w:tc>
          <w:tcPr>
            <w:tcW w:w="25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520" w:type="dxa"/>
            <w:vAlign w:val="bottom"/>
            <w:tcBorders>
              <w:top w:val="single" w:sz="8" w:color="auto"/>
            </w:tcBorders>
          </w:tcPr>
          <w:p>
            <w:pPr>
              <w:spacing w:after="0" w:line="167" w:lineRule="exact"/>
              <w:rPr>
                <w:sz w:val="20"/>
                <w:szCs w:val="20"/>
                <w:color w:val="auto"/>
              </w:rPr>
            </w:pPr>
            <w:r>
              <w:rPr>
                <w:rFonts w:ascii="Arial" w:cs="Arial" w:eastAsia="Arial" w:hAnsi="Arial"/>
                <w:sz w:val="15"/>
                <w:szCs w:val="15"/>
                <w:color w:val="auto"/>
              </w:rPr>
              <w:t>Ulrich von Andrian, M.D., Ph.D.</w:t>
            </w:r>
          </w:p>
        </w:tc>
        <w:tc>
          <w:tcPr>
            <w:tcW w:w="20" w:type="dxa"/>
            <w:vAlign w:val="bottom"/>
          </w:tcPr>
          <w:p>
            <w:pPr>
              <w:spacing w:after="0"/>
              <w:rPr>
                <w:sz w:val="14"/>
                <w:szCs w:val="14"/>
                <w:color w:val="auto"/>
              </w:rPr>
            </w:pPr>
          </w:p>
        </w:tc>
      </w:tr>
      <w:tr>
        <w:trPr>
          <w:trHeight w:val="185"/>
        </w:trPr>
        <w:tc>
          <w:tcPr>
            <w:tcW w:w="3080" w:type="dxa"/>
            <w:vAlign w:val="bottom"/>
            <w:gridSpan w:val="2"/>
          </w:tcPr>
          <w:p>
            <w:pPr>
              <w:ind w:left="20"/>
              <w:spacing w:after="0"/>
              <w:rPr>
                <w:sz w:val="20"/>
                <w:szCs w:val="20"/>
                <w:color w:val="auto"/>
              </w:rPr>
            </w:pPr>
            <w:r>
              <w:rPr>
                <w:rFonts w:ascii="Arial" w:cs="Arial" w:eastAsia="Arial" w:hAnsi="Arial"/>
                <w:sz w:val="15"/>
                <w:szCs w:val="15"/>
                <w:color w:val="auto"/>
              </w:rPr>
              <w:t>Title: President</w:t>
            </w:r>
          </w:p>
        </w:tc>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5"/>
                <w:szCs w:val="15"/>
                <w:color w:val="auto"/>
              </w:rPr>
              <w:t>Date: March 10, 2008</w:t>
            </w:r>
          </w:p>
        </w:tc>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5"/>
                <w:szCs w:val="15"/>
                <w:color w:val="auto"/>
              </w:rPr>
              <w:t>Date: March 10, 2008</w:t>
            </w:r>
          </w:p>
        </w:tc>
        <w:tc>
          <w:tcPr>
            <w:tcW w:w="20" w:type="dxa"/>
            <w:vAlign w:val="bottom"/>
          </w:tcPr>
          <w:p>
            <w:pPr>
              <w:spacing w:after="0"/>
              <w:rPr>
                <w:sz w:val="17"/>
                <w:szCs w:val="17"/>
                <w:color w:val="auto"/>
              </w:rPr>
            </w:pPr>
          </w:p>
        </w:tc>
      </w:tr>
      <w:tr>
        <w:trPr>
          <w:trHeight w:val="556"/>
        </w:trPr>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60" w:type="dxa"/>
            <w:vAlign w:val="bottom"/>
            <w:gridSpan w:val="2"/>
          </w:tcPr>
          <w:p>
            <w:pPr>
              <w:jc w:val="center"/>
              <w:ind w:left="2363"/>
              <w:spacing w:after="0"/>
              <w:rPr>
                <w:sz w:val="20"/>
                <w:szCs w:val="20"/>
                <w:color w:val="auto"/>
              </w:rPr>
            </w:pPr>
            <w:r>
              <w:rPr>
                <w:rFonts w:ascii="Arial" w:cs="Arial" w:eastAsia="Arial" w:hAnsi="Arial"/>
                <w:sz w:val="15"/>
                <w:szCs w:val="15"/>
                <w:color w:val="auto"/>
                <w:w w:val="83"/>
              </w:rPr>
              <w:t>11</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0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838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459"/>
        </w:trPr>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380" w:type="dxa"/>
            <w:vAlign w:val="bottom"/>
            <w:gridSpan w:val="3"/>
          </w:tcPr>
          <w:p>
            <w:pPr>
              <w:jc w:val="center"/>
              <w:ind w:right="2983"/>
              <w:spacing w:after="0"/>
              <w:rPr>
                <w:sz w:val="20"/>
                <w:szCs w:val="20"/>
                <w:color w:val="auto"/>
              </w:rPr>
            </w:pPr>
            <w:r>
              <w:rPr>
                <w:rFonts w:ascii="Arial" w:cs="Arial" w:eastAsia="Arial" w:hAnsi="Arial"/>
                <w:sz w:val="15"/>
                <w:szCs w:val="15"/>
                <w:b w:val="1"/>
                <w:bCs w:val="1"/>
                <w:color w:val="auto"/>
              </w:rPr>
              <w:t>SELECTA BIOSCIENCES, INC.</w:t>
            </w:r>
          </w:p>
        </w:tc>
        <w:tc>
          <w:tcPr>
            <w:tcW w:w="20" w:type="dxa"/>
            <w:vAlign w:val="bottom"/>
          </w:tcPr>
          <w:p>
            <w:pPr>
              <w:spacing w:after="0"/>
              <w:rPr>
                <w:sz w:val="24"/>
                <w:szCs w:val="24"/>
                <w:color w:val="auto"/>
              </w:rPr>
            </w:pPr>
          </w:p>
        </w:tc>
      </w:tr>
      <w:tr>
        <w:trPr>
          <w:trHeight w:val="371"/>
        </w:trPr>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380" w:type="dxa"/>
            <w:vAlign w:val="bottom"/>
            <w:gridSpan w:val="3"/>
          </w:tcPr>
          <w:p>
            <w:pPr>
              <w:jc w:val="center"/>
              <w:ind w:right="3003"/>
              <w:spacing w:after="0"/>
              <w:rPr>
                <w:sz w:val="20"/>
                <w:szCs w:val="20"/>
                <w:color w:val="auto"/>
              </w:rPr>
            </w:pPr>
            <w:r>
              <w:rPr>
                <w:rFonts w:ascii="Arial" w:cs="Arial" w:eastAsia="Arial" w:hAnsi="Arial"/>
                <w:sz w:val="15"/>
                <w:szCs w:val="15"/>
                <w:b w:val="1"/>
                <w:bCs w:val="1"/>
                <w:color w:val="auto"/>
              </w:rPr>
              <w:t>FIRST AMENDMENT TO CONSULTING AGREEMENT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-553720</wp:posOffset>
            </wp:positionV>
            <wp:extent cx="12700" cy="2730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12700" cy="2730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5" w:lineRule="exact"/>
        <w:rPr>
          <w:sz w:val="20"/>
          <w:szCs w:val="20"/>
          <w:color w:val="auto"/>
        </w:rPr>
      </w:pPr>
    </w:p>
    <w:p>
      <w:pPr>
        <w:ind w:left="20" w:right="660" w:firstLine="556"/>
        <w:spacing w:after="0" w:line="289" w:lineRule="auto"/>
        <w:rPr>
          <w:sz w:val="20"/>
          <w:szCs w:val="20"/>
          <w:color w:val="auto"/>
        </w:rPr>
      </w:pPr>
      <w:r>
        <w:rPr>
          <w:rFonts w:ascii="Arial" w:cs="Arial" w:eastAsia="Arial" w:hAnsi="Arial"/>
          <w:sz w:val="15"/>
          <w:szCs w:val="15"/>
          <w:color w:val="auto"/>
        </w:rPr>
        <w:t>This First Amendment to Consulting Agreement (this “</w:t>
      </w:r>
      <w:r>
        <w:rPr>
          <w:rFonts w:ascii="Arial" w:cs="Arial" w:eastAsia="Arial" w:hAnsi="Arial"/>
          <w:sz w:val="15"/>
          <w:szCs w:val="15"/>
          <w:u w:val="single" w:color="auto"/>
          <w:color w:val="auto"/>
        </w:rPr>
        <w:t>First Amendment</w:t>
      </w:r>
      <w:r>
        <w:rPr>
          <w:rFonts w:ascii="Arial" w:cs="Arial" w:eastAsia="Arial" w:hAnsi="Arial"/>
          <w:sz w:val="15"/>
          <w:szCs w:val="15"/>
          <w:color w:val="auto"/>
        </w:rPr>
        <w:t>”) dated as of January 1, 2012, is made by and between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Ulrich von Andrian (the “</w:t>
      </w:r>
      <w:r>
        <w:rPr>
          <w:rFonts w:ascii="Arial" w:cs="Arial" w:eastAsia="Arial" w:hAnsi="Arial"/>
          <w:sz w:val="15"/>
          <w:szCs w:val="15"/>
          <w:u w:val="single" w:color="auto"/>
          <w:color w:val="auto"/>
        </w:rPr>
        <w:t>Consultant</w:t>
      </w:r>
      <w:r>
        <w:rPr>
          <w:rFonts w:ascii="Arial" w:cs="Arial" w:eastAsia="Arial" w:hAnsi="Arial"/>
          <w:sz w:val="15"/>
          <w:szCs w:val="15"/>
          <w:color w:val="auto"/>
        </w:rPr>
        <w:t>”).</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WHEREAS, the Company and the Consultant are parties to a Consulting Agreement dated as of March 10, 2008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 and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WHEREAS, the parties desire to modify the Original Agreement as set forth below.</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NOW, THEREFORE, in consideration of the premises and the mutual covenants and agreements contained herein and in the Original Agreement, the parties hereto agree as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follows:</w:t>
      </w:r>
    </w:p>
    <w:p>
      <w:pPr>
        <w:sectPr>
          <w:pgSz w:w="11900" w:h="16838" w:orient="portrait"/>
          <w:cols w:equalWidth="0" w:num="1">
            <w:col w:w="11480"/>
          </w:cols>
          <w:pgMar w:left="220" w:top="315" w:right="199" w:bottom="0" w:gutter="0" w:footer="0" w:header="0"/>
        </w:sectPr>
      </w:pPr>
    </w:p>
    <w:bookmarkStart w:id="301" w:name="page302"/>
    <w:bookmarkEnd w:id="301"/>
    <w:p>
      <w:pPr>
        <w:ind w:left="1120" w:hanging="551"/>
        <w:spacing w:after="0"/>
        <w:tabs>
          <w:tab w:leader="none" w:pos="1120"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Compensation</w:t>
      </w:r>
      <w:r>
        <w:rPr>
          <w:rFonts w:ascii="Arial" w:cs="Arial" w:eastAsia="Arial" w:hAnsi="Arial"/>
          <w:sz w:val="15"/>
          <w:szCs w:val="15"/>
          <w:color w:val="auto"/>
        </w:rPr>
        <w:t>. Schedule A of the Original Agreement is hereby amended to delete Section 2.1 in its entirety and to insert the following section in its place:</w:t>
      </w:r>
    </w:p>
    <w:p>
      <w:pPr>
        <w:spacing w:after="0" w:line="198" w:lineRule="exact"/>
        <w:rPr>
          <w:sz w:val="20"/>
          <w:szCs w:val="20"/>
          <w:color w:val="auto"/>
        </w:rPr>
      </w:pPr>
    </w:p>
    <w:p>
      <w:pPr>
        <w:ind w:left="20" w:right="60" w:firstLine="1112"/>
        <w:spacing w:after="0" w:line="289" w:lineRule="auto"/>
        <w:rPr>
          <w:sz w:val="20"/>
          <w:szCs w:val="20"/>
          <w:color w:val="auto"/>
        </w:rPr>
      </w:pPr>
      <w:r>
        <w:rPr>
          <w:rFonts w:ascii="Arial" w:cs="Arial" w:eastAsia="Arial" w:hAnsi="Arial"/>
          <w:sz w:val="15"/>
          <w:szCs w:val="15"/>
          <w:color w:val="auto"/>
        </w:rPr>
        <w:t>2.1 The Company shall pay the Consultant a fee in cash for the Consulting Services at a rate of $75,000 per annum, which fee shall be paid quarterly in arrears on the first day of April, July, October, and January. This rate shall take effect as of October 1, 2011.</w:t>
      </w:r>
    </w:p>
    <w:p>
      <w:pPr>
        <w:spacing w:after="0" w:line="141" w:lineRule="exact"/>
        <w:rPr>
          <w:sz w:val="20"/>
          <w:szCs w:val="20"/>
          <w:color w:val="auto"/>
        </w:rPr>
      </w:pPr>
    </w:p>
    <w:p>
      <w:pPr>
        <w:ind w:left="20" w:right="720" w:firstLine="549"/>
        <w:spacing w:after="0" w:line="289" w:lineRule="auto"/>
        <w:tabs>
          <w:tab w:leader="none" w:pos="1118"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Section 13(f) of the Original Agreement is hereby amended to delete the Company’s previous address in Cambridge, Massachusetts and to insert the Company’s current address at 480 Arsenal St., Building One, Watertown, Massachusetts 02472.</w:t>
      </w:r>
    </w:p>
    <w:p>
      <w:pPr>
        <w:spacing w:after="0" w:line="140" w:lineRule="exact"/>
        <w:rPr>
          <w:rFonts w:ascii="Arial" w:cs="Arial" w:eastAsia="Arial" w:hAnsi="Arial"/>
          <w:sz w:val="15"/>
          <w:szCs w:val="15"/>
          <w:color w:val="auto"/>
        </w:rPr>
      </w:pPr>
    </w:p>
    <w:p>
      <w:pPr>
        <w:ind w:left="20" w:right="100" w:firstLine="549"/>
        <w:spacing w:after="0" w:line="289" w:lineRule="auto"/>
        <w:tabs>
          <w:tab w:leader="none" w:pos="1118"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Ratification</w:t>
      </w:r>
      <w:r>
        <w:rPr>
          <w:rFonts w:ascii="Arial" w:cs="Arial" w:eastAsia="Arial" w:hAnsi="Arial"/>
          <w:sz w:val="15"/>
          <w:szCs w:val="15"/>
          <w:color w:val="auto"/>
        </w:rPr>
        <w:t>. The Original Agreement, as amended by this First Amendment, is hereby ratified and confirmed in all respects and shall continue in full force and effect. The Original Agreement shall, together with this First Amendment, be read and construed as a single agreement.</w:t>
      </w:r>
    </w:p>
    <w:p>
      <w:pPr>
        <w:spacing w:after="0" w:line="140" w:lineRule="exact"/>
        <w:rPr>
          <w:rFonts w:ascii="Arial" w:cs="Arial" w:eastAsia="Arial" w:hAnsi="Arial"/>
          <w:sz w:val="15"/>
          <w:szCs w:val="15"/>
          <w:color w:val="auto"/>
        </w:rPr>
      </w:pPr>
    </w:p>
    <w:p>
      <w:pPr>
        <w:ind w:left="20" w:right="680" w:firstLine="549"/>
        <w:spacing w:after="0" w:line="289" w:lineRule="auto"/>
        <w:tabs>
          <w:tab w:leader="none" w:pos="1118"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First Amendment shall be governed by, and construed and enforced in accordance with, the substantive laws of The Commonwealth of Massachusetts, without regard to its principles of conflicts of laws.</w:t>
      </w:r>
    </w:p>
    <w:p>
      <w:pPr>
        <w:spacing w:after="0" w:line="140" w:lineRule="exact"/>
        <w:rPr>
          <w:rFonts w:ascii="Arial" w:cs="Arial" w:eastAsia="Arial" w:hAnsi="Arial"/>
          <w:sz w:val="15"/>
          <w:szCs w:val="15"/>
          <w:color w:val="auto"/>
        </w:rPr>
      </w:pPr>
    </w:p>
    <w:p>
      <w:pPr>
        <w:ind w:left="20" w:right="20" w:firstLine="549"/>
        <w:spacing w:after="0" w:line="289" w:lineRule="auto"/>
        <w:tabs>
          <w:tab w:leader="none" w:pos="1118"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First Amendment may be executed in two or more counterparts, each of which shall be deemed an original, but all of which together shall constitute one and the same instrument.</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5990" cy="273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WITNESS WHEREOF, the parties have caused this First Amendment to be executed as an agreement under seal as of the date first written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80" w:type="dxa"/>
            <w:vAlign w:val="bottom"/>
            <w:gridSpan w:val="3"/>
          </w:tcPr>
          <w:p>
            <w:pPr>
              <w:spacing w:after="0"/>
              <w:rPr>
                <w:sz w:val="20"/>
                <w:szCs w:val="20"/>
                <w:color w:val="auto"/>
              </w:rPr>
            </w:pPr>
            <w:r>
              <w:rPr>
                <w:rFonts w:ascii="Arial" w:cs="Arial" w:eastAsia="Arial" w:hAnsi="Arial"/>
                <w:sz w:val="15"/>
                <w:szCs w:val="15"/>
                <w:color w:val="auto"/>
              </w:rPr>
              <w:t>COMPANY:</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5"/>
                <w:szCs w:val="15"/>
                <w:color w:val="auto"/>
              </w:rPr>
              <w:t>CONSULTANT:</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5"/>
                <w:szCs w:val="15"/>
                <w:b w:val="1"/>
                <w:bCs w:val="1"/>
                <w:color w:val="auto"/>
              </w:rPr>
              <w:t>SELECTA BIOSCIENCES, INC.</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2980" w:type="dxa"/>
            <w:vAlign w:val="bottom"/>
            <w:gridSpan w:val="3"/>
          </w:tcPr>
          <w:p>
            <w:pPr>
              <w:spacing w:after="0"/>
              <w:rPr>
                <w:sz w:val="20"/>
                <w:szCs w:val="20"/>
                <w:color w:val="auto"/>
              </w:rPr>
            </w:pPr>
            <w:r>
              <w:rPr>
                <w:rFonts w:ascii="Arial" w:cs="Arial" w:eastAsia="Arial" w:hAnsi="Arial"/>
                <w:sz w:val="15"/>
                <w:szCs w:val="15"/>
                <w:color w:val="auto"/>
              </w:rPr>
              <w:t>By:    /s/ David Siewers</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5"/>
                <w:szCs w:val="15"/>
                <w:color w:val="auto"/>
              </w:rPr>
              <w:t>/s/ Ulrich von Andrian</w:t>
            </w:r>
          </w:p>
        </w:tc>
        <w:tc>
          <w:tcPr>
            <w:tcW w:w="2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80" w:type="dxa"/>
            <w:vAlign w:val="bottom"/>
          </w:tcPr>
          <w:p>
            <w:pPr>
              <w:spacing w:after="0" w:line="167" w:lineRule="exact"/>
              <w:rPr>
                <w:sz w:val="20"/>
                <w:szCs w:val="20"/>
                <w:color w:val="auto"/>
              </w:rPr>
            </w:pPr>
            <w:r>
              <w:rPr>
                <w:rFonts w:ascii="Arial" w:cs="Arial" w:eastAsia="Arial" w:hAnsi="Arial"/>
                <w:sz w:val="15"/>
                <w:szCs w:val="15"/>
                <w:color w:val="auto"/>
              </w:rPr>
              <w:t>David</w:t>
            </w:r>
          </w:p>
        </w:tc>
        <w:tc>
          <w:tcPr>
            <w:tcW w:w="2500" w:type="dxa"/>
            <w:vAlign w:val="bottom"/>
            <w:tcBorders>
              <w:top w:val="single" w:sz="8" w:color="auto"/>
            </w:tcBorders>
            <w:gridSpan w:val="2"/>
          </w:tcPr>
          <w:p>
            <w:pPr>
              <w:spacing w:after="0" w:line="167" w:lineRule="exact"/>
              <w:rPr>
                <w:sz w:val="20"/>
                <w:szCs w:val="20"/>
                <w:color w:val="auto"/>
              </w:rPr>
            </w:pPr>
            <w:r>
              <w:rPr>
                <w:rFonts w:ascii="Arial" w:cs="Arial" w:eastAsia="Arial" w:hAnsi="Arial"/>
                <w:sz w:val="15"/>
                <w:szCs w:val="15"/>
                <w:color w:val="auto"/>
              </w:rPr>
              <w:t>Siewers</w:t>
            </w:r>
          </w:p>
        </w:tc>
        <w:tc>
          <w:tcPr>
            <w:tcW w:w="2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tcBorders>
              <w:top w:val="single" w:sz="8" w:color="auto"/>
            </w:tcBorders>
            <w:gridSpan w:val="2"/>
          </w:tcPr>
          <w:p>
            <w:pPr>
              <w:spacing w:after="0" w:line="167" w:lineRule="exact"/>
              <w:rPr>
                <w:sz w:val="20"/>
                <w:szCs w:val="20"/>
                <w:color w:val="auto"/>
              </w:rPr>
            </w:pPr>
            <w:r>
              <w:rPr>
                <w:rFonts w:ascii="Arial" w:cs="Arial" w:eastAsia="Arial" w:hAnsi="Arial"/>
                <w:sz w:val="15"/>
                <w:szCs w:val="15"/>
                <w:color w:val="auto"/>
              </w:rPr>
              <w:t>Ulrich von Andrian</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5"/>
                <w:szCs w:val="15"/>
                <w:color w:val="auto"/>
              </w:rPr>
              <w:t>Chief Financial Officer</w:t>
            </w: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60" w:type="dxa"/>
            <w:vAlign w:val="bottom"/>
            <w:gridSpan w:val="4"/>
          </w:tcPr>
          <w:p>
            <w:pPr>
              <w:ind w:left="780"/>
              <w:spacing w:after="0"/>
              <w:rPr>
                <w:sz w:val="20"/>
                <w:szCs w:val="20"/>
                <w:color w:val="auto"/>
              </w:rPr>
            </w:pPr>
            <w:r>
              <w:rPr>
                <w:rFonts w:ascii="Arial" w:cs="Arial" w:eastAsia="Arial" w:hAnsi="Arial"/>
                <w:sz w:val="15"/>
                <w:szCs w:val="15"/>
                <w:i w:val="1"/>
                <w:iCs w:val="1"/>
                <w:color w:val="auto"/>
              </w:rPr>
              <w:t>-Signature Page to First Amendment to Consulting Agreement-</w:t>
            </w:r>
          </w:p>
        </w:tc>
        <w:tc>
          <w:tcPr>
            <w:tcW w:w="20" w:type="dxa"/>
            <w:vAlign w:val="bottom"/>
          </w:tcPr>
          <w:p>
            <w:pPr>
              <w:spacing w:after="0"/>
              <w:rPr>
                <w:sz w:val="24"/>
                <w:szCs w:val="24"/>
                <w:color w:val="auto"/>
              </w:rPr>
            </w:pPr>
          </w:p>
        </w:tc>
      </w:tr>
      <w:tr>
        <w:trPr>
          <w:trHeight w:val="297"/>
        </w:trPr>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4" w:right="199" w:bottom="1440" w:gutter="0" w:footer="0" w:header="0"/>
        </w:sectPr>
      </w:pPr>
    </w:p>
    <w:bookmarkStart w:id="302" w:name="page303"/>
    <w:bookmarkEnd w:id="302"/>
    <w:p>
      <w:pPr>
        <w:jc w:val="right"/>
        <w:spacing w:after="0"/>
        <w:rPr>
          <w:sz w:val="20"/>
          <w:szCs w:val="20"/>
          <w:color w:val="auto"/>
        </w:rPr>
      </w:pPr>
      <w:r>
        <w:rPr>
          <w:rFonts w:ascii="Arial" w:cs="Arial" w:eastAsia="Arial" w:hAnsi="Arial"/>
          <w:sz w:val="15"/>
          <w:szCs w:val="15"/>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786890" cy="49276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78689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April 4, 2011</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David:</w:t>
      </w:r>
    </w:p>
    <w:p>
      <w:pPr>
        <w:spacing w:after="0" w:line="198" w:lineRule="exact"/>
        <w:rPr>
          <w:sz w:val="20"/>
          <w:szCs w:val="20"/>
          <w:color w:val="auto"/>
        </w:rPr>
      </w:pPr>
    </w:p>
    <w:p>
      <w:pPr>
        <w:ind w:right="140" w:firstLine="556"/>
        <w:spacing w:after="0" w:line="289" w:lineRule="auto"/>
        <w:rPr>
          <w:sz w:val="20"/>
          <w:szCs w:val="20"/>
          <w:color w:val="auto"/>
        </w:rPr>
      </w:pPr>
      <w:r>
        <w:rPr>
          <w:rFonts w:ascii="Arial" w:cs="Arial" w:eastAsia="Arial" w:hAnsi="Arial"/>
          <w:sz w:val="15"/>
          <w:szCs w:val="15"/>
          <w:color w:val="auto"/>
        </w:rPr>
        <w:t>It is with great pleasure that I offer you employment with Selecta Biosciences, Inc. Your position will be General Counsel and Corporate Secretary. Your effective date of hire as a regular, full-time employee will be 16 August, 2011 (the “</w:t>
      </w:r>
      <w:r>
        <w:rPr>
          <w:rFonts w:ascii="Arial" w:cs="Arial" w:eastAsia="Arial" w:hAnsi="Arial"/>
          <w:sz w:val="15"/>
          <w:szCs w:val="15"/>
          <w:u w:val="single" w:color="auto"/>
          <w:color w:val="auto"/>
        </w:rPr>
        <w:t>Start Date</w:t>
      </w:r>
      <w:r>
        <w:rPr>
          <w:rFonts w:ascii="Arial" w:cs="Arial" w:eastAsia="Arial" w:hAnsi="Arial"/>
          <w:sz w:val="15"/>
          <w:szCs w:val="15"/>
          <w:color w:val="auto"/>
        </w:rPr>
        <w:t>”).</w:t>
      </w:r>
    </w:p>
    <w:p>
      <w:pPr>
        <w:spacing w:after="0" w:line="141" w:lineRule="exact"/>
        <w:rPr>
          <w:sz w:val="20"/>
          <w:szCs w:val="20"/>
          <w:color w:val="auto"/>
        </w:rPr>
      </w:pPr>
    </w:p>
    <w:p>
      <w:pPr>
        <w:ind w:right="180" w:firstLine="556"/>
        <w:spacing w:after="0" w:line="268" w:lineRule="auto"/>
        <w:rPr>
          <w:sz w:val="20"/>
          <w:szCs w:val="20"/>
          <w:color w:val="auto"/>
        </w:rPr>
      </w:pPr>
      <w:r>
        <w:rPr>
          <w:rFonts w:ascii="Arial" w:cs="Arial" w:eastAsia="Arial" w:hAnsi="Arial"/>
          <w:sz w:val="15"/>
          <w:szCs w:val="15"/>
          <w:color w:val="auto"/>
        </w:rPr>
        <w:t>You will be paid on a salary basis at an annual rate of $240,000 to be paid semi-monthly in accordance with Selecta’s payroll schedule. Further, it is our intention to recommend to the Board of Directors that you be granted an incentive stock option to purchase 230,000 shares of Selecta’s common stock, $0.0001 par value per share, at an exercise price equal to the fair market value per share on the date of grant. . Such option will vest (i.e., become exercisable) at a rate of 25% on the first anniversary of the date of grant, and an additional 2.0833% each month thereafter.</w:t>
      </w:r>
    </w:p>
    <w:p>
      <w:pPr>
        <w:spacing w:after="0" w:line="156" w:lineRule="exact"/>
        <w:rPr>
          <w:sz w:val="20"/>
          <w:szCs w:val="20"/>
          <w:color w:val="auto"/>
        </w:rPr>
      </w:pPr>
    </w:p>
    <w:p>
      <w:pPr>
        <w:ind w:right="220" w:firstLine="556"/>
        <w:spacing w:after="0" w:line="273" w:lineRule="auto"/>
        <w:rPr>
          <w:sz w:val="20"/>
          <w:szCs w:val="20"/>
          <w:color w:val="auto"/>
        </w:rPr>
      </w:pPr>
      <w:r>
        <w:rPr>
          <w:rFonts w:ascii="Arial" w:cs="Arial" w:eastAsia="Arial" w:hAnsi="Arial"/>
          <w:sz w:val="15"/>
          <w:szCs w:val="15"/>
          <w:color w:val="auto"/>
        </w:rPr>
        <w:t>We also will pay you sign-on cash bonuses equal to $25,000 in 2011; $12,500 in 2012; and $7,500 in 2013. The first of these bonuses will be paid promptly after you countersign and return this letter to the Selecta, and each subsequent bonus will be paid on the first payroll date of 2012 and 2013, as applicable. Any such bonuses will be contingent upon your continued service to Selecta at the time of the scheduled payments.</w:t>
      </w:r>
    </w:p>
    <w:p>
      <w:pPr>
        <w:spacing w:after="0" w:line="153" w:lineRule="exact"/>
        <w:rPr>
          <w:sz w:val="20"/>
          <w:szCs w:val="20"/>
          <w:color w:val="auto"/>
        </w:rPr>
      </w:pPr>
    </w:p>
    <w:p>
      <w:pPr>
        <w:ind w:right="40" w:firstLine="556"/>
        <w:spacing w:after="0" w:line="264" w:lineRule="auto"/>
        <w:rPr>
          <w:sz w:val="20"/>
          <w:szCs w:val="20"/>
          <w:color w:val="auto"/>
        </w:rPr>
      </w:pPr>
      <w:r>
        <w:rPr>
          <w:rFonts w:ascii="Arial" w:cs="Arial" w:eastAsia="Arial" w:hAnsi="Arial"/>
          <w:sz w:val="15"/>
          <w:szCs w:val="15"/>
          <w:color w:val="auto"/>
        </w:rPr>
        <w:t>In addition, Selecta will reimburse you for up to $50,000 in reasonable expenses paid in connection with changing your residence from Menlo Park to a city or town within 40 miles of Watertown, Massachusetts, as long as you complete such change of residence on or before November 1, 2011. Your entitlement to such relocation reimbursement will be subject to your delivery to Selecta of receipts or other reasonable documentation of your moving and relocation expenses. You will receive relocation reimbursement for relocation expenses incurred through December 31, 2011. By signing below, you agree that if you terminate your employment with Selecta for any reason within two years after the Start Date, then you will promptly refund to Selecta a portion of the relocation reimbursements you have received that is proportionate to the segment of such two-year period that remains after the effective date of such termination.</w:t>
      </w:r>
    </w:p>
    <w:p>
      <w:pPr>
        <w:spacing w:after="0" w:line="159" w:lineRule="exact"/>
        <w:rPr>
          <w:sz w:val="20"/>
          <w:szCs w:val="20"/>
          <w:color w:val="auto"/>
        </w:rPr>
      </w:pPr>
    </w:p>
    <w:p>
      <w:pPr>
        <w:ind w:right="140" w:firstLine="556"/>
        <w:spacing w:after="0" w:line="327" w:lineRule="auto"/>
        <w:rPr>
          <w:sz w:val="20"/>
          <w:szCs w:val="20"/>
          <w:color w:val="auto"/>
        </w:rPr>
      </w:pPr>
      <w:r>
        <w:rPr>
          <w:rFonts w:ascii="Arial" w:cs="Arial" w:eastAsia="Arial" w:hAnsi="Arial"/>
          <w:sz w:val="14"/>
          <w:szCs w:val="14"/>
          <w:color w:val="auto"/>
        </w:rPr>
        <w:t>As a regular, full-time employee you are eligible to participate in the employee benefit plans which Selecta offers to its employees, including the current employee vacation policy. Descriptions of the benefit plans currently being offered are available upon request. These plans may, from time to time, be amended or terminated with or without prior notice.</w:t>
      </w:r>
    </w:p>
    <w:p>
      <w:pPr>
        <w:spacing w:after="0" w:line="117"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5"/>
          <w:szCs w:val="15"/>
          <w:color w:val="auto"/>
        </w:rPr>
        <w:t>480 Arsenal Street, Building One · Watertown, MA 02472 USA · tel: +1.617.923.1400 · fax: +1.617.924.3454</w:t>
      </w:r>
      <w:r>
        <w:rPr>
          <w:sz w:val="20"/>
          <w:szCs w:val="20"/>
          <w:color w:val="auto"/>
        </w:rPr>
        <w:tab/>
      </w:r>
      <w:r>
        <w:rPr>
          <w:rFonts w:ascii="Arial" w:cs="Arial" w:eastAsia="Arial" w:hAnsi="Arial"/>
          <w:sz w:val="13"/>
          <w:szCs w:val="13"/>
          <w:i w:val="1"/>
          <w:iCs w:val="1"/>
          <w:color w:val="auto"/>
        </w:rPr>
        <w:t>www.selectabio.com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5990" cy="2730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20" w:firstLine="556"/>
        <w:spacing w:after="0" w:line="289" w:lineRule="auto"/>
        <w:rPr>
          <w:sz w:val="20"/>
          <w:szCs w:val="20"/>
          <w:color w:val="auto"/>
        </w:rPr>
      </w:pPr>
      <w:r>
        <w:rPr>
          <w:rFonts w:ascii="Arial" w:cs="Arial" w:eastAsia="Arial" w:hAnsi="Arial"/>
          <w:sz w:val="15"/>
          <w:szCs w:val="15"/>
          <w:color w:val="auto"/>
        </w:rPr>
        <w:t>Your employment at all times will be at will, meaning that you are not being offered employment for a definite period and that either you or Selecta may terminate the employment relationship at any time for any reason.</w:t>
      </w:r>
    </w:p>
    <w:p>
      <w:pPr>
        <w:spacing w:after="0" w:line="141" w:lineRule="exact"/>
        <w:rPr>
          <w:sz w:val="20"/>
          <w:szCs w:val="20"/>
          <w:color w:val="auto"/>
        </w:rPr>
      </w:pPr>
    </w:p>
    <w:p>
      <w:pPr>
        <w:ind w:right="240" w:firstLine="556"/>
        <w:spacing w:after="0" w:line="268" w:lineRule="auto"/>
        <w:rPr>
          <w:sz w:val="20"/>
          <w:szCs w:val="20"/>
          <w:color w:val="auto"/>
        </w:rPr>
      </w:pPr>
      <w:r>
        <w:rPr>
          <w:rFonts w:ascii="Arial" w:cs="Arial" w:eastAsia="Arial" w:hAnsi="Arial"/>
          <w:sz w:val="15"/>
          <w:szCs w:val="15"/>
          <w:color w:val="auto"/>
        </w:rPr>
        <w:t>As a condition of your at-will employment, you will be required to sign the attached Nondisclosure, Noncompetition and Assignment of Intellectual Property Agreement. In addition, the Immigration Reform and Control Act requires employers to verify employment eligibility and identity of new employees. On your first day of employment, you must provide us with appropriate documents to establish your eligibility to work in the United States (e.g., Social Security Card, Driver’s License, US Passport). We will not be able to employ you if you fail to comply with this requirement.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Selecta maintains a smoke-free, drug-free workplace policy and supports equal employment opportunities for all of its employees.</w:t>
      </w:r>
    </w:p>
    <w:p>
      <w:pPr>
        <w:spacing w:after="0" w:line="198" w:lineRule="exact"/>
        <w:rPr>
          <w:sz w:val="20"/>
          <w:szCs w:val="20"/>
          <w:color w:val="auto"/>
        </w:rPr>
      </w:pPr>
    </w:p>
    <w:p>
      <w:pPr>
        <w:ind w:right="80" w:firstLine="556"/>
        <w:spacing w:after="0" w:line="284" w:lineRule="auto"/>
        <w:rPr>
          <w:sz w:val="20"/>
          <w:szCs w:val="20"/>
          <w:color w:val="auto"/>
        </w:rPr>
      </w:pPr>
      <w:r>
        <w:rPr>
          <w:rFonts w:ascii="Arial" w:cs="Arial" w:eastAsia="Arial" w:hAnsi="Arial"/>
          <w:sz w:val="14"/>
          <w:szCs w:val="14"/>
          <w:color w:val="auto"/>
        </w:rPr>
        <w:t>By accepting this offer below, you represent that you are subject to no agreements which might restrict your conduct at Selecta; and that you understand that if you become aware at any time during your employment with Selecta that you are subject to any agreements which might restrict your conduct at Selecta, you are required to immediately inform Selecta of the existence of such agreements or your employment by Selecta shall be subject to immediate termination. Selecta understands that you are a participant in or advisor to certain startup companies, but that these relationships do not restrict your conduct at Selecta. You also acknowledge that, as of the Start Date, your company, Innovation Legal Group (“</w:t>
      </w:r>
      <w:r>
        <w:rPr>
          <w:rFonts w:ascii="Arial" w:cs="Arial" w:eastAsia="Arial" w:hAnsi="Arial"/>
          <w:sz w:val="14"/>
          <w:szCs w:val="14"/>
          <w:u w:val="single" w:color="auto"/>
          <w:color w:val="auto"/>
        </w:rPr>
        <w:t>ILG</w:t>
      </w:r>
      <w:r>
        <w:rPr>
          <w:rFonts w:ascii="Arial" w:cs="Arial" w:eastAsia="Arial" w:hAnsi="Arial"/>
          <w:sz w:val="14"/>
          <w:szCs w:val="14"/>
          <w:color w:val="auto"/>
        </w:rPr>
        <w:t>”) will not be entitled to any further cash payments under the consulting agreement between Selecta and ILG dated as of February 2, 2009, as amended May 1, 2009 (the “</w:t>
      </w:r>
      <w:r>
        <w:rPr>
          <w:rFonts w:ascii="Arial" w:cs="Arial" w:eastAsia="Arial" w:hAnsi="Arial"/>
          <w:sz w:val="14"/>
          <w:szCs w:val="14"/>
          <w:u w:val="single" w:color="auto"/>
          <w:color w:val="auto"/>
        </w:rPr>
        <w:t>ILG</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unless Selecta expressly requests the services of ILG in writing. A separate ILG services agreement will be executed in writing together with this offer letter. Further, you will be eligible for a bonus program, should such a program be instituted for senior executives of Selecta.</w:t>
      </w:r>
    </w:p>
    <w:p>
      <w:pPr>
        <w:spacing w:after="0" w:line="149" w:lineRule="exact"/>
        <w:rPr>
          <w:sz w:val="20"/>
          <w:szCs w:val="20"/>
          <w:color w:val="auto"/>
        </w:rPr>
      </w:pPr>
    </w:p>
    <w:p>
      <w:pPr>
        <w:ind w:right="300" w:firstLine="556"/>
        <w:spacing w:after="0" w:line="289" w:lineRule="auto"/>
        <w:rPr>
          <w:sz w:val="20"/>
          <w:szCs w:val="20"/>
          <w:color w:val="auto"/>
        </w:rPr>
      </w:pPr>
      <w:r>
        <w:rPr>
          <w:rFonts w:ascii="Arial" w:cs="Arial" w:eastAsia="Arial" w:hAnsi="Arial"/>
          <w:sz w:val="15"/>
          <w:szCs w:val="15"/>
          <w:color w:val="auto"/>
        </w:rPr>
        <w:t>This offer will expire at 5:00 p.m. on 20 April, 2011. Please indicate your acceptance of this offer by signing and returning to me this letter and the attached Nondisclosure, Noncompetition and Assignment of Intellectual Property Agreement.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David, I am looking forward to having you officially join the Selecta team as a full-time employee!</w:t>
      </w:r>
    </w:p>
    <w:p>
      <w:pPr>
        <w:spacing w:after="0" w:line="198"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Sincerely,</w:t>
      </w:r>
    </w:p>
    <w:p>
      <w:pPr>
        <w:spacing w:after="0" w:line="198"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14605</wp:posOffset>
            </wp:positionV>
            <wp:extent cx="3463925"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463925" cy="7620"/>
                    </a:xfrm>
                    <a:prstGeom prst="rect">
                      <a:avLst/>
                    </a:prstGeom>
                    <a:noFill/>
                  </pic:spPr>
                </pic:pic>
              </a:graphicData>
            </a:graphic>
          </wp:anchor>
        </w:drawing>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Werner Cautreels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Executive Officer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40" w:type="dxa"/>
            <w:vAlign w:val="bottom"/>
          </w:tcPr>
          <w:p>
            <w:pPr>
              <w:spacing w:after="0"/>
              <w:rPr>
                <w:sz w:val="20"/>
                <w:szCs w:val="20"/>
                <w:color w:val="auto"/>
              </w:rPr>
            </w:pPr>
            <w:r>
              <w:rPr>
                <w:rFonts w:ascii="Arial" w:cs="Arial" w:eastAsia="Arial" w:hAnsi="Arial"/>
                <w:sz w:val="15"/>
                <w:szCs w:val="15"/>
                <w:color w:val="auto"/>
              </w:rPr>
              <w:t>Accepted 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David Abraham</w:t>
            </w:r>
          </w:p>
        </w:tc>
      </w:tr>
      <w:tr>
        <w:trPr>
          <w:trHeight w:val="187"/>
        </w:trPr>
        <w:tc>
          <w:tcPr>
            <w:tcW w:w="134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5"/>
                <w:szCs w:val="15"/>
                <w:color w:val="auto"/>
              </w:rPr>
              <w:t>7 April 2011</w:t>
            </w:r>
          </w:p>
        </w:tc>
      </w:tr>
    </w:tbl>
    <w:p>
      <w:pPr>
        <w:spacing w:after="0" w:line="164" w:lineRule="exact"/>
        <w:rPr>
          <w:sz w:val="20"/>
          <w:szCs w:val="20"/>
          <w:color w:val="auto"/>
        </w:rPr>
      </w:pPr>
    </w:p>
    <w:p>
      <w:pPr>
        <w:sectPr>
          <w:pgSz w:w="11900" w:h="16838" w:orient="portrait"/>
          <w:cols w:equalWidth="0" w:num="1">
            <w:col w:w="11440"/>
          </w:cols>
          <w:pgMar w:left="240" w:top="331" w:right="219" w:bottom="1440" w:gutter="0" w:footer="0" w:header="0"/>
        </w:sect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type w:val="continuous"/>
        </w:sectPr>
      </w:pPr>
    </w:p>
    <w:bookmarkStart w:id="303" w:name="page304"/>
    <w:bookmarkEnd w:id="303"/>
    <w:p>
      <w:pPr>
        <w:ind w:left="10660"/>
        <w:spacing w:after="0"/>
        <w:rPr>
          <w:sz w:val="20"/>
          <w:szCs w:val="20"/>
          <w:color w:val="auto"/>
        </w:rPr>
      </w:pPr>
      <w:r>
        <w:rPr>
          <w:rFonts w:ascii="Arial" w:cs="Arial" w:eastAsia="Arial" w:hAnsi="Arial"/>
          <w:sz w:val="14"/>
          <w:szCs w:val="14"/>
          <w:b w:val="1"/>
          <w:bCs w:val="1"/>
          <w:color w:val="auto"/>
        </w:rPr>
        <w:t>Exhibit 21.1</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Subsidiaries of Selecta Biosciences,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2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2"/>
                <w:szCs w:val="12"/>
                <w:color w:val="auto"/>
              </w:rPr>
            </w:pPr>
          </w:p>
        </w:tc>
        <w:tc>
          <w:tcPr>
            <w:tcW w:w="5620" w:type="dxa"/>
            <w:vAlign w:val="bottom"/>
          </w:tcPr>
          <w:p>
            <w:pPr>
              <w:ind w:left="2040"/>
              <w:spacing w:after="0"/>
              <w:rPr>
                <w:sz w:val="20"/>
                <w:szCs w:val="20"/>
                <w:color w:val="auto"/>
              </w:rPr>
            </w:pPr>
            <w:r>
              <w:rPr>
                <w:rFonts w:ascii="Arial" w:cs="Arial" w:eastAsia="Arial" w:hAnsi="Arial"/>
                <w:sz w:val="12"/>
                <w:szCs w:val="12"/>
                <w:b w:val="1"/>
                <w:bCs w:val="1"/>
                <w:color w:val="auto"/>
              </w:rPr>
              <w:t>Jurisdiction of Organization</w:t>
            </w:r>
          </w:p>
        </w:tc>
        <w:tc>
          <w:tcPr>
            <w:tcW w:w="2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Selecta (RUS) LLC</w:t>
            </w:r>
          </w:p>
        </w:tc>
        <w:tc>
          <w:tcPr>
            <w:tcW w:w="220" w:type="dxa"/>
            <w:vAlign w:val="bottom"/>
            <w:tcBorders>
              <w:top w:val="single" w:sz="8" w:color="CCEEFF"/>
            </w:tcBorders>
            <w:shd w:val="clear" w:color="auto" w:fill="CCEEFF"/>
          </w:tcPr>
          <w:p>
            <w:pPr>
              <w:spacing w:after="0"/>
              <w:rPr>
                <w:sz w:val="15"/>
                <w:szCs w:val="15"/>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Russia</w:t>
            </w:r>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5"/>
                <w:szCs w:val="15"/>
                <w:color w:val="auto"/>
              </w:rPr>
              <w:t>Selecta Biosciences Security Corporation</w:t>
            </w:r>
          </w:p>
        </w:tc>
        <w:tc>
          <w:tcPr>
            <w:tcW w:w="5840" w:type="dxa"/>
            <w:vAlign w:val="bottom"/>
            <w:gridSpan w:val="2"/>
          </w:tcPr>
          <w:p>
            <w:pPr>
              <w:ind w:left="220"/>
              <w:spacing w:after="0"/>
              <w:rPr>
                <w:sz w:val="20"/>
                <w:szCs w:val="20"/>
                <w:color w:val="auto"/>
              </w:rPr>
            </w:pPr>
            <w:r>
              <w:rPr>
                <w:rFonts w:ascii="Arial" w:cs="Arial" w:eastAsia="Arial" w:hAnsi="Arial"/>
                <w:sz w:val="15"/>
                <w:szCs w:val="15"/>
                <w:color w:val="auto"/>
              </w:rPr>
              <w:t>Massachusetts</w:t>
            </w:r>
          </w:p>
        </w:tc>
        <w:tc>
          <w:tcPr>
            <w:tcW w:w="20" w:type="dxa"/>
            <w:vAlign w:val="bottom"/>
          </w:tcPr>
          <w:p>
            <w:pPr>
              <w:spacing w:after="0"/>
              <w:rPr>
                <w:sz w:val="17"/>
                <w:szCs w:val="17"/>
                <w:color w:val="auto"/>
              </w:rPr>
            </w:pPr>
          </w:p>
        </w:tc>
      </w:tr>
      <w:tr>
        <w:trPr>
          <w:trHeight w:val="287"/>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-26670</wp:posOffset>
            </wp:positionV>
            <wp:extent cx="12700" cy="2730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12700" cy="2730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sectPr>
      <w:pgSz w:w="11900" w:h="16838" w:orient="portrait"/>
      <w:cols w:equalWidth="0" w:num="1">
        <w:col w:w="11480"/>
      </w:cols>
      <w:pgMar w:left="220" w:top="33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1)"/>
      <w:numFmt w:val="decimal"/>
      <w:start w:val="1"/>
    </w:lvl>
  </w:abstractNum>
  <w:abstractNum w:abstractNumId="1">
    <w:nsid w:val="5B25ACE2"/>
    <w:multiLevelType w:val="hybridMultilevel"/>
    <w:lvl w:ilvl="0">
      <w:lvlJc w:val="left"/>
      <w:lvlText w:val="(%1)"/>
      <w:numFmt w:val="decimal"/>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
      <w:numFmt w:val="bullet"/>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
      <w:numFmt w:val="bullet"/>
      <w:start w:val="1"/>
    </w:lvl>
  </w:abstractNum>
  <w:abstractNum w:abstractNumId="6">
    <w:nsid w:val="5915FF32"/>
    <w:multiLevelType w:val="hybridMultilevel"/>
    <w:lvl w:ilvl="0">
      <w:lvlJc w:val="left"/>
      <w:lvlText w:val="•"/>
      <w:numFmt w:val="bullet"/>
      <w:start w:val="1"/>
    </w:lvl>
  </w:abstractNum>
  <w:abstractNum w:abstractNumId="7">
    <w:nsid w:val="56438D15"/>
    <w:multiLevelType w:val="hybridMultilevel"/>
    <w:lvl w:ilvl="0">
      <w:lvlJc w:val="left"/>
      <w:lvlText w:val="•"/>
      <w:numFmt w:val="bullet"/>
      <w:start w:val="1"/>
    </w:lvl>
  </w:abstractNum>
  <w:abstractNum w:abstractNumId="8">
    <w:nsid w:val="519E3149"/>
    <w:multiLevelType w:val="hybridMultilevel"/>
    <w:lvl w:ilvl="0">
      <w:lvlJc w:val="left"/>
      <w:lvlText w:val="•"/>
      <w:numFmt w:val="bullet"/>
      <w:start w:val="1"/>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
      <w:numFmt w:val="bullet"/>
      <w:start w:val="1"/>
    </w:lvl>
  </w:abstractNum>
  <w:abstractNum w:abstractNumId="12">
    <w:nsid w:val="5046B5A9"/>
    <w:multiLevelType w:val="hybridMultilevel"/>
    <w:lvl w:ilvl="0">
      <w:lvlJc w:val="left"/>
      <w:lvlText w:val="•"/>
      <w:numFmt w:val="bullet"/>
      <w:start w:val="1"/>
    </w:lvl>
  </w:abstractNum>
  <w:abstractNum w:abstractNumId="13">
    <w:nsid w:val="5D888A08"/>
    <w:multiLevelType w:val="hybridMultilevel"/>
    <w:lvl w:ilvl="0">
      <w:lvlJc w:val="left"/>
      <w:lvlText w:val="(%1)"/>
      <w:numFmt w:val="decimal"/>
      <w:start w:val="1"/>
    </w:lvl>
  </w:abstractNum>
  <w:abstractNum w:abstractNumId="14">
    <w:nsid w:val="2A082C70"/>
    <w:multiLevelType w:val="hybridMultilevel"/>
    <w:lvl w:ilvl="0">
      <w:lvlJc w:val="left"/>
      <w:lvlText w:val="(%1)"/>
      <w:numFmt w:val="decimal"/>
      <w:start w:val="1"/>
    </w:lvl>
  </w:abstractNum>
  <w:abstractNum w:abstractNumId="15">
    <w:nsid w:val="5EC6AFD4"/>
    <w:multiLevelType w:val="hybridMultilevel"/>
    <w:lvl w:ilvl="0">
      <w:lvlJc w:val="left"/>
      <w:lvlText w:val="$"/>
      <w:numFmt w:val="bullet"/>
      <w:start w:val="1"/>
    </w:lvl>
  </w:abstractNum>
  <w:abstractNum w:abstractNumId="16">
    <w:nsid w:val="19E21BB2"/>
    <w:multiLevelType w:val="hybridMultilevel"/>
    <w:lvl w:ilvl="0">
      <w:lvlJc w:val="left"/>
      <w:lvlText w:val="$"/>
      <w:numFmt w:val="bullet"/>
      <w:start w:val="1"/>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
      <w:numFmt w:val="bullet"/>
      <w:start w:val="1"/>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
      <w:numFmt w:val="bullet"/>
      <w:start w:val="1"/>
    </w:lvl>
  </w:abstractNum>
  <w:abstractNum w:abstractNumId="29">
    <w:nsid w:val="49D0FEAC"/>
    <w:multiLevelType w:val="hybridMultilevel"/>
    <w:lvl w:ilvl="0">
      <w:lvlJc w:val="left"/>
      <w:lvlText w:val="•"/>
      <w:numFmt w:val="bullet"/>
      <w:start w:val="1"/>
    </w:lvl>
  </w:abstractNum>
  <w:abstractNum w:abstractNumId="30">
    <w:nsid w:val="4BEE5A5B"/>
    <w:multiLevelType w:val="hybridMultilevel"/>
    <w:lvl w:ilvl="0">
      <w:lvlJc w:val="left"/>
      <w:lvlText w:val="•"/>
      <w:numFmt w:val="bullet"/>
      <w:start w:val="1"/>
    </w:lvl>
  </w:abstractNum>
  <w:abstractNum w:abstractNumId="31">
    <w:nsid w:val="5551B9F3"/>
    <w:multiLevelType w:val="hybridMultilevel"/>
    <w:lvl w:ilvl="0">
      <w:lvlJc w:val="left"/>
      <w:lvlText w:val="•"/>
      <w:numFmt w:val="bullet"/>
      <w:start w:val="1"/>
    </w:lvl>
  </w:abstractNum>
  <w:abstractNum w:abstractNumId="32">
    <w:nsid w:val="24F6AB8E"/>
    <w:multiLevelType w:val="hybridMultilevel"/>
    <w:lvl w:ilvl="0">
      <w:lvlJc w:val="left"/>
      <w:lvlText w:val="•"/>
      <w:numFmt w:val="bullet"/>
      <w:start w:val="1"/>
    </w:lvl>
  </w:abstractNum>
  <w:abstractNum w:abstractNumId="33">
    <w:nsid w:val="634C574C"/>
    <w:multiLevelType w:val="hybridMultilevel"/>
    <w:lvl w:ilvl="0">
      <w:lvlJc w:val="left"/>
      <w:lvlText w:val="•"/>
      <w:numFmt w:val="bullet"/>
      <w:start w:val="1"/>
    </w:lvl>
  </w:abstractNum>
  <w:abstractNum w:abstractNumId="34">
    <w:nsid w:val="24E99DD7"/>
    <w:multiLevelType w:val="hybridMultilevel"/>
    <w:lvl w:ilvl="0">
      <w:lvlJc w:val="left"/>
      <w:lvlText w:val="•"/>
      <w:numFmt w:val="bullet"/>
      <w:start w:val="1"/>
    </w:lvl>
  </w:abstractNum>
  <w:abstractNum w:abstractNumId="35">
    <w:nsid w:val="2A31B62D"/>
    <w:multiLevelType w:val="hybridMultilevel"/>
    <w:lvl w:ilvl="0">
      <w:lvlJc w:val="left"/>
      <w:lvlText w:val="•"/>
      <w:numFmt w:val="bullet"/>
      <w:start w:val="1"/>
    </w:lvl>
  </w:abstractNum>
  <w:abstractNum w:abstractNumId="36">
    <w:nsid w:val="1849C29B"/>
    <w:multiLevelType w:val="hybridMultilevel"/>
    <w:lvl w:ilvl="0">
      <w:lvlJc w:val="left"/>
      <w:lvlText w:val="•"/>
      <w:numFmt w:val="bullet"/>
      <w:start w:val="1"/>
    </w:lvl>
  </w:abstractNum>
  <w:abstractNum w:abstractNumId="37">
    <w:nsid w:val="7DFF9D09"/>
    <w:multiLevelType w:val="hybridMultilevel"/>
    <w:lvl w:ilvl="0">
      <w:lvlJc w:val="left"/>
      <w:lvlText w:val="•"/>
      <w:numFmt w:val="bullet"/>
      <w:start w:val="1"/>
    </w:lvl>
  </w:abstractNum>
  <w:abstractNum w:abstractNumId="38">
    <w:nsid w:val="754342"/>
    <w:multiLevelType w:val="hybridMultilevel"/>
    <w:lvl w:ilvl="0">
      <w:lvlJc w:val="left"/>
      <w:lvlText w:val="•"/>
      <w:numFmt w:val="bullet"/>
      <w:start w:val="1"/>
    </w:lvl>
  </w:abstractNum>
  <w:abstractNum w:abstractNumId="39">
    <w:nsid w:val="69E7F3E5"/>
    <w:multiLevelType w:val="hybridMultilevel"/>
    <w:lvl w:ilvl="0">
      <w:lvlJc w:val="left"/>
      <w:lvlText w:val="•"/>
      <w:numFmt w:val="bullet"/>
      <w:start w:val="1"/>
    </w:lvl>
  </w:abstractNum>
  <w:abstractNum w:abstractNumId="40">
    <w:nsid w:val="2A6DE806"/>
    <w:multiLevelType w:val="hybridMultilevel"/>
    <w:lvl w:ilvl="0">
      <w:lvlJc w:val="left"/>
      <w:lvlText w:val="•"/>
      <w:numFmt w:val="bullet"/>
      <w:start w:val="1"/>
    </w:lvl>
  </w:abstractNum>
  <w:abstractNum w:abstractNumId="41">
    <w:nsid w:val="1816F8C4"/>
    <w:multiLevelType w:val="hybridMultilevel"/>
    <w:lvl w:ilvl="0">
      <w:lvlJc w:val="left"/>
      <w:lvlText w:val="•"/>
      <w:numFmt w:val="bullet"/>
      <w:start w:val="1"/>
    </w:lvl>
  </w:abstractNum>
  <w:abstractNum w:abstractNumId="42">
    <w:nsid w:val="37DF2233"/>
    <w:multiLevelType w:val="hybridMultilevel"/>
    <w:lvl w:ilvl="0">
      <w:lvlJc w:val="left"/>
      <w:lvlText w:val="(%1)"/>
      <w:numFmt w:val="decimal"/>
      <w:start w:val="4"/>
    </w:lvl>
  </w:abstractNum>
  <w:abstractNum w:abstractNumId="43">
    <w:nsid w:val="7AB49DAF"/>
    <w:multiLevelType w:val="hybridMultilevel"/>
    <w:lvl w:ilvl="0">
      <w:lvlJc w:val="left"/>
      <w:lvlText w:val="•"/>
      <w:numFmt w:val="bullet"/>
      <w:start w:val="1"/>
    </w:lvl>
  </w:abstractNum>
  <w:abstractNum w:abstractNumId="44">
    <w:nsid w:val="759F82CD"/>
    <w:multiLevelType w:val="hybridMultilevel"/>
    <w:lvl w:ilvl="0">
      <w:lvlJc w:val="left"/>
      <w:lvlText w:val="•"/>
      <w:numFmt w:val="bullet"/>
      <w:start w:val="1"/>
    </w:lvl>
  </w:abstractNum>
  <w:abstractNum w:abstractNumId="45">
    <w:nsid w:val="61E74EA3"/>
    <w:multiLevelType w:val="hybridMultilevel"/>
    <w:lvl w:ilvl="0">
      <w:lvlJc w:val="left"/>
      <w:lvlText w:val="•"/>
      <w:numFmt w:val="bullet"/>
      <w:start w:val="1"/>
    </w:lvl>
  </w:abstractNum>
  <w:abstractNum w:abstractNumId="46">
    <w:nsid w:val="597B4D84"/>
    <w:multiLevelType w:val="hybridMultilevel"/>
    <w:lvl w:ilvl="0">
      <w:lvlJc w:val="left"/>
      <w:lvlText w:val="•"/>
      <w:numFmt w:val="bullet"/>
      <w:start w:val="1"/>
    </w:lvl>
  </w:abstractNum>
  <w:abstractNum w:abstractNumId="47">
    <w:nsid w:val="F819E7F"/>
    <w:multiLevelType w:val="hybridMultilevel"/>
    <w:lvl w:ilvl="0">
      <w:lvlJc w:val="left"/>
      <w:lvlText w:val="•"/>
      <w:numFmt w:val="bullet"/>
      <w:start w:val="1"/>
    </w:lvl>
  </w:abstractNum>
  <w:abstractNum w:abstractNumId="48">
    <w:nsid w:val="57C7D42D"/>
    <w:multiLevelType w:val="hybridMultilevel"/>
    <w:lvl w:ilvl="0">
      <w:lvlJc w:val="left"/>
      <w:lvlText w:val="$"/>
      <w:numFmt w:val="bullet"/>
      <w:start w:val="1"/>
    </w:lvl>
  </w:abstractNum>
  <w:abstractNum w:abstractNumId="49">
    <w:nsid w:val="312167AD"/>
    <w:multiLevelType w:val="hybridMultilevel"/>
    <w:lvl w:ilvl="0">
      <w:lvlJc w:val="left"/>
      <w:lvlText w:val="$"/>
      <w:numFmt w:val="bullet"/>
      <w:start w:val="1"/>
    </w:lvl>
  </w:abstractNum>
  <w:abstractNum w:abstractNumId="50">
    <w:nsid w:val="631B64D4"/>
    <w:multiLevelType w:val="hybridMultilevel"/>
    <w:lvl w:ilvl="0">
      <w:lvlJc w:val="left"/>
      <w:lvlText w:val="•"/>
      <w:numFmt w:val="bullet"/>
      <w:start w:val="1"/>
    </w:lvl>
  </w:abstractNum>
  <w:abstractNum w:abstractNumId="51">
    <w:nsid w:val="78B5E776"/>
    <w:multiLevelType w:val="hybridMultilevel"/>
    <w:lvl w:ilvl="0">
      <w:lvlJc w:val="left"/>
      <w:lvlText w:val="•"/>
      <w:numFmt w:val="bullet"/>
      <w:start w:val="1"/>
    </w:lvl>
  </w:abstractNum>
  <w:abstractNum w:abstractNumId="52">
    <w:nsid w:val="75486E47"/>
    <w:multiLevelType w:val="hybridMultilevel"/>
    <w:lvl w:ilvl="0">
      <w:lvlJc w:val="left"/>
      <w:lvlText w:val="$"/>
      <w:numFmt w:val="bullet"/>
      <w:start w:val="1"/>
    </w:lvl>
  </w:abstractNum>
  <w:abstractNum w:abstractNumId="53">
    <w:nsid w:val="6E534CDE"/>
    <w:multiLevelType w:val="hybridMultilevel"/>
    <w:lvl w:ilvl="0">
      <w:lvlJc w:val="left"/>
      <w:lvlText w:val="(%1)"/>
      <w:numFmt w:val="decimal"/>
      <w:start w:val="1"/>
    </w:lvl>
  </w:abstractNum>
  <w:abstractNum w:abstractNumId="54">
    <w:nsid w:val="1A0DDE32"/>
    <w:multiLevelType w:val="hybridMultilevel"/>
    <w:lvl w:ilvl="0">
      <w:lvlJc w:val="left"/>
      <w:lvlText w:val="•"/>
      <w:numFmt w:val="bullet"/>
      <w:start w:val="1"/>
    </w:lvl>
  </w:abstractNum>
  <w:abstractNum w:abstractNumId="55">
    <w:nsid w:val="65968C1C"/>
    <w:multiLevelType w:val="hybridMultilevel"/>
    <w:lvl w:ilvl="0">
      <w:lvlJc w:val="left"/>
      <w:lvlText w:val="•"/>
      <w:numFmt w:val="bullet"/>
      <w:start w:val="1"/>
    </w:lvl>
  </w:abstractNum>
  <w:abstractNum w:abstractNumId="56">
    <w:nsid w:val="46263DEC"/>
    <w:multiLevelType w:val="hybridMultilevel"/>
    <w:lvl w:ilvl="0">
      <w:lvlJc w:val="left"/>
      <w:lvlText w:val="•"/>
      <w:numFmt w:val="bullet"/>
      <w:start w:val="1"/>
    </w:lvl>
  </w:abstractNum>
  <w:abstractNum w:abstractNumId="57">
    <w:nsid w:val="260D8C4A"/>
    <w:multiLevelType w:val="hybridMultilevel"/>
    <w:lvl w:ilvl="0">
      <w:lvlJc w:val="left"/>
      <w:lvlText w:val="(%1)"/>
      <w:numFmt w:val="decimal"/>
      <w:start w:val="1"/>
    </w:lvl>
  </w:abstractNum>
  <w:abstractNum w:abstractNumId="58">
    <w:nsid w:val="73D4D3C4"/>
    <w:multiLevelType w:val="hybridMultilevel"/>
    <w:lvl w:ilvl="0">
      <w:lvlJc w:val="left"/>
      <w:lvlText w:val="(%1)"/>
      <w:numFmt w:val="decimal"/>
      <w:start w:val="2"/>
    </w:lvl>
  </w:abstractNum>
  <w:abstractNum w:abstractNumId="59">
    <w:nsid w:val="746F2E30"/>
    <w:multiLevelType w:val="hybridMultilevel"/>
    <w:lvl w:ilvl="0">
      <w:lvlJc w:val="left"/>
      <w:lvlText w:val="•"/>
      <w:numFmt w:val="bullet"/>
      <w:start w:val="1"/>
    </w:lvl>
  </w:abstractNum>
  <w:abstractNum w:abstractNumId="60">
    <w:nsid w:val="6FDE8AF6"/>
    <w:multiLevelType w:val="hybridMultilevel"/>
    <w:lvl w:ilvl="0">
      <w:lvlJc w:val="left"/>
      <w:lvlText w:val="•"/>
      <w:numFmt w:val="bullet"/>
      <w:start w:val="1"/>
    </w:lvl>
  </w:abstractNum>
  <w:abstractNum w:abstractNumId="61">
    <w:nsid w:val="3FC32E20"/>
    <w:multiLevelType w:val="hybridMultilevel"/>
    <w:lvl w:ilvl="0">
      <w:lvlJc w:val="left"/>
      <w:lvlText w:val="(%1)"/>
      <w:numFmt w:val="decimal"/>
      <w:start w:val="1"/>
    </w:lvl>
  </w:abstractNum>
  <w:abstractNum w:abstractNumId="62">
    <w:nsid w:val="49C0E823"/>
    <w:multiLevelType w:val="hybridMultilevel"/>
    <w:lvl w:ilvl="0">
      <w:lvlJc w:val="left"/>
      <w:lvlText w:val="•"/>
      <w:numFmt w:val="bullet"/>
      <w:start w:val="1"/>
    </w:lvl>
  </w:abstractNum>
  <w:abstractNum w:abstractNumId="63">
    <w:nsid w:val="14D53685"/>
    <w:multiLevelType w:val="hybridMultilevel"/>
    <w:lvl w:ilvl="0">
      <w:lvlJc w:val="left"/>
      <w:lvlText w:val="•"/>
      <w:numFmt w:val="bullet"/>
      <w:start w:val="1"/>
    </w:lvl>
  </w:abstractNum>
  <w:abstractNum w:abstractNumId="64">
    <w:nsid w:val="230F856C"/>
    <w:multiLevelType w:val="hybridMultilevel"/>
    <w:lvl w:ilvl="0">
      <w:lvlJc w:val="left"/>
      <w:lvlText w:val="(%1)"/>
      <w:numFmt w:val="decimal"/>
      <w:start w:val="1"/>
    </w:lvl>
  </w:abstractNum>
  <w:abstractNum w:abstractNumId="65">
    <w:nsid w:val="6EAA85FB"/>
    <w:multiLevelType w:val="hybridMultilevel"/>
    <w:lvl w:ilvl="0">
      <w:lvlJc w:val="left"/>
      <w:lvlText w:val="•"/>
      <w:numFmt w:val="bullet"/>
      <w:start w:val="1"/>
    </w:lvl>
  </w:abstractNum>
  <w:abstractNum w:abstractNumId="66">
    <w:nsid w:val="3F06ECB2"/>
    <w:multiLevelType w:val="hybridMultilevel"/>
    <w:lvl w:ilvl="0">
      <w:lvlJc w:val="left"/>
      <w:lvlText w:val="•"/>
      <w:numFmt w:val="bullet"/>
      <w:start w:val="1"/>
    </w:lvl>
  </w:abstractNum>
  <w:abstractNum w:abstractNumId="67">
    <w:nsid w:val="3B594807"/>
    <w:multiLevelType w:val="hybridMultilevel"/>
    <w:lvl w:ilvl="0">
      <w:lvlJc w:val="left"/>
      <w:lvlText w:val="•"/>
      <w:numFmt w:val="bullet"/>
      <w:start w:val="1"/>
    </w:lvl>
  </w:abstractNum>
  <w:abstractNum w:abstractNumId="68">
    <w:nsid w:val="6CAA2304"/>
    <w:multiLevelType w:val="hybridMultilevel"/>
    <w:lvl w:ilvl="0">
      <w:lvlJc w:val="left"/>
      <w:lvlText w:val="•"/>
      <w:numFmt w:val="bullet"/>
      <w:start w:val="1"/>
    </w:lvl>
  </w:abstractNum>
  <w:abstractNum w:abstractNumId="69">
    <w:nsid w:val="3F7C2FF4"/>
    <w:multiLevelType w:val="hybridMultilevel"/>
    <w:lvl w:ilvl="0">
      <w:lvlJc w:val="left"/>
      <w:lvlText w:val="•"/>
      <w:numFmt w:val="bullet"/>
      <w:start w:val="1"/>
    </w:lvl>
  </w:abstractNum>
  <w:abstractNum w:abstractNumId="70">
    <w:nsid w:val="25413BEC"/>
    <w:multiLevelType w:val="hybridMultilevel"/>
    <w:lvl w:ilvl="0">
      <w:lvlJc w:val="left"/>
      <w:lvlText w:val="•"/>
      <w:numFmt w:val="bullet"/>
      <w:start w:val="1"/>
    </w:lvl>
  </w:abstractNum>
  <w:abstractNum w:abstractNumId="71">
    <w:nsid w:val="17180B0B"/>
    <w:multiLevelType w:val="hybridMultilevel"/>
    <w:lvl w:ilvl="0">
      <w:lvlJc w:val="left"/>
      <w:lvlText w:val="•"/>
      <w:numFmt w:val="bullet"/>
      <w:start w:val="1"/>
    </w:lvl>
  </w:abstractNum>
  <w:abstractNum w:abstractNumId="72">
    <w:nsid w:val="579328B9"/>
    <w:multiLevelType w:val="hybridMultilevel"/>
    <w:lvl w:ilvl="0">
      <w:lvlJc w:val="left"/>
      <w:lvlText w:val="•"/>
      <w:numFmt w:val="bullet"/>
      <w:start w:val="1"/>
    </w:lvl>
  </w:abstractNum>
  <w:abstractNum w:abstractNumId="73">
    <w:nsid w:val="5D205E20"/>
    <w:multiLevelType w:val="hybridMultilevel"/>
    <w:lvl w:ilvl="0">
      <w:lvlJc w:val="left"/>
      <w:lvlText w:val="•"/>
      <w:numFmt w:val="bullet"/>
      <w:start w:val="1"/>
    </w:lvl>
  </w:abstractNum>
  <w:abstractNum w:abstractNumId="74">
    <w:nsid w:val="11CCA8BA"/>
    <w:multiLevelType w:val="hybridMultilevel"/>
    <w:lvl w:ilvl="0">
      <w:lvlJc w:val="left"/>
      <w:lvlText w:val="•"/>
      <w:numFmt w:val="bullet"/>
      <w:start w:val="1"/>
    </w:lvl>
  </w:abstractNum>
  <w:abstractNum w:abstractNumId="75">
    <w:nsid w:val="4D32AB86"/>
    <w:multiLevelType w:val="hybridMultilevel"/>
    <w:lvl w:ilvl="0">
      <w:lvlJc w:val="left"/>
      <w:lvlText w:val="•"/>
      <w:numFmt w:val="bullet"/>
      <w:start w:val="1"/>
    </w:lvl>
  </w:abstractNum>
  <w:abstractNum w:abstractNumId="76">
    <w:nsid w:val="3F07ACC3"/>
    <w:multiLevelType w:val="hybridMultilevel"/>
    <w:lvl w:ilvl="0">
      <w:lvlJc w:val="left"/>
      <w:lvlText w:val="•"/>
      <w:numFmt w:val="bullet"/>
      <w:start w:val="1"/>
    </w:lvl>
  </w:abstractNum>
  <w:abstractNum w:abstractNumId="77">
    <w:nsid w:val="6B47F63E"/>
    <w:multiLevelType w:val="hybridMultilevel"/>
    <w:lvl w:ilvl="0">
      <w:lvlJc w:val="left"/>
      <w:lvlText w:val="•"/>
      <w:numFmt w:val="bullet"/>
      <w:start w:val="1"/>
    </w:lvl>
  </w:abstractNum>
  <w:abstractNum w:abstractNumId="78">
    <w:nsid w:val="5CB44A05"/>
    <w:multiLevelType w:val="hybridMultilevel"/>
    <w:lvl w:ilvl="0">
      <w:lvlJc w:val="left"/>
      <w:lvlText w:val="•"/>
      <w:numFmt w:val="bullet"/>
      <w:start w:val="1"/>
    </w:lvl>
  </w:abstractNum>
  <w:abstractNum w:abstractNumId="79">
    <w:nsid w:val="16CF80F1"/>
    <w:multiLevelType w:val="hybridMultilevel"/>
    <w:lvl w:ilvl="0">
      <w:lvlJc w:val="left"/>
      <w:lvlText w:val="•"/>
      <w:numFmt w:val="bullet"/>
      <w:start w:val="1"/>
    </w:lvl>
  </w:abstractNum>
  <w:abstractNum w:abstractNumId="80">
    <w:nsid w:val="1C695DEC"/>
    <w:multiLevelType w:val="hybridMultilevel"/>
    <w:lvl w:ilvl="0">
      <w:lvlJc w:val="left"/>
      <w:lvlText w:val="•"/>
      <w:numFmt w:val="bullet"/>
      <w:start w:val="1"/>
    </w:lvl>
  </w:abstractNum>
  <w:abstractNum w:abstractNumId="81">
    <w:nsid w:val="3FCFAED9"/>
    <w:multiLevelType w:val="hybridMultilevel"/>
    <w:lvl w:ilvl="0">
      <w:lvlJc w:val="left"/>
      <w:lvlText w:val="•"/>
      <w:numFmt w:val="bullet"/>
      <w:start w:val="1"/>
    </w:lvl>
  </w:abstractNum>
  <w:abstractNum w:abstractNumId="82">
    <w:nsid w:val="F856867"/>
    <w:multiLevelType w:val="hybridMultilevel"/>
    <w:lvl w:ilvl="0">
      <w:lvlJc w:val="left"/>
      <w:lvlText w:val="•"/>
      <w:numFmt w:val="bullet"/>
      <w:start w:val="1"/>
    </w:lvl>
  </w:abstractNum>
  <w:abstractNum w:abstractNumId="83">
    <w:nsid w:val="11B1CC33"/>
    <w:multiLevelType w:val="hybridMultilevel"/>
    <w:lvl w:ilvl="0">
      <w:lvlJc w:val="left"/>
      <w:lvlText w:val="•"/>
      <w:numFmt w:val="bullet"/>
      <w:start w:val="1"/>
    </w:lvl>
  </w:abstractNum>
  <w:abstractNum w:abstractNumId="84">
    <w:nsid w:val="2E22FBB7"/>
    <w:multiLevelType w:val="hybridMultilevel"/>
    <w:lvl w:ilvl="0">
      <w:lvlJc w:val="left"/>
      <w:lvlText w:val="•"/>
      <w:numFmt w:val="bullet"/>
      <w:start w:val="1"/>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
      <w:numFmt w:val="bullet"/>
      <w:start w:val="1"/>
    </w:lvl>
  </w:abstractNum>
  <w:abstractNum w:abstractNumId="88">
    <w:nsid w:val="4FA0D2E3"/>
    <w:multiLevelType w:val="hybridMultilevel"/>
    <w:lvl w:ilvl="0">
      <w:lvlJc w:val="left"/>
      <w:lvlText w:val="•"/>
      <w:numFmt w:val="bullet"/>
      <w:start w:val="1"/>
    </w:lvl>
    <w:lvl w:ilvl="1">
      <w:lvlJc w:val="left"/>
      <w:lvlText w:val="•"/>
      <w:numFmt w:val="bullet"/>
      <w:start w:val="1"/>
    </w:lvl>
  </w:abstractNum>
  <w:abstractNum w:abstractNumId="89">
    <w:nsid w:val="6B1D2C14"/>
    <w:multiLevelType w:val="hybridMultilevel"/>
    <w:lvl w:ilvl="0">
      <w:lvlJc w:val="left"/>
      <w:lvlText w:val="(%1)"/>
      <w:numFmt w:val="decimal"/>
      <w:start w:val="1"/>
    </w:lvl>
  </w:abstractNum>
  <w:abstractNum w:abstractNumId="90">
    <w:nsid w:val="68B867D3"/>
    <w:multiLevelType w:val="hybridMultilevel"/>
    <w:lvl w:ilvl="0">
      <w:lvlJc w:val="left"/>
      <w:lvlText w:val="•"/>
      <w:numFmt w:val="bullet"/>
      <w:start w:val="1"/>
    </w:lvl>
  </w:abstractNum>
  <w:abstractNum w:abstractNumId="91">
    <w:nsid w:val="3F7F5DD9"/>
    <w:multiLevelType w:val="hybridMultilevel"/>
    <w:lvl w:ilvl="0">
      <w:lvlJc w:val="left"/>
      <w:lvlText w:val="•"/>
      <w:numFmt w:val="bullet"/>
      <w:start w:val="1"/>
    </w:lvl>
  </w:abstractNum>
  <w:abstractNum w:abstractNumId="92">
    <w:nsid w:val="2AE05A34"/>
    <w:multiLevelType w:val="hybridMultilevel"/>
    <w:lvl w:ilvl="0">
      <w:lvlJc w:val="left"/>
      <w:lvlText w:val="•"/>
      <w:numFmt w:val="bullet"/>
      <w:start w:val="1"/>
    </w:lvl>
  </w:abstractNum>
  <w:abstractNum w:abstractNumId="93">
    <w:nsid w:val="32794FF7"/>
    <w:multiLevelType w:val="hybridMultilevel"/>
    <w:lvl w:ilvl="0">
      <w:lvlJc w:val="left"/>
      <w:lvlText w:val="•"/>
      <w:numFmt w:val="bullet"/>
      <w:start w:val="1"/>
    </w:lvl>
  </w:abstractNum>
  <w:abstractNum w:abstractNumId="94">
    <w:nsid w:val="5454945E"/>
    <w:multiLevelType w:val="hybridMultilevel"/>
    <w:lvl w:ilvl="0">
      <w:lvlJc w:val="left"/>
      <w:lvlText w:val="(%1)"/>
      <w:numFmt w:val="lowerLetter"/>
      <w:start w:val="2"/>
    </w:lvl>
  </w:abstractNum>
  <w:abstractNum w:abstractNumId="95">
    <w:nsid w:val="4DEFDFA0"/>
    <w:multiLevelType w:val="hybridMultilevel"/>
    <w:lvl w:ilvl="0">
      <w:lvlJc w:val="left"/>
      <w:lvlText w:val="•"/>
      <w:numFmt w:val="bullet"/>
      <w:start w:val="1"/>
    </w:lvl>
  </w:abstractNum>
  <w:abstractNum w:abstractNumId="96">
    <w:nsid w:val="2123D5F2"/>
    <w:multiLevelType w:val="hybridMultilevel"/>
    <w:lvl w:ilvl="0">
      <w:lvlJc w:val="left"/>
      <w:lvlText w:val="(%1)"/>
      <w:numFmt w:val="decimal"/>
      <w:start w:val="1"/>
    </w:lvl>
  </w:abstractNum>
  <w:abstractNum w:abstractNumId="97">
    <w:nsid w:val="135B8110"/>
    <w:multiLevelType w:val="hybridMultilevel"/>
    <w:lvl w:ilvl="0">
      <w:lvlJc w:val="left"/>
      <w:lvlText w:val="•"/>
      <w:numFmt w:val="bullet"/>
      <w:start w:val="1"/>
    </w:lvl>
  </w:abstractNum>
  <w:abstractNum w:abstractNumId="98">
    <w:nsid w:val="94927A8"/>
    <w:multiLevelType w:val="hybridMultilevel"/>
    <w:lvl w:ilvl="0">
      <w:lvlJc w:val="left"/>
      <w:lvlText w:val="•"/>
      <w:numFmt w:val="bullet"/>
      <w:start w:val="1"/>
    </w:lvl>
  </w:abstractNum>
  <w:abstractNum w:abstractNumId="99">
    <w:nsid w:val="DCDF8F6"/>
    <w:multiLevelType w:val="hybridMultilevel"/>
    <w:lvl w:ilvl="0">
      <w:lvlJc w:val="left"/>
      <w:lvlText w:val="•"/>
      <w:numFmt w:val="bullet"/>
      <w:start w:val="1"/>
    </w:lvl>
  </w:abstractNum>
  <w:abstractNum w:abstractNumId="100">
    <w:nsid w:val="52D7B105"/>
    <w:multiLevelType w:val="hybridMultilevel"/>
    <w:lvl w:ilvl="0">
      <w:lvlJc w:val="left"/>
      <w:lvlText w:val="•"/>
      <w:numFmt w:val="bullet"/>
      <w:start w:val="1"/>
    </w:lvl>
  </w:abstractNum>
  <w:abstractNum w:abstractNumId="101">
    <w:nsid w:val="2E8A6394"/>
    <w:multiLevelType w:val="hybridMultilevel"/>
    <w:lvl w:ilvl="0">
      <w:lvlJc w:val="left"/>
      <w:lvlText w:val="•"/>
      <w:numFmt w:val="bullet"/>
      <w:start w:val="1"/>
    </w:lvl>
  </w:abstractNum>
  <w:abstractNum w:abstractNumId="102">
    <w:nsid w:val="24E60401"/>
    <w:multiLevelType w:val="hybridMultilevel"/>
    <w:lvl w:ilvl="0">
      <w:lvlJc w:val="left"/>
      <w:lvlText w:val="(%1)"/>
      <w:numFmt w:val="decimal"/>
      <w:start w:val="1"/>
    </w:lvl>
  </w:abstractNum>
  <w:abstractNum w:abstractNumId="103">
    <w:nsid w:val="2A6AD9BE"/>
    <w:multiLevelType w:val="hybridMultilevel"/>
    <w:lvl w:ilvl="0">
      <w:lvlJc w:val="left"/>
      <w:lvlText w:val="(%1)"/>
      <w:numFmt w:val="decimal"/>
      <w:start w:val="1"/>
    </w:lvl>
  </w:abstractNum>
  <w:abstractNum w:abstractNumId="104">
    <w:nsid w:val="BAAC1B4"/>
    <w:multiLevelType w:val="hybridMultilevel"/>
    <w:lvl w:ilvl="0">
      <w:lvlJc w:val="left"/>
      <w:lvlText w:val="(%1)"/>
      <w:numFmt w:val="upperLetter"/>
      <w:start w:val="1"/>
    </w:lvl>
  </w:abstractNum>
  <w:abstractNum w:abstractNumId="105">
    <w:nsid w:val="36B2ACBC"/>
    <w:multiLevelType w:val="hybridMultilevel"/>
    <w:lvl w:ilvl="0">
      <w:lvlJc w:val="left"/>
      <w:lvlText w:val="•"/>
      <w:numFmt w:val="bullet"/>
      <w:start w:val="1"/>
    </w:lvl>
  </w:abstractNum>
  <w:abstractNum w:abstractNumId="106">
    <w:nsid w:val="779D8544"/>
    <w:multiLevelType w:val="hybridMultilevel"/>
    <w:lvl w:ilvl="0">
      <w:lvlJc w:val="left"/>
      <w:lvlText w:val="•"/>
      <w:numFmt w:val="bullet"/>
      <w:start w:val="1"/>
    </w:lvl>
  </w:abstractNum>
  <w:abstractNum w:abstractNumId="107">
    <w:nsid w:val="4AB26E78"/>
    <w:multiLevelType w:val="hybridMultilevel"/>
    <w:lvl w:ilvl="0">
      <w:lvlJc w:val="left"/>
      <w:lvlText w:val="(%1)"/>
      <w:numFmt w:val="decimal"/>
      <w:start w:val="1"/>
    </w:lvl>
  </w:abstractNum>
  <w:abstractNum w:abstractNumId="108">
    <w:nsid w:val="21FAA2FA"/>
    <w:multiLevelType w:val="hybridMultilevel"/>
    <w:lvl w:ilvl="0">
      <w:lvlJc w:val="left"/>
      <w:lvlText w:val="•"/>
      <w:numFmt w:val="bullet"/>
      <w:start w:val="1"/>
    </w:lvl>
  </w:abstractNum>
  <w:abstractNum w:abstractNumId="109">
    <w:nsid w:val="5451CF49"/>
    <w:multiLevelType w:val="hybridMultilevel"/>
    <w:lvl w:ilvl="0">
      <w:lvlJc w:val="left"/>
      <w:lvlText w:val="(%1)"/>
      <w:numFmt w:val="decimal"/>
      <w:start w:val="1"/>
    </w:lvl>
  </w:abstractNum>
  <w:abstractNum w:abstractNumId="110">
    <w:nsid w:val="6181EF69"/>
    <w:multiLevelType w:val="hybridMultilevel"/>
    <w:lvl w:ilvl="0">
      <w:lvlJc w:val="left"/>
      <w:lvlText w:val="(%1)"/>
      <w:numFmt w:val="decimal"/>
      <w:start w:val="4"/>
    </w:lvl>
  </w:abstractNum>
  <w:abstractNum w:abstractNumId="111">
    <w:nsid w:val="3E6400E6"/>
    <w:multiLevelType w:val="hybridMultilevel"/>
    <w:lvl w:ilvl="0">
      <w:lvlJc w:val="left"/>
      <w:lvlText w:val="•"/>
      <w:numFmt w:val="bullet"/>
      <w:start w:val="1"/>
    </w:lvl>
  </w:abstractNum>
  <w:abstractNum w:abstractNumId="112">
    <w:nsid w:val="14217E23"/>
    <w:multiLevelType w:val="hybridMultilevel"/>
    <w:lvl w:ilvl="0">
      <w:lvlJc w:val="left"/>
      <w:lvlText w:val="*"/>
      <w:numFmt w:val="bullet"/>
      <w:start w:val="1"/>
    </w:lvl>
  </w:abstractNum>
  <w:abstractNum w:abstractNumId="113">
    <w:nsid w:val="710757D0"/>
    <w:multiLevelType w:val="hybridMultilevel"/>
    <w:lvl w:ilvl="0">
      <w:lvlJc w:val="left"/>
      <w:lvlText w:val="(%1)"/>
      <w:numFmt w:val="decimal"/>
      <w:start w:val="1"/>
    </w:lvl>
  </w:abstractNum>
  <w:abstractNum w:abstractNumId="114">
    <w:nsid w:val="5015CD1A"/>
    <w:multiLevelType w:val="hybridMultilevel"/>
    <w:lvl w:ilvl="0">
      <w:lvlJc w:val="left"/>
      <w:lvlText w:val="(%1)"/>
      <w:numFmt w:val="decimal"/>
      <w:start w:val="3"/>
    </w:lvl>
    <w:lvl w:ilvl="1">
      <w:lvlJc w:val="left"/>
      <w:lvlText w:val="(%2)"/>
      <w:numFmt w:val="lowerRoman"/>
      <w:start w:val="4"/>
    </w:lvl>
  </w:abstractNum>
  <w:abstractNum w:abstractNumId="115">
    <w:nsid w:val="424479DA"/>
    <w:multiLevelType w:val="hybridMultilevel"/>
    <w:lvl w:ilvl="0">
      <w:lvlJc w:val="left"/>
      <w:lvlText w:val="%1"/>
      <w:numFmt w:val="decimal"/>
      <w:start w:val="1"/>
    </w:lvl>
    <w:lvl w:ilvl="1">
      <w:lvlJc w:val="left"/>
      <w:lvlText w:val="(%2)"/>
      <w:numFmt w:val="lowerRoman"/>
      <w:start w:val="3"/>
    </w:lvl>
  </w:abstractNum>
  <w:abstractNum w:abstractNumId="116">
    <w:nsid w:val="1A9A9E69"/>
    <w:multiLevelType w:val="hybridMultilevel"/>
    <w:lvl w:ilvl="0">
      <w:lvlJc w:val="left"/>
      <w:lvlText w:val="(%1)"/>
      <w:numFmt w:val="decimal"/>
      <w:start w:val="7"/>
    </w:lvl>
    <w:lvl w:ilvl="1">
      <w:lvlJc w:val="left"/>
      <w:lvlText w:val="%2"/>
      <w:numFmt w:val="lowerRoman"/>
      <w:start w:val="1"/>
    </w:lvl>
  </w:abstractNum>
  <w:abstractNum w:abstractNumId="117">
    <w:nsid w:val="475E256A"/>
    <w:multiLevelType w:val="hybridMultilevel"/>
    <w:lvl w:ilvl="0">
      <w:lvlJc w:val="left"/>
      <w:lvlText w:val="•"/>
      <w:numFmt w:val="bullet"/>
      <w:start w:val="1"/>
    </w:lvl>
  </w:abstractNum>
  <w:abstractNum w:abstractNumId="118">
    <w:nsid w:val="368DB37E"/>
    <w:multiLevelType w:val="hybridMultilevel"/>
    <w:lvl w:ilvl="0">
      <w:lvlJc w:val="left"/>
      <w:lvlText w:val="•"/>
      <w:numFmt w:val="bullet"/>
      <w:start w:val="1"/>
    </w:lvl>
  </w:abstractNum>
  <w:abstractNum w:abstractNumId="119">
    <w:nsid w:val="6A3B714C"/>
    <w:multiLevelType w:val="hybridMultilevel"/>
    <w:lvl w:ilvl="0">
      <w:lvlJc w:val="left"/>
      <w:lvlText w:val="•"/>
      <w:numFmt w:val="bullet"/>
      <w:start w:val="1"/>
    </w:lvl>
  </w:abstractNum>
  <w:abstractNum w:abstractNumId="120">
    <w:nsid w:val="327B517E"/>
    <w:multiLevelType w:val="hybridMultilevel"/>
    <w:lvl w:ilvl="0">
      <w:lvlJc w:val="left"/>
      <w:lvlText w:val="•"/>
      <w:numFmt w:val="bullet"/>
      <w:start w:val="1"/>
    </w:lvl>
  </w:abstractNum>
  <w:abstractNum w:abstractNumId="121">
    <w:nsid w:val="1F461B51"/>
    <w:multiLevelType w:val="hybridMultilevel"/>
    <w:lvl w:ilvl="0">
      <w:lvlJc w:val="left"/>
      <w:lvlText w:val="(%1)"/>
      <w:numFmt w:val="lowerRoman"/>
      <w:start w:val="2"/>
    </w:lvl>
  </w:abstractNum>
  <w:abstractNum w:abstractNumId="122">
    <w:nsid w:val="29BACF25"/>
    <w:multiLevelType w:val="hybridMultilevel"/>
    <w:lvl w:ilvl="0">
      <w:lvlJc w:val="left"/>
      <w:lvlText w:val="•"/>
      <w:numFmt w:val="bullet"/>
      <w:start w:val="1"/>
    </w:lvl>
  </w:abstractNum>
  <w:abstractNum w:abstractNumId="123">
    <w:nsid w:val="5D5BABB3"/>
    <w:multiLevelType w:val="hybridMultilevel"/>
    <w:lvl w:ilvl="0">
      <w:lvlJc w:val="left"/>
      <w:lvlText w:val="•"/>
      <w:numFmt w:val="bullet"/>
      <w:start w:val="1"/>
    </w:lvl>
  </w:abstractNum>
  <w:abstractNum w:abstractNumId="124">
    <w:nsid w:val="51BF6B48"/>
    <w:multiLevelType w:val="hybridMultilevel"/>
    <w:lvl w:ilvl="0">
      <w:lvlJc w:val="left"/>
      <w:lvlText w:val="•"/>
      <w:numFmt w:val="bullet"/>
      <w:start w:val="1"/>
    </w:lvl>
  </w:abstractNum>
  <w:abstractNum w:abstractNumId="125">
    <w:nsid w:val="7E0F6384"/>
    <w:multiLevelType w:val="hybridMultilevel"/>
    <w:lvl w:ilvl="0">
      <w:lvlJc w:val="left"/>
      <w:lvlText w:val="•"/>
      <w:numFmt w:val="bullet"/>
      <w:start w:val="1"/>
    </w:lvl>
  </w:abstractNum>
  <w:abstractNum w:abstractNumId="126">
    <w:nsid w:val="2B4B8B53"/>
    <w:multiLevelType w:val="hybridMultilevel"/>
    <w:lvl w:ilvl="0">
      <w:lvlJc w:val="left"/>
      <w:lvlText w:val="(%1)"/>
      <w:numFmt w:val="lowerLetter"/>
      <w:start w:val="1"/>
    </w:lvl>
  </w:abstractNum>
  <w:abstractNum w:abstractNumId="127">
    <w:nsid w:val="72E3413A"/>
    <w:multiLevelType w:val="hybridMultilevel"/>
    <w:lvl w:ilvl="0">
      <w:lvlJc w:val="left"/>
      <w:lvlText w:val="(%1)"/>
      <w:numFmt w:val="lowerLetter"/>
      <w:start w:val="2"/>
    </w:lvl>
  </w:abstractNum>
  <w:abstractNum w:abstractNumId="128">
    <w:nsid w:val="116AE494"/>
    <w:multiLevelType w:val="hybridMultilevel"/>
    <w:lvl w:ilvl="0">
      <w:lvlJc w:val="left"/>
      <w:lvlText w:val="(%1)"/>
      <w:numFmt w:val="lowerLetter"/>
      <w:start w:val="1"/>
    </w:lvl>
    <w:lvl w:ilvl="1">
      <w:lvlJc w:val="left"/>
      <w:lvlText w:val="(%2)"/>
      <w:numFmt w:val="decimal"/>
      <w:start w:val="1"/>
    </w:lvl>
  </w:abstractNum>
  <w:abstractNum w:abstractNumId="129">
    <w:nsid w:val="3494B2FB"/>
    <w:multiLevelType w:val="hybridMultilevel"/>
    <w:lvl w:ilvl="0">
      <w:lvlJc w:val="left"/>
      <w:lvlText w:val="%1."/>
      <w:numFmt w:val="decimal"/>
      <w:start w:val="2"/>
    </w:lvl>
  </w:abstractNum>
  <w:abstractNum w:abstractNumId="130">
    <w:nsid w:val="B13A31"/>
    <w:multiLevelType w:val="hybridMultilevel"/>
    <w:lvl w:ilvl="0">
      <w:lvlJc w:val="left"/>
      <w:lvlText w:val="•"/>
      <w:numFmt w:val="bullet"/>
      <w:start w:val="1"/>
    </w:lvl>
  </w:abstractNum>
  <w:abstractNum w:abstractNumId="131">
    <w:nsid w:val="64429599"/>
    <w:multiLevelType w:val="hybridMultilevel"/>
    <w:lvl w:ilvl="0">
      <w:lvlJc w:val="left"/>
      <w:lvlText w:val="(%1)"/>
      <w:numFmt w:val="lowerRoman"/>
      <w:start w:val="2"/>
    </w:lvl>
  </w:abstractNum>
  <w:abstractNum w:abstractNumId="132">
    <w:nsid w:val="631F1690"/>
    <w:multiLevelType w:val="hybridMultilevel"/>
    <w:lvl w:ilvl="0">
      <w:lvlJc w:val="left"/>
      <w:lvlText w:val="%1."/>
      <w:numFmt w:val="decimal"/>
      <w:start w:val="12"/>
    </w:lvl>
  </w:abstractNum>
  <w:abstractNum w:abstractNumId="133">
    <w:nsid w:val="25973E32"/>
    <w:multiLevelType w:val="hybridMultilevel"/>
    <w:lvl w:ilvl="0">
      <w:lvlJc w:val="left"/>
      <w:lvlText w:val="*"/>
      <w:numFmt w:val="bullet"/>
      <w:start w:val="1"/>
    </w:lvl>
  </w:abstractNum>
  <w:abstractNum w:abstractNumId="134">
    <w:nsid w:val="EAD6F57"/>
    <w:multiLevelType w:val="hybridMultilevel"/>
    <w:lvl w:ilvl="0">
      <w:lvlJc w:val="left"/>
      <w:lvlText w:val="*"/>
      <w:numFmt w:val="bullet"/>
      <w:start w:val="1"/>
    </w:lvl>
  </w:abstractNum>
  <w:abstractNum w:abstractNumId="135">
    <w:nsid w:val="6EC9D844"/>
    <w:multiLevelType w:val="hybridMultilevel"/>
    <w:lvl w:ilvl="0">
      <w:lvlJc w:val="left"/>
      <w:lvlText w:val="(%1)"/>
      <w:numFmt w:val="lowerLetter"/>
      <w:start w:val="1"/>
    </w:lvl>
    <w:lvl w:ilvl="1">
      <w:lvlJc w:val="left"/>
      <w:lvlText w:val="†"/>
      <w:numFmt w:val="bullet"/>
      <w:start w:val="1"/>
    </w:lvl>
  </w:abstractNum>
  <w:abstractNum w:abstractNumId="136">
    <w:nsid w:val="5C49EAEE"/>
    <w:multiLevelType w:val="hybridMultilevel"/>
    <w:lvl w:ilvl="0">
      <w:lvlJc w:val="left"/>
      <w:lvlText w:val="(%1)"/>
      <w:numFmt w:val="decimal"/>
      <w:start w:val="1"/>
    </w:lvl>
  </w:abstractNum>
  <w:abstractNum w:abstractNumId="137">
    <w:nsid w:val="64AF49B"/>
    <w:multiLevelType w:val="hybridMultilevel"/>
    <w:lvl w:ilvl="0">
      <w:lvlJc w:val="left"/>
      <w:lvlText w:val="*"/>
      <w:numFmt w:val="bullet"/>
      <w:start w:val="1"/>
    </w:lvl>
  </w:abstractNum>
  <w:abstractNum w:abstractNumId="138">
    <w:nsid w:val="397C46BC"/>
    <w:multiLevelType w:val="hybridMultilevel"/>
    <w:lvl w:ilvl="0">
      <w:lvlJc w:val="left"/>
      <w:lvlText w:val="†"/>
      <w:numFmt w:val="bullet"/>
      <w:start w:val="1"/>
    </w:lvl>
  </w:abstractNum>
  <w:abstractNum w:abstractNumId="139">
    <w:nsid w:val="7E448DE9"/>
    <w:multiLevelType w:val="hybridMultilevel"/>
    <w:lvl w:ilvl="0">
      <w:lvlJc w:val="left"/>
      <w:lvlText w:val="%1."/>
      <w:numFmt w:val="decimal"/>
      <w:start w:val="1"/>
    </w:lvl>
  </w:abstractNum>
  <w:abstractNum w:abstractNumId="140">
    <w:nsid w:val="5A9CC3E5"/>
    <w:multiLevelType w:val="hybridMultilevel"/>
    <w:lvl w:ilvl="0">
      <w:lvlJc w:val="left"/>
      <w:lvlText w:val="(%1)"/>
      <w:numFmt w:val="lowerLetter"/>
      <w:start w:val="1"/>
    </w:lvl>
  </w:abstractNum>
  <w:abstractNum w:abstractNumId="141">
    <w:nsid w:val="1AFE3625"/>
    <w:multiLevelType w:val="hybridMultilevel"/>
    <w:lvl w:ilvl="0">
      <w:lvlJc w:val="left"/>
      <w:lvlText w:val="(%1)"/>
      <w:numFmt w:val="decimal"/>
      <w:start w:val="10"/>
    </w:lvl>
  </w:abstractNum>
  <w:abstractNum w:abstractNumId="142">
    <w:nsid w:val="3CA88ECF"/>
    <w:multiLevelType w:val="hybridMultilevel"/>
    <w:lvl w:ilvl="0">
      <w:lvlJc w:val="left"/>
      <w:lvlText w:val="(%1)"/>
      <w:numFmt w:val="lowerRoman"/>
      <w:start w:val="2"/>
    </w:lvl>
  </w:abstractNum>
  <w:abstractNum w:abstractNumId="143">
    <w:nsid w:val="6EBE4208"/>
    <w:multiLevelType w:val="hybridMultilevel"/>
    <w:lvl w:ilvl="0">
      <w:lvlJc w:val="left"/>
      <w:lvlText w:val="%1."/>
      <w:numFmt w:val="decimal"/>
      <w:start w:val="2"/>
    </w:lvl>
    <w:lvl w:ilvl="1">
      <w:lvlJc w:val="left"/>
      <w:lvlText w:val="(%2)"/>
      <w:numFmt w:val="lowerLetter"/>
      <w:start w:val="1"/>
    </w:lvl>
  </w:abstractNum>
  <w:abstractNum w:abstractNumId="144">
    <w:nsid w:val="C058DF5"/>
    <w:multiLevelType w:val="hybridMultilevel"/>
    <w:lvl w:ilvl="0">
      <w:lvlJc w:val="left"/>
      <w:lvlText w:val="(%1)"/>
      <w:numFmt w:val="lowerLetter"/>
      <w:start w:val="2"/>
    </w:lvl>
  </w:abstractNum>
  <w:abstractNum w:abstractNumId="145">
    <w:nsid w:val="CBE5BE9"/>
    <w:multiLevelType w:val="hybridMultilevel"/>
    <w:lvl w:ilvl="0">
      <w:lvlJc w:val="left"/>
      <w:lvlText w:val="%1."/>
      <w:numFmt w:val="decimal"/>
      <w:start w:val="3"/>
    </w:lvl>
    <w:lvl w:ilvl="1">
      <w:lvlJc w:val="left"/>
      <w:lvlText w:val="(%2)"/>
      <w:numFmt w:val="lowerLetter"/>
      <w:start w:val="1"/>
    </w:lvl>
  </w:abstractNum>
  <w:abstractNum w:abstractNumId="146">
    <w:nsid w:val="3102BBE2"/>
    <w:multiLevelType w:val="hybridMultilevel"/>
    <w:lvl w:ilvl="0">
      <w:lvlJc w:val="left"/>
      <w:lvlText w:val="(%1)"/>
      <w:numFmt w:val="lowerLetter"/>
      <w:start w:val="7"/>
    </w:lvl>
  </w:abstractNum>
  <w:abstractNum w:abstractNumId="147">
    <w:nsid w:val="26A02C5E"/>
    <w:multiLevelType w:val="hybridMultilevel"/>
    <w:lvl w:ilvl="0">
      <w:lvlJc w:val="left"/>
      <w:lvlText w:val="(%1)"/>
      <w:numFmt w:val="lowerLetter"/>
      <w:start w:val="8"/>
    </w:lvl>
  </w:abstractNum>
  <w:abstractNum w:abstractNumId="148">
    <w:nsid w:val="541C8153"/>
    <w:multiLevelType w:val="hybridMultilevel"/>
    <w:lvl w:ilvl="0">
      <w:lvlJc w:val="left"/>
      <w:lvlText w:val="(%1)"/>
      <w:numFmt w:val="lowerLetter"/>
      <w:start w:val="1"/>
    </w:lvl>
    <w:lvl w:ilvl="1">
      <w:lvlJc w:val="left"/>
      <w:lvlText w:val="(%2)"/>
      <w:numFmt w:val="lowerRoman"/>
      <w:start w:val="1"/>
    </w:lvl>
  </w:abstractNum>
  <w:abstractNum w:abstractNumId="149">
    <w:nsid w:val="67906F60"/>
    <w:multiLevelType w:val="hybridMultilevel"/>
    <w:lvl w:ilvl="0">
      <w:lvlJc w:val="left"/>
      <w:lvlText w:val="(%1)"/>
      <w:numFmt w:val="lowerLetter"/>
      <w:start w:val="3"/>
    </w:lvl>
  </w:abstractNum>
  <w:abstractNum w:abstractNumId="150">
    <w:nsid w:val="10DB9DAA"/>
    <w:multiLevelType w:val="hybridMultilevel"/>
    <w:lvl w:ilvl="0">
      <w:lvlJc w:val="left"/>
      <w:lvlText w:val="(%1)"/>
      <w:numFmt w:val="lowerLetter"/>
      <w:start w:val="1"/>
    </w:lvl>
  </w:abstractNum>
  <w:abstractNum w:abstractNumId="151">
    <w:nsid w:val="697D2D2"/>
    <w:multiLevelType w:val="hybridMultilevel"/>
    <w:lvl w:ilvl="0">
      <w:lvlJc w:val="left"/>
      <w:lvlText w:val="(%1)"/>
      <w:numFmt w:val="lowerLetter"/>
      <w:start w:val="2"/>
    </w:lvl>
  </w:abstractNum>
  <w:abstractNum w:abstractNumId="152">
    <w:nsid w:val="6D68AB2"/>
    <w:multiLevelType w:val="hybridMultilevel"/>
    <w:lvl w:ilvl="0">
      <w:lvlJc w:val="left"/>
      <w:lvlText w:val="(%1)"/>
      <w:numFmt w:val="lowerLetter"/>
      <w:start w:val="3"/>
    </w:lvl>
  </w:abstractNum>
  <w:abstractNum w:abstractNumId="153">
    <w:nsid w:val="3A966CD0"/>
    <w:multiLevelType w:val="hybridMultilevel"/>
    <w:lvl w:ilvl="0">
      <w:lvlJc w:val="left"/>
      <w:lvlText w:val="(%1)"/>
      <w:numFmt w:val="lowerLetter"/>
      <w:start w:val="1"/>
    </w:lvl>
  </w:abstractNum>
  <w:abstractNum w:abstractNumId="154">
    <w:nsid w:val="63F37E85"/>
    <w:multiLevelType w:val="hybridMultilevel"/>
    <w:lvl w:ilvl="0">
      <w:lvlJc w:val="left"/>
      <w:lvlText w:val="(%1)"/>
      <w:numFmt w:val="lowerLetter"/>
      <w:start w:val="1"/>
    </w:lvl>
  </w:abstractNum>
  <w:abstractNum w:abstractNumId="155">
    <w:nsid w:val="5895F5FA"/>
    <w:multiLevelType w:val="hybridMultilevel"/>
    <w:lvl w:ilvl="0">
      <w:lvlJc w:val="left"/>
      <w:lvlText w:val="(%1)"/>
      <w:numFmt w:val="lowerLetter"/>
      <w:start w:val="2"/>
    </w:lvl>
  </w:abstractNum>
  <w:abstractNum w:abstractNumId="156">
    <w:nsid w:val="38A5D054"/>
    <w:multiLevelType w:val="hybridMultilevel"/>
    <w:lvl w:ilvl="0">
      <w:lvlJc w:val="left"/>
      <w:lvlText w:val="(%1)"/>
      <w:numFmt w:val="lowerLetter"/>
      <w:start w:val="8"/>
    </w:lvl>
  </w:abstractNum>
  <w:abstractNum w:abstractNumId="157">
    <w:nsid w:val="F3F09D8"/>
    <w:multiLevelType w:val="hybridMultilevel"/>
    <w:lvl w:ilvl="0">
      <w:lvlJc w:val="left"/>
      <w:lvlText w:val="(%1)"/>
      <w:numFmt w:val="lowerLetter"/>
      <w:start w:val="1"/>
    </w:lvl>
  </w:abstractNum>
  <w:abstractNum w:abstractNumId="158">
    <w:nsid w:val="4B793735"/>
    <w:multiLevelType w:val="hybridMultilevel"/>
    <w:lvl w:ilvl="0">
      <w:lvlJc w:val="left"/>
      <w:lvlText w:val="(%1)"/>
      <w:numFmt w:val="lowerLetter"/>
      <w:start w:val="3"/>
    </w:lvl>
  </w:abstractNum>
  <w:abstractNum w:abstractNumId="159">
    <w:nsid w:val="4A10B4E8"/>
    <w:multiLevelType w:val="hybridMultilevel"/>
    <w:lvl w:ilvl="0">
      <w:lvlJc w:val="left"/>
      <w:lvlText w:val="(%1)"/>
      <w:numFmt w:val="lowerLetter"/>
      <w:start w:val="5"/>
    </w:lvl>
  </w:abstractNum>
  <w:abstractNum w:abstractNumId="160">
    <w:nsid w:val="43D3BCD4"/>
    <w:multiLevelType w:val="hybridMultilevel"/>
    <w:lvl w:ilvl="0">
      <w:lvlJc w:val="left"/>
      <w:lvlText w:val="(%1)"/>
      <w:numFmt w:val="lowerLetter"/>
      <w:start w:val="1"/>
    </w:lvl>
  </w:abstractNum>
  <w:abstractNum w:abstractNumId="161">
    <w:nsid w:val="4C2A7166"/>
    <w:multiLevelType w:val="hybridMultilevel"/>
    <w:lvl w:ilvl="0">
      <w:lvlJc w:val="left"/>
      <w:lvlText w:val="%1."/>
      <w:numFmt w:val="decimal"/>
      <w:start w:val="4"/>
    </w:lvl>
    <w:lvl w:ilvl="1">
      <w:lvlJc w:val="left"/>
      <w:lvlText w:val="(%2)"/>
      <w:numFmt w:val="lowerLetter"/>
      <w:start w:val="1"/>
    </w:lvl>
  </w:abstractNum>
  <w:abstractNum w:abstractNumId="162">
    <w:nsid w:val="2E534A82"/>
    <w:multiLevelType w:val="hybridMultilevel"/>
    <w:lvl w:ilvl="0">
      <w:lvlJc w:val="left"/>
      <w:lvlText w:val="(%1)"/>
      <w:numFmt w:val="lowerLetter"/>
      <w:start w:val="3"/>
    </w:lvl>
  </w:abstractNum>
  <w:abstractNum w:abstractNumId="163">
    <w:nsid w:val="26F2D364"/>
    <w:multiLevelType w:val="hybridMultilevel"/>
    <w:lvl w:ilvl="0">
      <w:lvlJc w:val="left"/>
      <w:lvlText w:val="%1."/>
      <w:numFmt w:val="decimal"/>
      <w:start w:val="5"/>
    </w:lvl>
  </w:abstractNum>
  <w:abstractNum w:abstractNumId="164">
    <w:nsid w:val="71C1AF98"/>
    <w:multiLevelType w:val="hybridMultilevel"/>
    <w:lvl w:ilvl="0">
      <w:lvlJc w:val="left"/>
      <w:lvlText w:val="(%1)"/>
      <w:numFmt w:val="lowerRoman"/>
      <w:start w:val="1"/>
    </w:lvl>
  </w:abstractNum>
  <w:abstractNum w:abstractNumId="165">
    <w:nsid w:val="3D00B9D9"/>
    <w:multiLevelType w:val="hybridMultilevel"/>
    <w:lvl w:ilvl="0">
      <w:lvlJc w:val="left"/>
      <w:lvlText w:val="(%1)"/>
      <w:numFmt w:val="lowerLetter"/>
      <w:start w:val="1"/>
    </w:lvl>
    <w:lvl w:ilvl="1">
      <w:lvlJc w:val="left"/>
      <w:lvlText w:val="(%2)"/>
      <w:numFmt w:val="lowerRoman"/>
      <w:start w:val="1"/>
    </w:lvl>
  </w:abstractNum>
  <w:abstractNum w:abstractNumId="166">
    <w:nsid w:val="15BCABA8"/>
    <w:multiLevelType w:val="hybridMultilevel"/>
    <w:lvl w:ilvl="0">
      <w:lvlJc w:val="left"/>
      <w:lvlText w:val="(%1)"/>
      <w:numFmt w:val="lowerLetter"/>
      <w:start w:val="2"/>
    </w:lvl>
  </w:abstractNum>
  <w:abstractNum w:abstractNumId="167">
    <w:nsid w:val="4E0B9A87"/>
    <w:multiLevelType w:val="hybridMultilevel"/>
    <w:lvl w:ilvl="0">
      <w:lvlJc w:val="left"/>
      <w:lvlText w:val="(%1)"/>
      <w:numFmt w:val="lowerLetter"/>
      <w:start w:val="1"/>
    </w:lvl>
    <w:lvl w:ilvl="1">
      <w:lvlJc w:val="left"/>
      <w:lvlText w:val="(%2)"/>
      <w:numFmt w:val="lowerRoman"/>
      <w:start w:val="1"/>
    </w:lvl>
  </w:abstractNum>
  <w:abstractNum w:abstractNumId="168">
    <w:nsid w:val="434BAE75"/>
    <w:multiLevelType w:val="hybridMultilevel"/>
    <w:lvl w:ilvl="0">
      <w:lvlJc w:val="left"/>
      <w:lvlText w:val="(%1)"/>
      <w:numFmt w:val="decimal"/>
      <w:start w:val="15"/>
    </w:lvl>
  </w:abstractNum>
  <w:abstractNum w:abstractNumId="169">
    <w:nsid w:val="4F38F265"/>
    <w:multiLevelType w:val="hybridMultilevel"/>
    <w:lvl w:ilvl="0">
      <w:lvlJc w:val="left"/>
      <w:lvlText w:val="(%1)"/>
      <w:numFmt w:val="decimal"/>
      <w:start w:val="10"/>
    </w:lvl>
    <w:lvl w:ilvl="1">
      <w:lvlJc w:val="left"/>
      <w:lvlText w:val="(%2)"/>
      <w:numFmt w:val="lowerLetter"/>
      <w:start w:val="2"/>
    </w:lvl>
  </w:abstractNum>
  <w:abstractNum w:abstractNumId="170">
    <w:nsid w:val="4C502870"/>
    <w:multiLevelType w:val="hybridMultilevel"/>
    <w:lvl w:ilvl="0">
      <w:lvlJc w:val="left"/>
      <w:lvlText w:val="%1."/>
      <w:numFmt w:val="decimal"/>
      <w:start w:val="6"/>
    </w:lvl>
  </w:abstractNum>
  <w:abstractNum w:abstractNumId="171">
    <w:nsid w:val="1DE8725A"/>
    <w:multiLevelType w:val="hybridMultilevel"/>
    <w:lvl w:ilvl="0">
      <w:lvlJc w:val="left"/>
      <w:lvlText w:val="(%1)"/>
      <w:numFmt w:val="lowerRoman"/>
      <w:start w:val="1"/>
    </w:lvl>
  </w:abstractNum>
  <w:abstractNum w:abstractNumId="172">
    <w:nsid w:val="6A37288A"/>
    <w:multiLevelType w:val="hybridMultilevel"/>
    <w:lvl w:ilvl="0">
      <w:lvlJc w:val="left"/>
      <w:lvlText w:val="(%1)"/>
      <w:numFmt w:val="lowerRoman"/>
      <w:start w:val="4"/>
    </w:lvl>
  </w:abstractNum>
  <w:abstractNum w:abstractNumId="173">
    <w:nsid w:val="8F8B73F"/>
    <w:multiLevelType w:val="hybridMultilevel"/>
    <w:lvl w:ilvl="0">
      <w:lvlJc w:val="left"/>
      <w:lvlText w:val="-"/>
      <w:numFmt w:val="bullet"/>
      <w:start w:val="1"/>
    </w:lvl>
  </w:abstractNum>
  <w:abstractNum w:abstractNumId="174">
    <w:nsid w:val="CA6B462"/>
    <w:multiLevelType w:val="hybridMultilevel"/>
    <w:lvl w:ilvl="0">
      <w:lvlJc w:val="left"/>
      <w:lvlText w:val="-"/>
      <w:numFmt w:val="bullet"/>
      <w:start w:val="1"/>
    </w:lvl>
  </w:abstractNum>
  <w:abstractNum w:abstractNumId="175">
    <w:nsid w:val="763CB680"/>
    <w:multiLevelType w:val="hybridMultilevel"/>
    <w:lvl w:ilvl="0">
      <w:lvlJc w:val="left"/>
      <w:lvlText w:val="-"/>
      <w:numFmt w:val="bullet"/>
      <w:start w:val="1"/>
    </w:lvl>
  </w:abstractNum>
  <w:abstractNum w:abstractNumId="176">
    <w:nsid w:val="15B71329"/>
    <w:multiLevelType w:val="hybridMultilevel"/>
    <w:lvl w:ilvl="0">
      <w:lvlJc w:val="left"/>
      <w:lvlText w:val="(%1)"/>
      <w:numFmt w:val="decimal"/>
      <w:start w:val="5"/>
    </w:lvl>
  </w:abstractNum>
  <w:abstractNum w:abstractNumId="177">
    <w:nsid w:val="3DA97044"/>
    <w:multiLevelType w:val="hybridMultilevel"/>
    <w:lvl w:ilvl="0">
      <w:lvlJc w:val="left"/>
      <w:lvlText w:val="%1."/>
      <w:numFmt w:val="decimal"/>
      <w:start w:val="1"/>
    </w:lvl>
    <w:lvl w:ilvl="1">
      <w:lvlJc w:val="left"/>
      <w:lvlText w:val="(%2)"/>
      <w:numFmt w:val="lowerLetter"/>
      <w:start w:val="1"/>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decimal"/>
      <w:start w:val="1"/>
    </w:lvl>
    <w:lvl w:ilvl="1">
      <w:lvlJc w:val="left"/>
      <w:lvlText w:val="(%2)"/>
      <w:numFmt w:val="lowerLetter"/>
      <w:start w:val="3"/>
    </w:lvl>
  </w:abstractNum>
  <w:abstractNum w:abstractNumId="180">
    <w:nsid w:val="2539DFA5"/>
    <w:multiLevelType w:val="hybridMultilevel"/>
    <w:lvl w:ilvl="0">
      <w:lvlJc w:val="left"/>
      <w:lvlText w:val="%1."/>
      <w:numFmt w:val="decimal"/>
      <w:start w:val="5"/>
    </w:lvl>
    <w:lvl w:ilvl="1">
      <w:lvlJc w:val="left"/>
      <w:lvlText w:val="%2"/>
      <w:numFmt w:val="lowerLetter"/>
      <w:start w:val="1"/>
    </w:lvl>
  </w:abstractNum>
  <w:abstractNum w:abstractNumId="181">
    <w:nsid w:val="2DB88089"/>
    <w:multiLevelType w:val="hybridMultilevel"/>
    <w:lvl w:ilvl="0">
      <w:lvlJc w:val="left"/>
      <w:lvlText w:val="%1."/>
      <w:numFmt w:val="decimal"/>
      <w:start w:val="6"/>
    </w:lvl>
    <w:lvl w:ilvl="1">
      <w:lvlJc w:val="left"/>
      <w:lvlText w:val="(%2)"/>
      <w:numFmt w:val="lowerLetter"/>
      <w:start w:val="1"/>
    </w:lvl>
  </w:abstractNum>
  <w:abstractNum w:abstractNumId="182">
    <w:nsid w:val="706B674E"/>
    <w:multiLevelType w:val="hybridMultilevel"/>
    <w:lvl w:ilvl="0">
      <w:lvlJc w:val="left"/>
      <w:lvlText w:val="%1"/>
      <w:numFmt w:val="decimal"/>
      <w:start w:val="1"/>
    </w:lvl>
    <w:lvl w:ilvl="1">
      <w:lvlJc w:val="left"/>
      <w:lvlText w:val="(%2)"/>
      <w:numFmt w:val="lowerLetter"/>
      <w:start w:val="2"/>
    </w:lvl>
  </w:abstractNum>
  <w:abstractNum w:abstractNumId="183">
    <w:nsid w:val="2C106A57"/>
    <w:multiLevelType w:val="hybridMultilevel"/>
    <w:lvl w:ilvl="0">
      <w:lvlJc w:val="left"/>
      <w:lvlText w:val="%1."/>
      <w:numFmt w:val="decimal"/>
      <w:start w:val="8"/>
    </w:lvl>
    <w:lvl w:ilvl="1">
      <w:lvlJc w:val="left"/>
      <w:lvlText w:val="%2"/>
      <w:numFmt w:val="lowerLetter"/>
      <w:start w:val="1"/>
    </w:lvl>
  </w:abstractNum>
  <w:abstractNum w:abstractNumId="184">
    <w:nsid w:val="684EED59"/>
    <w:multiLevelType w:val="hybridMultilevel"/>
    <w:lvl w:ilvl="0">
      <w:lvlJc w:val="left"/>
      <w:lvlText w:val="%1."/>
      <w:numFmt w:val="decimal"/>
      <w:start w:val="10"/>
    </w:lvl>
  </w:abstractNum>
  <w:abstractNum w:abstractNumId="185">
    <w:nsid w:val="545EE5D3"/>
    <w:multiLevelType w:val="hybridMultilevel"/>
    <w:lvl w:ilvl="0">
      <w:lvlJc w:val="left"/>
      <w:lvlText w:val="%1."/>
      <w:numFmt w:val="decimal"/>
      <w:start w:val="12"/>
    </w:lvl>
  </w:abstractNum>
  <w:abstractNum w:abstractNumId="186">
    <w:nsid w:val="4A66051"/>
    <w:multiLevelType w:val="hybridMultilevel"/>
    <w:lvl w:ilvl="0">
      <w:lvlJc w:val="left"/>
      <w:lvlText w:val="%1."/>
      <w:numFmt w:val="decimal"/>
      <w:start w:val="13"/>
    </w:lvl>
  </w:abstractNum>
  <w:abstractNum w:abstractNumId="187">
    <w:nsid w:val="20F4BDAD"/>
    <w:multiLevelType w:val="hybridMultilevel"/>
    <w:lvl w:ilvl="0">
      <w:lvlJc w:val="left"/>
      <w:lvlText w:val="%1."/>
      <w:numFmt w:val="decimal"/>
      <w:start w:val="2"/>
    </w:lvl>
  </w:abstractNum>
  <w:abstractNum w:abstractNumId="188">
    <w:nsid w:val="639DEFA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89">
    <w:nsid w:val="501F9786"/>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190">
    <w:nsid w:val="6B057295"/>
    <w:multiLevelType w:val="hybridMultilevel"/>
    <w:lvl w:ilvl="0">
      <w:lvlJc w:val="left"/>
      <w:lvlText w:val="(%1)"/>
      <w:numFmt w:val="lowerLetter"/>
      <w:start w:val="1"/>
    </w:lvl>
  </w:abstractNum>
  <w:abstractNum w:abstractNumId="191">
    <w:nsid w:val="2771AC80"/>
    <w:multiLevelType w:val="hybridMultilevel"/>
    <w:lvl w:ilvl="0">
      <w:lvlJc w:val="left"/>
      <w:lvlText w:val="%1."/>
      <w:numFmt w:val="decimal"/>
      <w:start w:val="5"/>
    </w:lvl>
  </w:abstractNum>
  <w:abstractNum w:abstractNumId="192">
    <w:nsid w:val="1C4A08EC"/>
    <w:multiLevelType w:val="hybridMultilevel"/>
    <w:lvl w:ilvl="0">
      <w:lvlJc w:val="left"/>
      <w:lvlText w:val="(%1)"/>
      <w:numFmt w:val="lowerLetter"/>
      <w:start w:val="1"/>
    </w:lvl>
  </w:abstractNum>
  <w:abstractNum w:abstractNumId="193">
    <w:nsid w:val="1958BD17"/>
    <w:multiLevelType w:val="hybridMultilevel"/>
    <w:lvl w:ilvl="0">
      <w:lvlJc w:val="left"/>
      <w:lvlText w:val="%1."/>
      <w:numFmt w:val="decimal"/>
      <w:start w:val="9"/>
    </w:lvl>
    <w:lvl w:ilvl="1">
      <w:lvlJc w:val="left"/>
      <w:lvlText w:val="%2."/>
      <w:numFmt w:val="decimal"/>
      <w:start w:val="10"/>
    </w:lvl>
  </w:abstractNum>
  <w:abstractNum w:abstractNumId="194">
    <w:nsid w:val="4E647FE4"/>
    <w:multiLevelType w:val="hybridMultilevel"/>
    <w:lvl w:ilvl="0">
      <w:lvlJc w:val="left"/>
      <w:lvlText w:val="%1."/>
      <w:numFmt w:val="decimal"/>
      <w:start w:val="11"/>
    </w:lvl>
  </w:abstractNum>
  <w:abstractNum w:abstractNumId="195">
    <w:nsid w:val="E0BB885"/>
    <w:multiLevelType w:val="hybridMultilevel"/>
    <w:lvl w:ilvl="0">
      <w:lvlJc w:val="left"/>
      <w:lvlText w:val="%1."/>
      <w:numFmt w:val="decimal"/>
      <w:start w:val="12"/>
    </w:lvl>
  </w:abstractNum>
  <w:abstractNum w:abstractNumId="196">
    <w:nsid w:val="565976F1"/>
    <w:multiLevelType w:val="hybridMultilevel"/>
    <w:lvl w:ilvl="0">
      <w:lvlJc w:val="left"/>
      <w:lvlText w:val="%1."/>
      <w:numFmt w:val="decimal"/>
      <w:start w:val="2"/>
    </w:lvl>
  </w:abstractNum>
  <w:abstractNum w:abstractNumId="197">
    <w:nsid w:val="64212B8C"/>
    <w:multiLevelType w:val="hybridMultilevel"/>
    <w:lvl w:ilvl="0">
      <w:lvlJc w:val="left"/>
      <w:lvlText w:val="o"/>
      <w:numFmt w:val="bullet"/>
      <w:start w:val="1"/>
    </w:lvl>
  </w:abstractNum>
  <w:abstractNum w:abstractNumId="198">
    <w:nsid w:val="5C17530C"/>
    <w:multiLevelType w:val="hybridMultilevel"/>
    <w:lvl w:ilvl="0">
      <w:lvlJc w:val="left"/>
      <w:lvlText w:val="%1."/>
      <w:numFmt w:val="decimal"/>
      <w:start w:val="2"/>
    </w:lvl>
    <w:lvl w:ilvl="1">
      <w:lvlJc w:val="left"/>
      <w:lvlText w:val="o"/>
      <w:numFmt w:val="bullet"/>
      <w:start w:val="1"/>
    </w:lvl>
  </w:abstractNum>
  <w:abstractNum w:abstractNumId="199">
    <w:nsid w:val="19A52566"/>
    <w:multiLevelType w:val="hybridMultilevel"/>
    <w:lvl w:ilvl="0">
      <w:lvlJc w:val="left"/>
      <w:lvlText w:val="(%1)"/>
      <w:numFmt w:val="lowerLetter"/>
      <w:start w:val="1"/>
    </w:lvl>
  </w:abstractNum>
  <w:abstractNum w:abstractNumId="200">
    <w:nsid w:val="335A1DF1"/>
    <w:multiLevelType w:val="hybridMultilevel"/>
    <w:lvl w:ilvl="0">
      <w:lvlJc w:val="left"/>
      <w:lvlText w:val="%1"/>
      <w:numFmt w:val="lowerLetter"/>
      <w:start w:val="1"/>
    </w:lvl>
    <w:lvl w:ilvl="1">
      <w:lvlJc w:val="left"/>
      <w:lvlText w:val="(%2)"/>
      <w:numFmt w:val="lowerLetter"/>
      <w:start w:val="4"/>
    </w:lvl>
  </w:abstractNum>
  <w:abstractNum w:abstractNumId="201">
    <w:nsid w:val="28677B7C"/>
    <w:multiLevelType w:val="hybridMultilevel"/>
    <w:lvl w:ilvl="0">
      <w:lvlJc w:val="left"/>
      <w:lvlText w:val="(%1)"/>
      <w:numFmt w:val="lowerLetter"/>
      <w:start w:val="25"/>
    </w:lvl>
    <w:lvl w:ilvl="1">
      <w:lvlJc w:val="left"/>
      <w:lvlText w:val="%2"/>
      <w:numFmt w:val="lowerLetter"/>
      <w:start w:val="1"/>
    </w:lvl>
  </w:abstractNum>
  <w:abstractNum w:abstractNumId="202">
    <w:nsid w:val="378D97C0"/>
    <w:multiLevelType w:val="hybridMultilevel"/>
    <w:lvl w:ilvl="0">
      <w:lvlJc w:val="left"/>
      <w:lvlText w:val="(%1)"/>
      <w:numFmt w:val="lowerLetter"/>
      <w:start w:val="1"/>
    </w:lvl>
  </w:abstractNum>
  <w:abstractNum w:abstractNumId="203">
    <w:nsid w:val="1D91467C"/>
    <w:multiLevelType w:val="hybridMultilevel"/>
    <w:lvl w:ilvl="0">
      <w:lvlJc w:val="left"/>
      <w:lvlText w:val="(%1)"/>
      <w:numFmt w:val="lowerLetter"/>
      <w:start w:val="1"/>
    </w:lvl>
  </w:abstractNum>
  <w:abstractNum w:abstractNumId="204">
    <w:nsid w:val="316032BB"/>
    <w:multiLevelType w:val="hybridMultilevel"/>
    <w:lvl w:ilvl="0">
      <w:lvlJc w:val="left"/>
      <w:lvlText w:val="(%1)"/>
      <w:numFmt w:val="lowerLetter"/>
      <w:start w:val="3"/>
    </w:lvl>
  </w:abstractNum>
  <w:abstractNum w:abstractNumId="205">
    <w:nsid w:val="44344C22"/>
    <w:multiLevelType w:val="hybridMultilevel"/>
    <w:lvl w:ilvl="0">
      <w:lvlJc w:val="left"/>
      <w:lvlText w:val="(%1)"/>
      <w:numFmt w:val="lowerLetter"/>
      <w:start w:val="5"/>
    </w:lvl>
  </w:abstractNum>
  <w:abstractNum w:abstractNumId="206">
    <w:nsid w:val="13CDFCFC"/>
    <w:multiLevelType w:val="hybridMultilevel"/>
    <w:lvl w:ilvl="0">
      <w:lvlJc w:val="left"/>
      <w:lvlText w:val="%1"/>
      <w:numFmt w:val="lowerLetter"/>
      <w:start w:val="1"/>
    </w:lvl>
    <w:lvl w:ilvl="1">
      <w:lvlJc w:val="left"/>
      <w:lvlText w:val="(%2)"/>
      <w:numFmt w:val="decimal"/>
      <w:start w:val="1"/>
    </w:lvl>
  </w:abstractNum>
  <w:abstractNum w:abstractNumId="207">
    <w:nsid w:val="471745E4"/>
    <w:multiLevelType w:val="hybridMultilevel"/>
    <w:lvl w:ilvl="0">
      <w:lvlJc w:val="left"/>
      <w:lvlText w:val="(%1)"/>
      <w:numFmt w:val="lowerLetter"/>
      <w:start w:val="1"/>
    </w:lvl>
    <w:lvl w:ilvl="1">
      <w:lvlJc w:val="left"/>
      <w:lvlText w:val="(%2)"/>
      <w:numFmt w:val="decimal"/>
      <w:start w:val="2"/>
    </w:lvl>
  </w:abstractNum>
  <w:abstractNum w:abstractNumId="208">
    <w:nsid w:val="1DDBC66"/>
    <w:multiLevelType w:val="hybridMultilevel"/>
    <w:lvl w:ilvl="0">
      <w:lvlJc w:val="left"/>
      <w:lvlText w:val="(%1)"/>
      <w:numFmt w:val="lowerLetter"/>
      <w:start w:val="1"/>
    </w:lvl>
  </w:abstractNum>
  <w:abstractNum w:abstractNumId="209">
    <w:nsid w:val="30AADFDA"/>
    <w:multiLevelType w:val="hybridMultilevel"/>
    <w:lvl w:ilvl="0">
      <w:lvlJc w:val="left"/>
      <w:lvlText w:val="o"/>
      <w:numFmt w:val="bullet"/>
      <w:start w:val="1"/>
    </w:lvl>
  </w:abstractNum>
  <w:abstractNum w:abstractNumId="210">
    <w:nsid w:val="30EADA61"/>
    <w:multiLevelType w:val="hybridMultilevel"/>
    <w:lvl w:ilvl="0">
      <w:lvlJc w:val="left"/>
      <w:lvlText w:val="%1."/>
      <w:numFmt w:val="decimal"/>
      <w:start w:val="2"/>
    </w:lvl>
  </w:abstractNum>
  <w:abstractNum w:abstractNumId="211">
    <w:nsid w:val="27179C0B"/>
    <w:multiLevelType w:val="hybridMultilevel"/>
    <w:lvl w:ilvl="0">
      <w:lvlJc w:val="left"/>
      <w:lvlText w:val="%1."/>
      <w:numFmt w:val="decimal"/>
      <w:start w:val="3"/>
    </w:lvl>
  </w:abstractNum>
  <w:abstractNum w:abstractNumId="212">
    <w:nsid w:val="5E636063"/>
    <w:multiLevelType w:val="hybridMultilevel"/>
    <w:lvl w:ilvl="0">
      <w:lvlJc w:val="left"/>
      <w:lvlText w:val="(%1)"/>
      <w:numFmt w:val="lowerLetter"/>
      <w:start w:val="1"/>
    </w:lvl>
  </w:abstractNum>
  <w:abstractNum w:abstractNumId="213">
    <w:nsid w:val="215641AF"/>
    <w:multiLevelType w:val="hybridMultilevel"/>
    <w:lvl w:ilvl="0">
      <w:lvlJc w:val="left"/>
      <w:lvlText w:val="%1"/>
      <w:numFmt w:val="lowerLetter"/>
      <w:start w:val="1"/>
    </w:lvl>
    <w:lvl w:ilvl="1">
      <w:lvlJc w:val="left"/>
      <w:lvlText w:val="(%2)"/>
      <w:numFmt w:val="lowerLetter"/>
      <w:start w:val="4"/>
    </w:lvl>
  </w:abstractNum>
  <w:abstractNum w:abstractNumId="214">
    <w:nsid w:val="53280662"/>
    <w:multiLevelType w:val="hybridMultilevel"/>
    <w:lvl w:ilvl="0">
      <w:lvlJc w:val="left"/>
      <w:lvlText w:val="(%1)"/>
      <w:numFmt w:val="lowerLetter"/>
      <w:start w:val="25"/>
    </w:lvl>
    <w:lvl w:ilvl="1">
      <w:lvlJc w:val="left"/>
      <w:lvlText w:val="(%2)"/>
      <w:numFmt w:val="lowerLetter"/>
      <w:start w:val="6"/>
    </w:lvl>
  </w:abstractNum>
  <w:abstractNum w:abstractNumId="215">
    <w:nsid w:val="46B24DBC"/>
    <w:multiLevelType w:val="hybridMultilevel"/>
    <w:lvl w:ilvl="0">
      <w:lvlJc w:val="left"/>
      <w:lvlText w:val="(%1)"/>
      <w:numFmt w:val="lowerLetter"/>
      <w:start w:val="1"/>
    </w:lvl>
  </w:abstractNum>
  <w:abstractNum w:abstractNumId="216">
    <w:nsid w:val="75B52783"/>
    <w:multiLevelType w:val="hybridMultilevel"/>
    <w:lvl w:ilvl="0">
      <w:lvlJc w:val="left"/>
      <w:lvlText w:val="(%1)"/>
      <w:numFmt w:val="lowerLetter"/>
      <w:start w:val="3"/>
    </w:lvl>
  </w:abstractNum>
  <w:abstractNum w:abstractNumId="217">
    <w:nsid w:val="57CE66B4"/>
    <w:multiLevelType w:val="hybridMultilevel"/>
    <w:lvl w:ilvl="0">
      <w:lvlJc w:val="left"/>
      <w:lvlText w:val="(%1)"/>
      <w:numFmt w:val="lowerLetter"/>
      <w:start w:val="1"/>
    </w:lvl>
  </w:abstractNum>
  <w:abstractNum w:abstractNumId="218">
    <w:nsid w:val="67A70B69"/>
    <w:multiLevelType w:val="hybridMultilevel"/>
    <w:lvl w:ilvl="0">
      <w:lvlJc w:val="left"/>
      <w:lvlText w:val="%1"/>
      <w:numFmt w:val="lowerLetter"/>
      <w:start w:val="1"/>
    </w:lvl>
    <w:lvl w:ilvl="1">
      <w:lvlJc w:val="left"/>
      <w:lvlText w:val="(%2)"/>
      <w:numFmt w:val="decimal"/>
      <w:start w:val="1"/>
    </w:lvl>
  </w:abstractNum>
  <w:abstractNum w:abstractNumId="219">
    <w:nsid w:val="5953172F"/>
    <w:multiLevelType w:val="hybridMultilevel"/>
    <w:lvl w:ilvl="0">
      <w:lvlJc w:val="left"/>
      <w:lvlText w:val="(%1)"/>
      <w:numFmt w:val="lowerLetter"/>
      <w:start w:val="1"/>
    </w:lvl>
    <w:lvl w:ilvl="1">
      <w:lvlJc w:val="left"/>
      <w:lvlText w:val="(%2)"/>
      <w:numFmt w:val="decimal"/>
      <w:start w:val="2"/>
    </w:lvl>
  </w:abstractNum>
  <w:abstractNum w:abstractNumId="220">
    <w:nsid w:val="27EDFE3A"/>
    <w:multiLevelType w:val="hybridMultilevel"/>
    <w:lvl w:ilvl="0">
      <w:lvlJc w:val="left"/>
      <w:lvlText w:val="(%1)"/>
      <w:numFmt w:val="lowerLetter"/>
      <w:start w:val="1"/>
    </w:lvl>
  </w:abstractNum>
  <w:abstractNum w:abstractNumId="221">
    <w:nsid w:val="52AC7DFF"/>
    <w:multiLevelType w:val="hybridMultilevel"/>
    <w:lvl w:ilvl="0">
      <w:lvlJc w:val="left"/>
      <w:lvlText w:val="o"/>
      <w:numFmt w:val="bullet"/>
      <w:start w:val="1"/>
    </w:lvl>
  </w:abstractNum>
  <w:abstractNum w:abstractNumId="222">
    <w:nsid w:val="C4C3AF"/>
    <w:multiLevelType w:val="hybridMultilevel"/>
    <w:lvl w:ilvl="0">
      <w:lvlJc w:val="left"/>
      <w:lvlText w:val="%1."/>
      <w:numFmt w:val="decimal"/>
      <w:start w:val="2"/>
    </w:lvl>
  </w:abstractNum>
  <w:abstractNum w:abstractNumId="223">
    <w:nsid w:val="44380727"/>
    <w:multiLevelType w:val="hybridMultilevel"/>
    <w:lvl w:ilvl="0">
      <w:lvlJc w:val="left"/>
      <w:lvlText w:val="%1."/>
      <w:numFmt w:val="decimal"/>
      <w:start w:val="3"/>
    </w:lvl>
  </w:abstractNum>
  <w:abstractNum w:abstractNumId="224">
    <w:nsid w:val="6C053B1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5">
    <w:nsid w:val="4F29439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26">
    <w:nsid w:val="5243BFAC"/>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lowerLetter"/>
      <w:start w:val="1"/>
    </w:lvl>
  </w:abstractNum>
  <w:abstractNum w:abstractNumId="227">
    <w:nsid w:val="425EB207"/>
    <w:multiLevelType w:val="hybridMultilevel"/>
    <w:lvl w:ilvl="0">
      <w:lvlJc w:val="left"/>
      <w:lvlText w:val="(%1)"/>
      <w:numFmt w:val="decimal"/>
      <w:start w:val="90"/>
    </w:lvl>
    <w:lvl w:ilvl="1">
      <w:lvlJc w:val="left"/>
      <w:lvlText w:val="%2."/>
      <w:numFmt w:val="decimal"/>
      <w:start w:val="5"/>
    </w:lvl>
    <w:lvl w:ilvl="2">
      <w:lvlJc w:val="left"/>
      <w:lvlText w:val="%3."/>
      <w:numFmt w:val="decimal"/>
      <w:start w:val="5"/>
    </w:lvl>
    <w:lvl w:ilvl="3">
      <w:lvlJc w:val="left"/>
      <w:lvlText w:val="(%4)"/>
      <w:numFmt w:val="lowerLetter"/>
      <w:start w:val="1"/>
    </w:lvl>
  </w:abstractNum>
  <w:abstractNum w:abstractNumId="228">
    <w:nsid w:val="334A6F1F"/>
    <w:multiLevelType w:val="hybridMultilevel"/>
    <w:lvl w:ilvl="0">
      <w:lvlJc w:val="left"/>
      <w:lvlText w:val="(%1)"/>
      <w:numFmt w:val="lowerLetter"/>
      <w:start w:val="1"/>
    </w:lvl>
  </w:abstractNum>
  <w:abstractNum w:abstractNumId="229">
    <w:nsid w:val="2E5B12B8"/>
    <w:multiLevelType w:val="hybridMultilevel"/>
    <w:lvl w:ilvl="0">
      <w:lvlJc w:val="left"/>
      <w:lvlText w:val="%1."/>
      <w:numFmt w:val="decimal"/>
      <w:start w:val="7"/>
    </w:lvl>
    <w:lvl w:ilvl="1">
      <w:lvlJc w:val="left"/>
      <w:lvlText w:val="(%2)"/>
      <w:numFmt w:val="lowerLetter"/>
      <w:start w:val="1"/>
    </w:lvl>
  </w:abstractNum>
  <w:abstractNum w:abstractNumId="230">
    <w:nsid w:val="5C03D76D"/>
    <w:multiLevelType w:val="hybridMultilevel"/>
    <w:lvl w:ilvl="0">
      <w:lvlJc w:val="left"/>
      <w:lvlText w:val="%1"/>
      <w:numFmt w:val="decimal"/>
      <w:start w:val="1"/>
    </w:lvl>
    <w:lvl w:ilvl="1">
      <w:lvlJc w:val="left"/>
      <w:lvlText w:val="(%2)"/>
      <w:numFmt w:val="lowerLetter"/>
      <w:start w:val="2"/>
    </w:lvl>
  </w:abstractNum>
  <w:abstractNum w:abstractNumId="231">
    <w:nsid w:val="66A48D11"/>
    <w:multiLevelType w:val="hybridMultilevel"/>
    <w:lvl w:ilvl="0">
      <w:lvlJc w:val="left"/>
      <w:lvlText w:val="%1."/>
      <w:numFmt w:val="decimal"/>
      <w:start w:val="8"/>
    </w:lvl>
    <w:lvl w:ilvl="1">
      <w:lvlJc w:val="left"/>
      <w:lvlText w:val="%2"/>
      <w:numFmt w:val="lowerLetter"/>
      <w:start w:val="1"/>
    </w:lvl>
  </w:abstractNum>
  <w:abstractNum w:abstractNumId="232">
    <w:nsid w:val="56C28E34"/>
    <w:multiLevelType w:val="hybridMultilevel"/>
    <w:lvl w:ilvl="0">
      <w:lvlJc w:val="left"/>
      <w:lvlText w:val="%1."/>
      <w:numFmt w:val="decimal"/>
      <w:start w:val="10"/>
    </w:lvl>
    <w:lvl w:ilvl="1">
      <w:lvlJc w:val="left"/>
      <w:lvlText w:val="(%2)"/>
      <w:numFmt w:val="lowerLetter"/>
      <w:start w:val="1"/>
    </w:lvl>
  </w:abstractNum>
  <w:abstractNum w:abstractNumId="233">
    <w:nsid w:val="13916F2D"/>
    <w:multiLevelType w:val="hybridMultilevel"/>
    <w:lvl w:ilvl="0">
      <w:lvlJc w:val="left"/>
      <w:lvlText w:val="(%1)"/>
      <w:numFmt w:val="lowerLetter"/>
      <w:start w:val="3"/>
    </w:lvl>
  </w:abstractNum>
  <w:abstractNum w:abstractNumId="234">
    <w:nsid w:val="435D38D"/>
    <w:multiLevelType w:val="hybridMultilevel"/>
    <w:lvl w:ilvl="0">
      <w:lvlJc w:val="left"/>
      <w:lvlText w:val="(%1)"/>
      <w:numFmt w:val="lowerLetter"/>
      <w:start w:val="5"/>
    </w:lvl>
  </w:abstractNum>
  <w:abstractNum w:abstractNumId="235">
    <w:nsid w:val="822C0EF"/>
    <w:multiLevelType w:val="hybridMultilevel"/>
    <w:lvl w:ilvl="0">
      <w:lvlJc w:val="left"/>
      <w:lvlText w:val="(%1)"/>
      <w:numFmt w:val="lowerLetter"/>
      <w:start w:val="7"/>
    </w:lvl>
  </w:abstractNum>
  <w:abstractNum w:abstractNumId="236">
    <w:nsid w:val="57C5BB4F"/>
    <w:multiLevelType w:val="hybridMultilevel"/>
    <w:lvl w:ilvl="0">
      <w:lvlJc w:val="left"/>
      <w:lvlText w:val="(%1)"/>
      <w:numFmt w:val="lowerLetter"/>
      <w:start w:val="8"/>
    </w:lvl>
  </w:abstractNum>
  <w:abstractNum w:abstractNumId="237">
    <w:nsid w:val="1803D089"/>
    <w:multiLevelType w:val="hybridMultilevel"/>
    <w:lvl w:ilvl="0">
      <w:lvlJc w:val="left"/>
      <w:lvlText w:val="(%1)"/>
      <w:numFmt w:val="lowerLetter"/>
      <w:start w:val="11"/>
    </w:lvl>
  </w:abstractNum>
  <w:abstractNum w:abstractNumId="238">
    <w:nsid w:val="4F3A06D4"/>
    <w:multiLevelType w:val="hybridMultilevel"/>
    <w:lvl w:ilvl="0">
      <w:lvlJc w:val="left"/>
      <w:lvlText w:val="%1."/>
      <w:numFmt w:val="decimal"/>
      <w:start w:val="1"/>
    </w:lvl>
  </w:abstractNum>
  <w:abstractNum w:abstractNumId="239">
    <w:nsid w:val="59A377B6"/>
    <w:multiLevelType w:val="hybridMultilevel"/>
    <w:lvl w:ilvl="0">
      <w:lvlJc w:val="left"/>
      <w:lvlText w:val="%1."/>
      <w:numFmt w:val="decimal"/>
      <w:start w:val="2"/>
    </w:lvl>
  </w:abstractNum>
  <w:abstractNum w:abstractNumId="240">
    <w:nsid w:val="48AEB063"/>
    <w:multiLevelType w:val="hybridMultilevel"/>
    <w:lvl w:ilvl="0">
      <w:lvlJc w:val="left"/>
      <w:lvlText w:val="(%1)"/>
      <w:numFmt w:val="lowerRoman"/>
      <w:start w:val="1"/>
    </w:lvl>
  </w:abstractNum>
  <w:abstractNum w:abstractNumId="241">
    <w:nsid w:val="24E135"/>
    <w:multiLevelType w:val="hybridMultilevel"/>
    <w:lvl w:ilvl="0">
      <w:lvlJc w:val="left"/>
      <w:lvlText w:val="%1."/>
      <w:numFmt w:val="decimal"/>
      <w:start w:val="1"/>
    </w:lvl>
  </w:abstractNum>
  <w:abstractNum w:abstractNumId="242">
    <w:nsid w:val="BB13C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jpe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2019-12-08T18:52:51Z</dcterms:created>
  <dcterms:modified xsi:type="dcterms:W3CDTF">2019-12-08T18:52:51Z</dcterms:modified>
</cp:coreProperties>
</file>