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95"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May 11, 2017</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211" w:right="419" w:bottom="1440" w:gutter="0" w:footer="0" w:header="0"/>
        </w:sectPr>
      </w:pPr>
    </w:p>
    <w:p>
      <w:pPr>
        <w:spacing w:after="0" w:line="329"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00" w:space="720"/>
            <w:col w:w="3240" w:space="720"/>
            <w:col w:w="1960"/>
          </w:cols>
          <w:pgMar w:left="240" w:top="211"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20" w:space="720"/>
            <w:col w:w="3100" w:space="720"/>
            <w:col w:w="2180"/>
          </w:cols>
          <w:pgMar w:left="240" w:top="211"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211"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41"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240" w:top="211"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320" w:firstLine="579"/>
        <w:spacing w:after="0" w:line="279" w:lineRule="auto"/>
        <w:rPr>
          <w:sz w:val="20"/>
          <w:szCs w:val="20"/>
          <w:color w:val="auto"/>
        </w:rPr>
      </w:pPr>
      <w:r>
        <w:rPr>
          <w:rFonts w:ascii="Arial" w:cs="Arial" w:eastAsia="Arial" w:hAnsi="Arial"/>
          <w:sz w:val="16"/>
          <w:szCs w:val="16"/>
          <w:color w:val="auto"/>
        </w:rPr>
        <w:t>On May 11, 2017, Selecta Biosciences, Inc. (the “Company”) announced its financial results for the quarter ended March 31, 2017. The full text of the press release issued in connection with the announcement is furnished as Exhibit 99.1 to this Current Report on Form 8-K.</w:t>
      </w:r>
    </w:p>
    <w:p>
      <w:pPr>
        <w:spacing w:after="0" w:line="151" w:lineRule="exact"/>
        <w:rPr>
          <w:sz w:val="20"/>
          <w:szCs w:val="20"/>
          <w:color w:val="auto"/>
        </w:rPr>
      </w:pPr>
    </w:p>
    <w:p>
      <w:pPr>
        <w:ind w:right="20" w:firstLine="579"/>
        <w:spacing w:after="0" w:line="265" w:lineRule="auto"/>
        <w:rPr>
          <w:sz w:val="20"/>
          <w:szCs w:val="20"/>
          <w:color w:val="auto"/>
        </w:rPr>
      </w:pPr>
      <w:r>
        <w:rPr>
          <w:rFonts w:ascii="Arial" w:cs="Arial" w:eastAsia="Arial" w:hAnsi="Arial"/>
          <w:sz w:val="16"/>
          <w:szCs w:val="16"/>
          <w:color w:val="auto"/>
        </w:rPr>
        <w:t>The information contained in Item 2.02 of this Form 8-K (including Exhibit 99.1 related thereto)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200" w:firstLine="579"/>
        <w:spacing w:after="0" w:line="279" w:lineRule="auto"/>
        <w:rPr>
          <w:sz w:val="20"/>
          <w:szCs w:val="20"/>
          <w:color w:val="auto"/>
        </w:rPr>
      </w:pPr>
      <w:r>
        <w:rPr>
          <w:rFonts w:ascii="Arial" w:cs="Arial" w:eastAsia="Arial" w:hAnsi="Arial"/>
          <w:sz w:val="16"/>
          <w:szCs w:val="16"/>
          <w:color w:val="auto"/>
        </w:rPr>
        <w:t>In connection with the issuance of the press release attached hereto as Exhibit 99.1, the Company is holding a public conference call and webcast on May 11, 2017, at 5:00 p.m. ET, during which the Company will provide the investor presentation attached as Exhibit 99.2 to this Current Report.</w:t>
      </w:r>
    </w:p>
    <w:p>
      <w:pPr>
        <w:spacing w:after="0" w:line="151" w:lineRule="exact"/>
        <w:rPr>
          <w:sz w:val="20"/>
          <w:szCs w:val="20"/>
          <w:color w:val="auto"/>
        </w:rPr>
      </w:pPr>
    </w:p>
    <w:p>
      <w:pPr>
        <w:ind w:right="180" w:firstLine="579"/>
        <w:spacing w:after="0" w:line="265" w:lineRule="auto"/>
        <w:rPr>
          <w:sz w:val="20"/>
          <w:szCs w:val="20"/>
          <w:color w:val="auto"/>
        </w:rPr>
      </w:pPr>
      <w:r>
        <w:rPr>
          <w:rFonts w:ascii="Arial" w:cs="Arial" w:eastAsia="Arial" w:hAnsi="Arial"/>
          <w:sz w:val="16"/>
          <w:szCs w:val="16"/>
          <w:color w:val="auto"/>
        </w:rPr>
        <w:t>The information furnished under this Item 7.01 (including Exhibit 99.2 related thereto) shall not be deemed “filed” for purposes of Section 18 of the Exchange Act, or otherwise subject to the liabilities of that section, nor shall it be deemed incorporated by reference into any filing under the Securities Act, or the Exchange Act, except as expressly provided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relating to Item 2.02 shall be deemed to be furnished, and not filed: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620" w:type="dxa"/>
            <w:vAlign w:val="bottom"/>
            <w:vMerge w:val="restart"/>
          </w:tcPr>
          <w:p>
            <w:pPr>
              <w:ind w:left="4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May 11, 2017</w:t>
            </w:r>
          </w:p>
        </w:tc>
        <w:tc>
          <w:tcPr>
            <w:tcW w:w="0" w:type="dxa"/>
            <w:vAlign w:val="bottom"/>
          </w:tcPr>
          <w:p>
            <w:pPr>
              <w:spacing w:after="0"/>
              <w:rPr>
                <w:sz w:val="1"/>
                <w:szCs w:val="1"/>
                <w:color w:val="auto"/>
              </w:rPr>
            </w:pPr>
          </w:p>
        </w:tc>
      </w:tr>
      <w:tr>
        <w:trPr>
          <w:trHeight w:val="241"/>
        </w:trPr>
        <w:tc>
          <w:tcPr>
            <w:tcW w:w="1260" w:type="dxa"/>
            <w:vAlign w:val="bottom"/>
          </w:tcPr>
          <w:p>
            <w:pPr>
              <w:jc w:val="right"/>
              <w:ind w:right="48"/>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0"/>
                <w:szCs w:val="20"/>
                <w:color w:val="auto"/>
              </w:rPr>
            </w:pPr>
          </w:p>
        </w:tc>
        <w:tc>
          <w:tcPr>
            <w:tcW w:w="9620" w:type="dxa"/>
            <w:vAlign w:val="bottom"/>
          </w:tcPr>
          <w:p>
            <w:pPr>
              <w:ind w:left="40"/>
              <w:spacing w:after="0"/>
              <w:rPr>
                <w:sz w:val="20"/>
                <w:szCs w:val="20"/>
                <w:color w:val="auto"/>
              </w:rPr>
            </w:pPr>
            <w:r>
              <w:rPr>
                <w:rFonts w:ascii="Arial" w:cs="Arial" w:eastAsia="Arial" w:hAnsi="Arial"/>
                <w:sz w:val="16"/>
                <w:szCs w:val="16"/>
                <w:color w:val="auto"/>
              </w:rPr>
              <w:t>Investor Presentation dated May 11,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34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40" w:type="dxa"/>
            <w:vAlign w:val="bottom"/>
          </w:tcPr>
          <w:p>
            <w:pPr>
              <w:spacing w:after="0"/>
              <w:rPr>
                <w:sz w:val="17"/>
                <w:szCs w:val="17"/>
                <w:color w:val="auto"/>
              </w:rPr>
            </w:pPr>
          </w:p>
        </w:tc>
        <w:tc>
          <w:tcPr>
            <w:tcW w:w="7980" w:type="dxa"/>
            <w:vAlign w:val="bottom"/>
            <w:gridSpan w:val="2"/>
          </w:tcPr>
          <w:p>
            <w:pPr>
              <w:ind w:left="2160"/>
              <w:spacing w:after="0"/>
              <w:rPr>
                <w:sz w:val="20"/>
                <w:szCs w:val="20"/>
                <w:color w:val="auto"/>
              </w:rPr>
            </w:pPr>
            <w:r>
              <w:rPr>
                <w:rFonts w:ascii="Arial" w:cs="Arial" w:eastAsia="Arial" w:hAnsi="Arial"/>
                <w:sz w:val="16"/>
                <w:szCs w:val="16"/>
                <w:color w:val="auto"/>
              </w:rPr>
              <w:t>SELECTA BIOSCIENCES, INC.</w:t>
            </w:r>
          </w:p>
        </w:tc>
      </w:tr>
      <w:tr>
        <w:trPr>
          <w:trHeight w:val="724"/>
        </w:trPr>
        <w:tc>
          <w:tcPr>
            <w:tcW w:w="3440" w:type="dxa"/>
            <w:vAlign w:val="bottom"/>
          </w:tcPr>
          <w:p>
            <w:pPr>
              <w:spacing w:after="0"/>
              <w:rPr>
                <w:sz w:val="20"/>
                <w:szCs w:val="20"/>
                <w:color w:val="auto"/>
              </w:rPr>
            </w:pPr>
            <w:r>
              <w:rPr>
                <w:rFonts w:ascii="Arial" w:cs="Arial" w:eastAsia="Arial" w:hAnsi="Arial"/>
                <w:sz w:val="16"/>
                <w:szCs w:val="16"/>
                <w:color w:val="auto"/>
              </w:rPr>
              <w:t>Date: May 11, 2017</w:t>
            </w:r>
          </w:p>
        </w:tc>
        <w:tc>
          <w:tcPr>
            <w:tcW w:w="2720" w:type="dxa"/>
            <w:vAlign w:val="bottom"/>
          </w:tcPr>
          <w:p>
            <w:pPr>
              <w:ind w:left="216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340"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20" w:type="dxa"/>
            <w:vAlign w:val="bottom"/>
          </w:tcPr>
          <w:p>
            <w:pPr>
              <w:ind w:left="32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451"/>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620" w:type="dxa"/>
            <w:vAlign w:val="bottom"/>
            <w:vMerge w:val="restart"/>
          </w:tcPr>
          <w:p>
            <w:pPr>
              <w:ind w:left="45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May11, 2017</w:t>
            </w:r>
          </w:p>
        </w:tc>
        <w:tc>
          <w:tcPr>
            <w:tcW w:w="0" w:type="dxa"/>
            <w:vAlign w:val="bottom"/>
          </w:tcPr>
          <w:p>
            <w:pPr>
              <w:spacing w:after="0"/>
              <w:rPr>
                <w:sz w:val="1"/>
                <w:szCs w:val="1"/>
                <w:color w:val="auto"/>
              </w:rPr>
            </w:pPr>
          </w:p>
        </w:tc>
      </w:tr>
      <w:tr>
        <w:trPr>
          <w:trHeight w:val="241"/>
        </w:trPr>
        <w:tc>
          <w:tcPr>
            <w:tcW w:w="1260" w:type="dxa"/>
            <w:vAlign w:val="bottom"/>
          </w:tcPr>
          <w:p>
            <w:pPr>
              <w:jc w:val="right"/>
              <w:ind w:right="48"/>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0"/>
                <w:szCs w:val="20"/>
                <w:color w:val="auto"/>
              </w:rPr>
            </w:pPr>
          </w:p>
        </w:tc>
        <w:tc>
          <w:tcPr>
            <w:tcW w:w="9620" w:type="dxa"/>
            <w:vAlign w:val="bottom"/>
          </w:tcPr>
          <w:p>
            <w:pPr>
              <w:ind w:left="40"/>
              <w:spacing w:after="0"/>
              <w:rPr>
                <w:sz w:val="20"/>
                <w:szCs w:val="20"/>
                <w:color w:val="auto"/>
              </w:rPr>
            </w:pPr>
            <w:r>
              <w:rPr>
                <w:rFonts w:ascii="Arial" w:cs="Arial" w:eastAsia="Arial" w:hAnsi="Arial"/>
                <w:sz w:val="16"/>
                <w:szCs w:val="16"/>
                <w:color w:val="auto"/>
              </w:rPr>
              <w:t>Investor Presentation dated May 11,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wp:posOffset>
            </wp:positionV>
            <wp:extent cx="159321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321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60"/>
        <w:spacing w:after="0"/>
        <w:rPr>
          <w:sz w:val="20"/>
          <w:szCs w:val="20"/>
          <w:color w:val="auto"/>
        </w:rPr>
      </w:pPr>
      <w:r>
        <w:rPr>
          <w:rFonts w:ascii="Arial" w:cs="Arial" w:eastAsia="Arial" w:hAnsi="Arial"/>
          <w:sz w:val="19"/>
          <w:szCs w:val="19"/>
          <w:b w:val="1"/>
          <w:bCs w:val="1"/>
          <w:color w:val="auto"/>
        </w:rPr>
        <w:t>Selecta Biosciences Announces First Quarter 2017</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9"/>
          <w:szCs w:val="19"/>
          <w:b w:val="1"/>
          <w:bCs w:val="1"/>
          <w:color w:val="auto"/>
        </w:rPr>
        <w:t>Financial Results and Provides Corporate Update</w:t>
      </w:r>
    </w:p>
    <w:p>
      <w:pPr>
        <w:spacing w:after="0" w:line="216"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On Track to Complete Phase 2 Trial of Lead Product Candidate, SEL-212, in 2017</w:t>
      </w:r>
    </w:p>
    <w:p>
      <w:pPr>
        <w:spacing w:after="0" w:line="203"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Licensed LMB-100, a Clinical-Stage Candidate for Mesothelioma and Pancreatic Cancer, from the National Cancer Institute (NCI)</w:t>
      </w:r>
    </w:p>
    <w:p>
      <w:pPr>
        <w:spacing w:after="0" w:line="203"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Obtained Synthetic Transgene License for MMA Gene Therapy Program</w:t>
      </w:r>
    </w:p>
    <w:p>
      <w:pPr>
        <w:spacing w:after="0" w:line="203" w:lineRule="exact"/>
        <w:rPr>
          <w:rFonts w:ascii="Arial" w:cs="Arial" w:eastAsia="Arial" w:hAnsi="Arial"/>
          <w:sz w:val="16"/>
          <w:szCs w:val="16"/>
          <w:color w:val="auto"/>
        </w:rPr>
      </w:pPr>
    </w:p>
    <w:p>
      <w:pPr>
        <w:ind w:left="580" w:right="240" w:hanging="294"/>
        <w:spacing w:after="0" w:line="25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Initiated Nicotine Vaccine Phase 1 Trial for Smoking Cessation and Relapse Prevention with Funding Primarily from the National Institutes of Health (NIH)</w:t>
      </w:r>
    </w:p>
    <w:p>
      <w:pPr>
        <w:spacing w:after="0" w:line="173"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Company to Host Conference Call Today at 5:00 p.m. ET</w:t>
      </w:r>
    </w:p>
    <w:p>
      <w:pPr>
        <w:spacing w:after="0" w:line="18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 xml:space="preserve">Watertown, Mass., May 11, 2017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Selecta Biosciences,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SELB), a clinical-stage biopharmaceutical company focused on unlocking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of biologic therapies by avoiding unwanted immune responses, today reported financial results for the first quarter ended March 31, 2017 and provided a corporate update.</w:t>
      </w:r>
    </w:p>
    <w:p>
      <w:pPr>
        <w:spacing w:after="0" w:line="16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“Selecta continues to make great strides in 2017,” said Werner Cautreels, Ph.D., CEO and Chairman of Selecta. “Enrollment in the Phase 2 trial of our lead product candidate, SEL-212, continues to be faster than anticipated, and we remain on track to complete the trial in 2017. In addition, we recently added a clinical-stage oncology product candidate, LMB-100, to our proprietary pipeline and plan to combine it with SVP-Rapamycin in a clinical program for mesothelioma and pancreatic cancer with our collaborators at NCI. We also obtained a key license for our MMA gene therapy program, and we began dosing patients in a Phase 1 trial of our nicotine vaccine candidate for smoking cessation and relapse prevention. These programs highlight the far-reaching potential of our Synthetic Vaccine Particles (SVP™) technology platform and the strong execution of the Selecta team.”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Phase 2 Trial Update</w:t>
      </w:r>
    </w:p>
    <w:p>
      <w:pPr>
        <w:spacing w:after="0" w:line="19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fourth quarter of 2016, Selecta began enrolling patients with symptomatic gout and elevated serum uric acid levels (above 6.0 mg/dL) in an open-label, multiple ascending dose Phase 2 clinical trial of SEL-212 (SVP-Rapamycin in combination with pegsiticase). The primary and secondary endpoints for this trial include safety, tolerability, pharmacokinetics, reduction of serum uric acid levels and reduction of ADA levels. Data also are being collected regarding flares and additional laboratory and clinical assessments. Patients are being enrolled in multiple ascending dose cohorts to enable the identification of the optimal dose ratio of SVP-Rapamycin and pegsiticase, the minimal effective dose level of SEL-212 for repeat monthly administration, and the dose regimen to take forward into Phase 3.</w:t>
      </w:r>
    </w:p>
    <w:p>
      <w:pPr>
        <w:spacing w:after="0" w:line="17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As of May 10, 2017, a total of 58 patients had been dosed in the Phase 2 trial in eight cohorts. During the week of June 12, 2017, Selecta is presenting at the Annual European Congress of Rheumatology (EULAR 2017) in Madrid, Spain and at the Federation of Clinical Immunology Societies Annual Meeting (FOCIS 2017) in Chicago and plans to report additional data from the ongoing Phase 2 trial at that time. The company expects that it will complete the trial in 2017 and initiate its Phase 3 program in 2018.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33" w:right="21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t>Additional Recent Business Highlights and Activities</w:t>
      </w:r>
    </w:p>
    <w:p>
      <w:pPr>
        <w:spacing w:after="0" w:line="197" w:lineRule="exact"/>
        <w:rPr>
          <w:sz w:val="20"/>
          <w:szCs w:val="20"/>
          <w:color w:val="auto"/>
        </w:rPr>
      </w:pPr>
    </w:p>
    <w:p>
      <w:pPr>
        <w:ind w:left="284" w:right="40" w:hanging="284"/>
        <w:spacing w:after="0" w:line="256" w:lineRule="auto"/>
        <w:tabs>
          <w:tab w:leader="none" w:pos="284" w:val="left"/>
        </w:tabs>
        <w:numPr>
          <w:ilvl w:val="0"/>
          <w:numId w:val="3"/>
        </w:numPr>
        <w:rPr>
          <w:rFonts w:ascii="Arial" w:cs="Arial" w:eastAsia="Arial" w:hAnsi="Arial"/>
          <w:sz w:val="15"/>
          <w:szCs w:val="15"/>
          <w:color w:val="auto"/>
        </w:rPr>
      </w:pPr>
      <w:r>
        <w:rPr>
          <w:rFonts w:ascii="Arial" w:cs="Arial" w:eastAsia="Arial" w:hAnsi="Arial"/>
          <w:sz w:val="17"/>
          <w:szCs w:val="17"/>
          <w:u w:val="single" w:color="auto"/>
          <w:color w:val="auto"/>
        </w:rPr>
        <w:t>Entered the Field of Oncology</w:t>
      </w:r>
      <w:r>
        <w:rPr>
          <w:rFonts w:ascii="Arial" w:cs="Arial" w:eastAsia="Arial" w:hAnsi="Arial"/>
          <w:sz w:val="17"/>
          <w:szCs w:val="17"/>
          <w:color w:val="auto"/>
        </w:rPr>
        <w:t>: Earlier this month, Selecta announced that it had licensed LMB-100, a clinical-stage, next-generation recombinant immunotoxin, from the Center for Cancer Research at NCI, part of NIH. LMB-100 contains a potent toxin that is derived from Pseudomonas exotoxin A and is attached to an antibody that targets mesothelin. Mesothelin is overexpressed in all mesotheliomas, pancreatic adenocarcinomas and a high percentage of other malignancies, including ovarian, lung and breast cancers. Clinical data with LMB-100 indicate that undesired antibody responses to this immunotoxin have prevented most patients from receiving the intended four or more treatment cycles. However, tumor regression was observed in the two patients who were able to receive more than two cycles of a precursor to LMB-100 in combination with potent immunosuppressive drugs. On the basis of these clinical data and preclinical data produced together with NCI, Selecta believes that a combination of LMB-100 and SVP-Rapamycin may allow patients to avoid these antibody responses and benefit from multiple treatment cycles. Selecta and NCI are currently in discussions regarding a planned Phase 1b clinical trial to evaluate multiple cycles of this combination treatment.</w:t>
      </w:r>
    </w:p>
    <w:p>
      <w:pPr>
        <w:spacing w:after="0" w:line="161" w:lineRule="exact"/>
        <w:rPr>
          <w:rFonts w:ascii="Arial" w:cs="Arial" w:eastAsia="Arial" w:hAnsi="Arial"/>
          <w:sz w:val="15"/>
          <w:szCs w:val="15"/>
          <w:color w:val="auto"/>
        </w:rPr>
      </w:pPr>
    </w:p>
    <w:p>
      <w:pPr>
        <w:ind w:left="284" w:right="60" w:hanging="284"/>
        <w:spacing w:after="0" w:line="295" w:lineRule="auto"/>
        <w:tabs>
          <w:tab w:leader="none" w:pos="284" w:val="left"/>
        </w:tabs>
        <w:numPr>
          <w:ilvl w:val="0"/>
          <w:numId w:val="3"/>
        </w:numPr>
        <w:rPr>
          <w:rFonts w:ascii="Arial" w:cs="Arial" w:eastAsia="Arial" w:hAnsi="Arial"/>
          <w:sz w:val="14"/>
          <w:szCs w:val="14"/>
          <w:color w:val="auto"/>
        </w:rPr>
      </w:pPr>
      <w:r>
        <w:rPr>
          <w:rFonts w:ascii="Arial" w:cs="Arial" w:eastAsia="Arial" w:hAnsi="Arial"/>
          <w:sz w:val="15"/>
          <w:szCs w:val="15"/>
          <w:u w:val="single" w:color="auto"/>
          <w:color w:val="auto"/>
        </w:rPr>
        <w:t>Further Advanced its Lead Gene Therapy Program in MMA</w:t>
      </w:r>
      <w:r>
        <w:rPr>
          <w:rFonts w:ascii="Arial" w:cs="Arial" w:eastAsia="Arial" w:hAnsi="Arial"/>
          <w:sz w:val="15"/>
          <w:szCs w:val="15"/>
          <w:color w:val="auto"/>
        </w:rPr>
        <w:t>: In April 2017, Selecta licensed a proprietary synthetic transgene known as synthetic polynucleotides encoding human methylmalonyl-CoA mutase (synMUT) from the U.S. Department of Health and Human Services, part of NIH. Discovered in the laboratory of Dr. Charles Venditti, synMUT was optimized for expression of human methylmalonyl-CoA mutase, the enzyme missing or defective in patients suffering from Methylmalonic Acidemia (MMA), and demonstrated curative efficacy in animal disease models. Selecta is utilizing synMUT with its proprietary Anc80 viral capsid for MMA. In the first quarter of 2017, Selecta signed a manufacturing agreement with Lonza Houston, Inc. for Anc80. Preclinical data regarding the use of Anc80-synMUT in MMA is being presented today (Abstract 404) at the Annual Meeting of the American Society of Gene &amp; Cell Therapy (ASGCT) in Washington, D.C. In addition, a team led by Federico Mingozzi, Ph.D., Head of Immunology and Liver Gene Therapy at Genethon, is presenting preclinical data tomorrow at ASGCT (Abstract 521) regarding repeated gene therapy administration using SVP-Rapamycin.</w:t>
      </w:r>
    </w:p>
    <w:p>
      <w:pPr>
        <w:spacing w:after="0" w:line="294" w:lineRule="exact"/>
        <w:rPr>
          <w:rFonts w:ascii="Arial" w:cs="Arial" w:eastAsia="Arial" w:hAnsi="Arial"/>
          <w:sz w:val="14"/>
          <w:szCs w:val="14"/>
          <w:color w:val="auto"/>
        </w:rPr>
      </w:pPr>
    </w:p>
    <w:p>
      <w:pPr>
        <w:ind w:left="284" w:right="20" w:hanging="284"/>
        <w:spacing w:after="0" w:line="299" w:lineRule="auto"/>
        <w:tabs>
          <w:tab w:leader="none" w:pos="284" w:val="left"/>
        </w:tabs>
        <w:numPr>
          <w:ilvl w:val="0"/>
          <w:numId w:val="3"/>
        </w:numPr>
        <w:rPr>
          <w:rFonts w:ascii="Arial" w:cs="Arial" w:eastAsia="Arial" w:hAnsi="Arial"/>
          <w:sz w:val="14"/>
          <w:szCs w:val="14"/>
          <w:color w:val="auto"/>
        </w:rPr>
      </w:pPr>
      <w:r>
        <w:rPr>
          <w:rFonts w:ascii="Arial" w:cs="Arial" w:eastAsia="Arial" w:hAnsi="Arial"/>
          <w:sz w:val="15"/>
          <w:szCs w:val="15"/>
          <w:u w:val="single" w:color="auto"/>
          <w:color w:val="auto"/>
        </w:rPr>
        <w:t>Commenced Dosing in a Phase 1 Trial of a Nicotine Vaccine for Smoking Cessation and Relapse Prevention Trial</w:t>
      </w:r>
      <w:r>
        <w:rPr>
          <w:rFonts w:ascii="Arial" w:cs="Arial" w:eastAsia="Arial" w:hAnsi="Arial"/>
          <w:sz w:val="15"/>
          <w:szCs w:val="15"/>
          <w:color w:val="auto"/>
        </w:rPr>
        <w:t>: In a separate announcement today, Selecta reported that it has commenced dosing in a Phase 1 clinical trial to assess the safety, tolerability and pharmacodynamic profile of SELA-070, a nicotine vaccine candidate in development for smoking cessation and relapse prevention. Unlike Selecta’s immune tolerance product candidates, which seek to avoid the production of antibodies, this treatment is intended to produce a high level of anti-nicotine antibodies that bind to the nicotine inhaled by smokers, thus preventing it from crossing the blood-brain barrier and triggering an addictive response. Funding for the product candidate and the Phase 1 trial is being provided primarily by the National Institute on Drug Abuse (NIDA), part of NIH (grant # U01DA037592).</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 Quarter Financial Results:</w:t>
      </w:r>
    </w:p>
    <w:p>
      <w:pPr>
        <w:spacing w:after="0" w:line="197" w:lineRule="exact"/>
        <w:rPr>
          <w:sz w:val="20"/>
          <w:szCs w:val="20"/>
          <w:color w:val="auto"/>
        </w:rPr>
      </w:pPr>
    </w:p>
    <w:p>
      <w:pPr>
        <w:jc w:val="both"/>
        <w:ind w:left="284" w:right="320" w:hanging="284"/>
        <w:spacing w:after="0" w:line="24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For the first quarter of 2017, the company’s total revenue was $0.1 million, which compares with $2.1 million for the first quarter of 2016. The decline is primarily the result of reduced revenue from the company's award with NIDA as well as the recent termination of the company’s collaboration with Sanofi.</w:t>
      </w:r>
    </w:p>
    <w:p>
      <w:pPr>
        <w:spacing w:after="0" w:line="169" w:lineRule="exact"/>
        <w:rPr>
          <w:rFonts w:ascii="Arial" w:cs="Arial" w:eastAsia="Arial" w:hAnsi="Arial"/>
          <w:sz w:val="16"/>
          <w:szCs w:val="16"/>
          <w:color w:val="auto"/>
        </w:rPr>
      </w:pPr>
    </w:p>
    <w:p>
      <w:pPr>
        <w:ind w:left="284" w:right="80" w:hanging="284"/>
        <w:spacing w:after="0" w:line="24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Research and development expenses for the first quarter of 2017 were $11.0 million, which compares with $6.6 million for the first quarter of 2016. The increase is primarily the result of increased clinical trial-related activities as well as increased headcount, salary and stock compensation expense.</w:t>
      </w:r>
    </w:p>
    <w:p>
      <w:pPr>
        <w:spacing w:after="0" w:line="169" w:lineRule="exact"/>
        <w:rPr>
          <w:rFonts w:ascii="Arial" w:cs="Arial" w:eastAsia="Arial" w:hAnsi="Arial"/>
          <w:sz w:val="16"/>
          <w:szCs w:val="16"/>
          <w:color w:val="auto"/>
        </w:rPr>
      </w:pPr>
    </w:p>
    <w:p>
      <w:pPr>
        <w:ind w:left="284" w:hanging="284"/>
        <w:spacing w:after="0" w:line="24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General and administrative expenses for the first quarter of 2017 were $3.9 million, which compares with $2.4 million for the first quarter of 2016. The increase is primarily the result of increased salary, legal, accounting, consulting and insurance fees associated with being a public company.</w:t>
      </w:r>
    </w:p>
    <w:p>
      <w:pPr>
        <w:spacing w:after="0" w:line="19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4"/>
          </w:cols>
          <w:pgMar w:left="236" w:top="734" w:right="219" w:bottom="1440" w:gutter="0" w:footer="0" w:header="0"/>
        </w:sectPr>
      </w:pPr>
    </w:p>
    <w:bookmarkStart w:id="6" w:name="page7"/>
    <w:bookmarkEnd w:id="6"/>
    <w:p>
      <w:pPr>
        <w:ind w:left="284" w:right="20" w:hanging="284"/>
        <w:spacing w:after="0" w:line="263" w:lineRule="auto"/>
        <w:tabs>
          <w:tab w:leader="none" w:pos="284" w:val="left"/>
        </w:tabs>
        <w:numPr>
          <w:ilvl w:val="0"/>
          <w:numId w:val="5"/>
        </w:numPr>
        <w:rPr>
          <w:rFonts w:ascii="Arial" w:cs="Arial" w:eastAsia="Arial" w:hAnsi="Arial"/>
          <w:sz w:val="15"/>
          <w:szCs w:val="15"/>
          <w:color w:val="auto"/>
        </w:rPr>
      </w:pPr>
      <w:r>
        <w:rPr>
          <w:rFonts w:ascii="Arial" w:cs="Arial" w:eastAsia="Arial" w:hAnsi="Arial"/>
          <w:sz w:val="17"/>
          <w:szCs w:val="17"/>
          <w:u w:val="single" w:color="auto"/>
          <w:color w:val="auto"/>
        </w:rPr>
        <w:t>Net Loss:</w:t>
      </w:r>
      <w:r>
        <w:rPr>
          <w:rFonts w:ascii="Arial" w:cs="Arial" w:eastAsia="Arial" w:hAnsi="Arial"/>
          <w:sz w:val="17"/>
          <w:szCs w:val="17"/>
          <w:color w:val="auto"/>
        </w:rPr>
        <w:t xml:space="preserve"> For the first quarter of 2017, Selecta reported a net loss attributable to common stockholders of $(15.1) million, or $(0.82) per share, compared to a net loss of $(9.8) million, or $(4.52) per share, for the same period in 2016. The decrease in net loss per share in the most recent quarter is primarily the result of shares of common stock that were issued in the company’s June 2016 initial public offering (IPO) and conversion of Selecta’s redeemable preferred stock into common stock in connection with the IPO, partially offset by an increase in net loss for the period.</w:t>
      </w:r>
    </w:p>
    <w:p>
      <w:pPr>
        <w:spacing w:after="0" w:line="156" w:lineRule="exact"/>
        <w:rPr>
          <w:rFonts w:ascii="Arial" w:cs="Arial" w:eastAsia="Arial" w:hAnsi="Arial"/>
          <w:sz w:val="15"/>
          <w:szCs w:val="15"/>
          <w:color w:val="auto"/>
        </w:rPr>
      </w:pPr>
    </w:p>
    <w:p>
      <w:pPr>
        <w:ind w:left="284" w:right="100" w:hanging="284"/>
        <w:spacing w:after="0" w:line="320" w:lineRule="auto"/>
        <w:tabs>
          <w:tab w:leader="none" w:pos="284" w:val="left"/>
        </w:tabs>
        <w:numPr>
          <w:ilvl w:val="0"/>
          <w:numId w:val="5"/>
        </w:numPr>
        <w:rPr>
          <w:rFonts w:ascii="Arial" w:cs="Arial" w:eastAsia="Arial" w:hAnsi="Arial"/>
          <w:sz w:val="14"/>
          <w:szCs w:val="14"/>
          <w:color w:val="auto"/>
        </w:rPr>
      </w:pPr>
      <w:r>
        <w:rPr>
          <w:rFonts w:ascii="Arial" w:cs="Arial" w:eastAsia="Arial" w:hAnsi="Arial"/>
          <w:sz w:val="15"/>
          <w:szCs w:val="15"/>
          <w:u w:val="single" w:color="auto"/>
          <w:color w:val="auto"/>
        </w:rPr>
        <w:t>Cash Position:</w:t>
      </w:r>
      <w:r>
        <w:rPr>
          <w:rFonts w:ascii="Arial" w:cs="Arial" w:eastAsia="Arial" w:hAnsi="Arial"/>
          <w:sz w:val="15"/>
          <w:szCs w:val="15"/>
          <w:color w:val="auto"/>
        </w:rPr>
        <w:t xml:space="preserve"> Selecta had $68.9 million in cash, cash equivalents, short-term deposits, investments and restricted cash as of March 31, 2017, which compares with a balance of $84.5 million at December 31, 2016. Selecta continues to expect that its cash, cash equivalents, short-term deposits, investments and restricted cash will be sufficient to fund the company’s operating expenses and capital expenditure requirements into mid-2018.</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Reminder</w:t>
      </w:r>
    </w:p>
    <w:p>
      <w:pPr>
        <w:spacing w:after="0" w:line="197" w:lineRule="exact"/>
        <w:rPr>
          <w:sz w:val="20"/>
          <w:szCs w:val="20"/>
          <w:color w:val="auto"/>
        </w:rPr>
      </w:pPr>
    </w:p>
    <w:p>
      <w:pPr>
        <w:ind w:left="4" w:right="280"/>
        <w:spacing w:after="0" w:line="309" w:lineRule="auto"/>
        <w:rPr>
          <w:sz w:val="20"/>
          <w:szCs w:val="20"/>
          <w:color w:val="auto"/>
        </w:rPr>
      </w:pPr>
      <w:r>
        <w:rPr>
          <w:rFonts w:ascii="Arial" w:cs="Arial" w:eastAsia="Arial" w:hAnsi="Arial"/>
          <w:sz w:val="15"/>
          <w:szCs w:val="15"/>
          <w:color w:val="auto"/>
        </w:rPr>
        <w:t xml:space="preserve">Selecta management will host a conference call at 5:00 p.m. ET today to provide a corporate update and review the company’s first quarter financial results. Investors and the public can access a live and archived webcast of this call via the Investors &amp; Media section of the company’s website, </w:t>
      </w:r>
      <w:r>
        <w:rPr>
          <w:rFonts w:ascii="Arial" w:cs="Arial" w:eastAsia="Arial" w:hAnsi="Arial"/>
          <w:sz w:val="15"/>
          <w:szCs w:val="15"/>
          <w:u w:val="single" w:color="auto"/>
          <w:color w:val="0000FF"/>
        </w:rPr>
        <w:t>http://selectabio.com</w:t>
      </w:r>
      <w:r>
        <w:rPr>
          <w:rFonts w:ascii="Arial" w:cs="Arial" w:eastAsia="Arial" w:hAnsi="Arial"/>
          <w:sz w:val="15"/>
          <w:szCs w:val="15"/>
          <w:color w:val="auto"/>
        </w:rPr>
        <w:t>. Individuals may also participate in the call via telephone by dialing (877) 270-2148 (domestic) or (412) 902-6510 (international) and may access a teleconference replay for one week by dialing (877) 344-7529 (domestic) or (412) 317-0088 (international) and using confirmation code 10106207.</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Selecta Biosciences, Inc.</w:t>
      </w:r>
    </w:p>
    <w:p>
      <w:pPr>
        <w:spacing w:after="0" w:line="197" w:lineRule="exact"/>
        <w:rPr>
          <w:sz w:val="20"/>
          <w:szCs w:val="20"/>
          <w:color w:val="auto"/>
        </w:rPr>
      </w:pPr>
    </w:p>
    <w:p>
      <w:pPr>
        <w:ind w:left="4"/>
        <w:spacing w:after="0" w:line="256" w:lineRule="auto"/>
        <w:rPr>
          <w:sz w:val="20"/>
          <w:szCs w:val="20"/>
          <w:color w:val="auto"/>
        </w:rPr>
      </w:pPr>
      <w:r>
        <w:rPr>
          <w:rFonts w:ascii="Arial" w:cs="Arial" w:eastAsia="Arial" w:hAnsi="Arial"/>
          <w:sz w:val="17"/>
          <w:szCs w:val="17"/>
          <w:color w:val="auto"/>
        </w:rPr>
        <w:t xml:space="preserve">Selecta Biosciences, Inc. is a clinical-stage biopharmaceutical company that is focused on unlocking the full potential of biologic therapies by avoiding unwanted immune responses. Selecta plans to combine its tolerogenic Synthetic Vaccine Particles (SVP™) to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clinical oncology candidate, LMB-100, is in a Phase 1 program targeting pancreatic cancer and mesothelioma. Its two proprietary gene therapy product candidates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w:t>
      </w:r>
      <w:r>
        <w:rPr>
          <w:rFonts w:ascii="Arial" w:cs="Arial" w:eastAsia="Arial" w:hAnsi="Arial"/>
          <w:sz w:val="17"/>
          <w:szCs w:val="17"/>
          <w:u w:val="single" w:color="auto"/>
          <w:color w:val="0000FF"/>
        </w:rPr>
        <w:t>http://selectabio.com</w:t>
      </w:r>
      <w:r>
        <w:rPr>
          <w:rFonts w:ascii="Arial" w:cs="Arial" w:eastAsia="Arial" w:hAnsi="Arial"/>
          <w:sz w:val="17"/>
          <w:szCs w:val="17"/>
          <w:color w:val="auto"/>
        </w:rPr>
        <w:t xml:space="preserve"> and follow @SelectaBio on Twitter.</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97" w:lineRule="exact"/>
        <w:rPr>
          <w:sz w:val="20"/>
          <w:szCs w:val="20"/>
          <w:color w:val="auto"/>
        </w:rPr>
      </w:pPr>
    </w:p>
    <w:p>
      <w:pPr>
        <w:ind w:left="4"/>
        <w:spacing w:after="0" w:line="293" w:lineRule="auto"/>
        <w:rPr>
          <w:sz w:val="20"/>
          <w:szCs w:val="20"/>
          <w:color w:val="auto"/>
        </w:rPr>
      </w:pPr>
      <w:r>
        <w:rPr>
          <w:rFonts w:ascii="Arial" w:cs="Arial" w:eastAsia="Arial" w:hAnsi="Arial"/>
          <w:sz w:val="15"/>
          <w:szCs w:val="15"/>
          <w:i w:val="1"/>
          <w:iCs w:val="1"/>
          <w:color w:val="auto"/>
        </w:rPr>
        <w:t>Any statements in this press release about the future expectations, plans and prospects of Selecta Biosciences, Inc. (“the company”), including without limitation, statements regarding the progress of the Phase 1/2 clinical program of SEL-212 including the pace of enrollment, the potential of SEL-212 to treat severe gout patients and resolve their debilitating symptoms, whether the Phase 2 of SEL-212 will be completed in 2017 and whether the Phase 3 trial will be initiated in 2018,the company’s ability to unlock the full potential of biologic therapies, the potential applications for products utilizing the SVP platform in areas such as enzyme therapy, gene therapy, oncology therapy, vaccines and treatments for allergies and autoimmune diseases, whether the combination of LMB-100 and SVP-Rapamycin may allow patients to avoid antibody responses and benefit from a full treatment of LMB-100, whether Selecta and NCI initiate a Phase 1b clinical trial of the LMB-100 and SVP-Rapamycin combination, the potential of the company’s two gene therapy product candidates to enable repeat administration, the progress of the company’s Phase I clinical trial in SELA-070, statements regarding the ability of SELA-070 to achieve smoking cessation and relapse prevention, statements regarding SELA-070’s ability to produce a high level of anti-nicotine antibodies and ultimately prevent nicotine from crossing the blood-brain barrier, the sufficiency of the company’s cash, cash equivalents, investments, and restricted cash and other statements containing the words “anticipate,”</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885" w:right="21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7"/>
          <w:szCs w:val="17"/>
          <w:i w:val="1"/>
          <w:iCs w:val="1"/>
          <w:color w:val="auto"/>
        </w:rPr>
        <w:t>“believe,”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Annual Report on Form 10-K filed with the Securities and Exchange Commission, or SEC, on March 28,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40" w:top="535" w:right="2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 except for shares and par value)</w:t>
      </w:r>
    </w:p>
    <w:p>
      <w:pPr>
        <w:spacing w:after="0" w:line="270" w:lineRule="exact"/>
        <w:rPr>
          <w:sz w:val="20"/>
          <w:szCs w:val="20"/>
          <w:color w:val="auto"/>
        </w:rPr>
      </w:pPr>
    </w:p>
    <w:p>
      <w:pPr>
        <w:jc w:val="right"/>
        <w:ind w:right="120"/>
        <w:spacing w:after="0"/>
        <w:tabs>
          <w:tab w:leader="none" w:pos="1000" w:val="left"/>
        </w:tabs>
        <w:rPr>
          <w:sz w:val="20"/>
          <w:szCs w:val="20"/>
          <w:color w:val="auto"/>
        </w:rPr>
      </w:pPr>
      <w:r>
        <w:rPr>
          <w:rFonts w:ascii="Arial" w:cs="Arial" w:eastAsia="Arial" w:hAnsi="Arial"/>
          <w:sz w:val="13"/>
          <w:szCs w:val="13"/>
          <w:b w:val="1"/>
          <w:bCs w:val="1"/>
          <w:color w:val="auto"/>
        </w:rPr>
        <w:t>March 31, 2017</w:t>
      </w:r>
      <w:r>
        <w:rPr>
          <w:sz w:val="20"/>
          <w:szCs w:val="20"/>
          <w:color w:val="auto"/>
        </w:rPr>
        <w:tab/>
      </w:r>
      <w:r>
        <w:rPr>
          <w:rFonts w:ascii="Arial" w:cs="Arial" w:eastAsia="Arial" w:hAnsi="Arial"/>
          <w:sz w:val="11"/>
          <w:szCs w:val="11"/>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55880</wp:posOffset>
            </wp:positionV>
            <wp:extent cx="16624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2430" cy="7620"/>
                    </a:xfrm>
                    <a:prstGeom prst="rect">
                      <a:avLst/>
                    </a:prstGeom>
                    <a:noFill/>
                  </pic:spPr>
                </pic:pic>
              </a:graphicData>
            </a:graphic>
          </wp:anchor>
        </w:drawing>
      </w:r>
    </w:p>
    <w:p>
      <w:pPr>
        <w:sectPr>
          <w:pgSz w:w="11900" w:h="16838" w:orient="portrait"/>
          <w:cols w:equalWidth="0" w:num="1">
            <w:col w:w="11420"/>
          </w:cols>
          <w:pgMar w:left="260" w:top="823" w:right="219" w:bottom="144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Short-term deposits and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Prepaid expenses and other current assets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net</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and other deposits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Other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Total assets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Liabilities and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Current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Accounts payable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Accrued expenses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Loans payable, current portion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current portion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92"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26,637</w:t>
            </w:r>
          </w:p>
        </w:tc>
        <w:tc>
          <w:tcPr>
            <w:tcW w:w="100" w:type="dxa"/>
            <w:vAlign w:val="bottom"/>
          </w:tcPr>
          <w:p>
            <w:pPr>
              <w:spacing w:after="0"/>
              <w:rPr>
                <w:sz w:val="14"/>
                <w:szCs w:val="14"/>
                <w:color w:val="auto"/>
              </w:rPr>
            </w:pPr>
          </w:p>
        </w:tc>
        <w:tc>
          <w:tcPr>
            <w:tcW w:w="4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58,656</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41,885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25,485</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78</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215</w:t>
            </w:r>
          </w:p>
        </w:tc>
      </w:tr>
      <w:tr>
        <w:trPr>
          <w:trHeight w:val="246"/>
        </w:trPr>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2,382</w:t>
            </w:r>
          </w:p>
        </w:tc>
      </w:tr>
      <w:tr>
        <w:trPr>
          <w:trHeight w:val="216"/>
        </w:trPr>
        <w:tc>
          <w:tcPr>
            <w:tcW w:w="44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71,486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86,816</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2,047</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316</w:t>
            </w:r>
          </w:p>
        </w:tc>
      </w:tr>
      <w:tr>
        <w:trPr>
          <w:trHeight w:val="246"/>
        </w:trPr>
        <w:tc>
          <w:tcPr>
            <w:tcW w:w="4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122</w:t>
            </w:r>
          </w:p>
        </w:tc>
      </w:tr>
      <w:tr>
        <w:trPr>
          <w:trHeight w:val="209"/>
        </w:trPr>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73,856</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89,301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71"/>
        </w:trPr>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24"/>
                <w:szCs w:val="24"/>
                <w:color w:val="auto"/>
              </w:rPr>
            </w:pPr>
          </w:p>
        </w:tc>
        <w:tc>
          <w:tcPr>
            <w:tcW w:w="4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3,882</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5,521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3,921</w:t>
            </w:r>
          </w:p>
        </w:tc>
      </w:tr>
      <w:tr>
        <w:trPr>
          <w:trHeight w:val="241"/>
        </w:trPr>
        <w:tc>
          <w:tcPr>
            <w:tcW w:w="44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4,519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4,067</w:t>
            </w:r>
          </w:p>
        </w:tc>
      </w:tr>
      <w:tr>
        <w:trPr>
          <w:trHeight w:val="246"/>
        </w:trPr>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1,947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1,836</w:t>
            </w:r>
          </w:p>
        </w:tc>
      </w:tr>
      <w:tr>
        <w:trPr>
          <w:trHeight w:val="216"/>
        </w:trPr>
        <w:tc>
          <w:tcPr>
            <w:tcW w:w="44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13,304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13,706</w:t>
            </w:r>
          </w:p>
        </w:tc>
      </w:tr>
    </w:tbl>
    <w:p>
      <w:pPr>
        <w:spacing w:after="0" w:line="259" w:lineRule="exact"/>
        <w:rPr>
          <w:sz w:val="20"/>
          <w:szCs w:val="20"/>
          <w:color w:val="auto"/>
        </w:rPr>
      </w:pPr>
    </w:p>
    <w:p>
      <w:pPr>
        <w:sectPr>
          <w:pgSz w:w="11900" w:h="16838" w:orient="portrait"/>
          <w:cols w:equalWidth="0" w:num="2">
            <w:col w:w="8080" w:space="720"/>
            <w:col w:w="2620"/>
          </w:cols>
          <w:pgMar w:left="260" w:top="823" w:right="2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8800" w:type="dxa"/>
            <w:vAlign w:val="bottom"/>
          </w:tcPr>
          <w:p>
            <w:pPr>
              <w:spacing w:after="0"/>
              <w:rPr>
                <w:sz w:val="20"/>
                <w:szCs w:val="20"/>
                <w:color w:val="auto"/>
              </w:rPr>
            </w:pPr>
            <w:r>
              <w:rPr>
                <w:rFonts w:ascii="Arial" w:cs="Arial" w:eastAsia="Arial" w:hAnsi="Arial"/>
                <w:sz w:val="13"/>
                <w:szCs w:val="13"/>
                <w:color w:val="auto"/>
              </w:rPr>
              <w:t>Deferred rent and lease incentive</w:t>
            </w:r>
          </w:p>
        </w:tc>
        <w:tc>
          <w:tcPr>
            <w:tcW w:w="380" w:type="dxa"/>
            <w:vAlign w:val="bottom"/>
          </w:tcPr>
          <w:p>
            <w:pPr>
              <w:spacing w:after="0"/>
              <w:rPr>
                <w:sz w:val="14"/>
                <w:szCs w:val="14"/>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Loans payable, net of current portion</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6,867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7,977</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Deferred revenue, net of current portion</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12,385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12,439</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liabilities</w:t>
            </w:r>
          </w:p>
        </w:tc>
        <w:tc>
          <w:tcPr>
            <w:tcW w:w="380" w:type="dxa"/>
            <w:vAlign w:val="bottom"/>
          </w:tcPr>
          <w:p>
            <w:pPr>
              <w:spacing w:after="0"/>
              <w:rPr>
                <w:sz w:val="13"/>
                <w:szCs w:val="13"/>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32,766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34,344</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Stockholders’ equity:</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800" w:type="dxa"/>
            <w:vAlign w:val="bottom"/>
          </w:tcPr>
          <w:p>
            <w:pPr>
              <w:spacing w:after="0"/>
              <w:rPr>
                <w:sz w:val="20"/>
                <w:szCs w:val="20"/>
                <w:color w:val="auto"/>
              </w:rPr>
            </w:pPr>
            <w:r>
              <w:rPr>
                <w:rFonts w:ascii="Arial" w:cs="Arial" w:eastAsia="Arial" w:hAnsi="Arial"/>
                <w:sz w:val="13"/>
                <w:szCs w:val="13"/>
                <w:color w:val="auto"/>
                <w:w w:val="96"/>
              </w:rPr>
              <w:t>Preferred stock, $0.0001 par value; 10,000,000 shares authorized; no shares issued and outstanding at March 31, 2017 and December 31, 2016, respectively.</w:t>
            </w:r>
          </w:p>
        </w:tc>
        <w:tc>
          <w:tcPr>
            <w:tcW w:w="3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800" w:type="dxa"/>
            <w:vAlign w:val="bottom"/>
          </w:tcPr>
          <w:p>
            <w:pPr>
              <w:spacing w:after="0"/>
              <w:rPr>
                <w:sz w:val="20"/>
                <w:szCs w:val="20"/>
                <w:color w:val="auto"/>
              </w:rPr>
            </w:pPr>
            <w:r>
              <w:rPr>
                <w:rFonts w:ascii="Arial" w:cs="Arial" w:eastAsia="Arial" w:hAnsi="Arial"/>
                <w:sz w:val="13"/>
                <w:szCs w:val="13"/>
                <w:color w:val="auto"/>
                <w:w w:val="92"/>
              </w:rPr>
              <w:t>Common stock, $0.0001 par value; 200,000,000 shares authorized; 18,552,385 and 18,438,742 shares issued and outstanding as of March 31, 2017 and December</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800" w:type="dxa"/>
            <w:vAlign w:val="bottom"/>
          </w:tcPr>
          <w:p>
            <w:pPr>
              <w:spacing w:after="0"/>
              <w:rPr>
                <w:sz w:val="20"/>
                <w:szCs w:val="20"/>
                <w:color w:val="auto"/>
              </w:rPr>
            </w:pPr>
            <w:r>
              <w:rPr>
                <w:rFonts w:ascii="Arial" w:cs="Arial" w:eastAsia="Arial" w:hAnsi="Arial"/>
                <w:sz w:val="13"/>
                <w:szCs w:val="13"/>
                <w:color w:val="auto"/>
              </w:rPr>
              <w:t>31, 2016, respectively.</w:t>
            </w:r>
          </w:p>
        </w:tc>
        <w:tc>
          <w:tcPr>
            <w:tcW w:w="38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212,249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211,125</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Receivable from stock option exercises</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Accumulated deficit</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(166,710)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(151,576)</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(4,380)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(4,518)</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380" w:type="dxa"/>
            <w:vAlign w:val="bottom"/>
          </w:tcPr>
          <w:p>
            <w:pPr>
              <w:spacing w:after="0"/>
              <w:rPr>
                <w:sz w:val="13"/>
                <w:szCs w:val="13"/>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41,090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54,957</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liabilities, redeemable convertible preferred stock and stockholders’ equity</w:t>
            </w: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73,856</w:t>
            </w:r>
          </w:p>
        </w:tc>
        <w:tc>
          <w:tcPr>
            <w:tcW w:w="100" w:type="dxa"/>
            <w:vAlign w:val="bottom"/>
          </w:tcPr>
          <w:p>
            <w:pPr>
              <w:spacing w:after="0"/>
              <w:rPr>
                <w:sz w:val="13"/>
                <w:szCs w:val="13"/>
                <w:color w:val="auto"/>
              </w:rPr>
            </w:pPr>
          </w:p>
        </w:tc>
        <w:tc>
          <w:tcPr>
            <w:tcW w:w="400" w:type="dxa"/>
            <w:vAlign w:val="bottom"/>
            <w:vMerge w:val="restart"/>
          </w:tcPr>
          <w:p>
            <w:pPr>
              <w:jc w:val="right"/>
              <w:ind w:right="23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89,301</w:t>
            </w:r>
          </w:p>
        </w:tc>
        <w:tc>
          <w:tcPr>
            <w:tcW w:w="0" w:type="dxa"/>
            <w:vAlign w:val="bottom"/>
          </w:tcPr>
          <w:p>
            <w:pPr>
              <w:spacing w:after="0"/>
              <w:rPr>
                <w:sz w:val="1"/>
                <w:szCs w:val="1"/>
                <w:color w:val="auto"/>
              </w:rPr>
            </w:pPr>
          </w:p>
        </w:tc>
      </w:tr>
      <w:tr>
        <w:trPr>
          <w:trHeight w:val="58"/>
        </w:trPr>
        <w:tc>
          <w:tcPr>
            <w:tcW w:w="8800" w:type="dxa"/>
            <w:vAlign w:val="bottom"/>
          </w:tcPr>
          <w:p>
            <w:pPr>
              <w:spacing w:after="0"/>
              <w:rPr>
                <w:sz w:val="4"/>
                <w:szCs w:val="4"/>
                <w:color w:val="auto"/>
              </w:rPr>
            </w:pPr>
          </w:p>
        </w:tc>
        <w:tc>
          <w:tcPr>
            <w:tcW w:w="38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60" w:top="823" w:right="21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3"/>
          <w:szCs w:val="13"/>
          <w:color w:val="auto"/>
        </w:rPr>
        <w:t>Grant and collaboration revenue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expenses: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Research and development</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General and administrative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operating expenses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from operations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Investment income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Foreign currency transaction gain (loss), net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expense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expense, net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loss:</w:t>
      </w:r>
    </w:p>
    <w:p>
      <w:pPr>
        <w:spacing w:after="0" w:line="92" w:lineRule="exact"/>
        <w:rPr>
          <w:sz w:val="20"/>
          <w:szCs w:val="20"/>
          <w:color w:val="auto"/>
        </w:rPr>
      </w:pPr>
    </w:p>
    <w:p>
      <w:pPr>
        <w:ind w:left="140" w:right="820"/>
        <w:spacing w:after="0" w:line="457" w:lineRule="auto"/>
        <w:rPr>
          <w:sz w:val="20"/>
          <w:szCs w:val="20"/>
          <w:color w:val="auto"/>
        </w:rPr>
      </w:pPr>
      <w:r>
        <w:rPr>
          <w:rFonts w:ascii="Arial" w:cs="Arial" w:eastAsia="Arial" w:hAnsi="Arial"/>
          <w:sz w:val="11"/>
          <w:szCs w:val="11"/>
          <w:color w:val="auto"/>
        </w:rPr>
        <w:t>Foreign currency translation adjustment Unrealized gain (loss) on securities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loss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92" w:lineRule="exact"/>
        <w:rPr>
          <w:sz w:val="20"/>
          <w:szCs w:val="20"/>
          <w:color w:val="auto"/>
        </w:rPr>
      </w:pPr>
    </w:p>
    <w:p>
      <w:pPr>
        <w:ind w:left="20" w:firstLine="314"/>
        <w:spacing w:after="0" w:line="387" w:lineRule="auto"/>
        <w:rPr>
          <w:sz w:val="20"/>
          <w:szCs w:val="20"/>
          <w:color w:val="auto"/>
        </w:rPr>
      </w:pPr>
      <w:r>
        <w:rPr>
          <w:rFonts w:ascii="Arial" w:cs="Arial" w:eastAsia="Arial" w:hAnsi="Arial"/>
          <w:sz w:val="13"/>
          <w:szCs w:val="13"/>
          <w:color w:val="auto"/>
        </w:rPr>
        <w:t>Accretion of redeemable convertible preferred stock Net loss attributable to common stockholders</w:t>
      </w:r>
    </w:p>
    <w:p>
      <w:pPr>
        <w:ind w:left="140" w:right="160" w:hanging="120"/>
        <w:spacing w:after="0" w:line="387" w:lineRule="auto"/>
        <w:rPr>
          <w:sz w:val="20"/>
          <w:szCs w:val="20"/>
          <w:color w:val="auto"/>
        </w:rPr>
      </w:pPr>
      <w:r>
        <w:rPr>
          <w:rFonts w:ascii="Arial" w:cs="Arial" w:eastAsia="Arial" w:hAnsi="Arial"/>
          <w:sz w:val="13"/>
          <w:szCs w:val="13"/>
          <w:color w:val="auto"/>
        </w:rPr>
        <w:t>Net loss per share attributable to common stockholders Basic and diluted</w:t>
      </w:r>
    </w:p>
    <w:p>
      <w:pPr>
        <w:ind w:left="140" w:right="620" w:hanging="120"/>
        <w:spacing w:after="0" w:line="408" w:lineRule="auto"/>
        <w:rPr>
          <w:sz w:val="20"/>
          <w:szCs w:val="20"/>
          <w:color w:val="auto"/>
        </w:rPr>
      </w:pPr>
      <w:r>
        <w:rPr>
          <w:rFonts w:ascii="Arial" w:cs="Arial" w:eastAsia="Arial" w:hAnsi="Arial"/>
          <w:sz w:val="13"/>
          <w:szCs w:val="13"/>
          <w:color w:val="auto"/>
        </w:rPr>
        <w:t>Weighted average common shares outstanding Basic and diluted</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06" w:lineRule="exact"/>
        <w:rPr>
          <w:sz w:val="20"/>
          <w:szCs w:val="20"/>
          <w:color w:val="auto"/>
        </w:rPr>
      </w:pPr>
    </w:p>
    <w:p>
      <w:pPr>
        <w:ind w:right="3400" w:firstLine="133"/>
        <w:spacing w:after="0" w:line="503" w:lineRule="auto"/>
        <w:rPr>
          <w:sz w:val="20"/>
          <w:szCs w:val="20"/>
          <w:color w:val="auto"/>
        </w:rPr>
      </w:pPr>
      <w:r>
        <w:rPr>
          <w:rFonts w:ascii="Arial" w:cs="Arial" w:eastAsia="Arial" w:hAnsi="Arial"/>
          <w:sz w:val="14"/>
          <w:szCs w:val="14"/>
          <w:b w:val="1"/>
          <w:bCs w:val="1"/>
          <w:color w:val="auto"/>
        </w:rPr>
        <w:t>Consolidated Statements of Operations and Comprehensive Loss (Unaudited, amounts in thousands, except share and per share data)</w:t>
      </w:r>
    </w:p>
    <w:p>
      <w:pPr>
        <w:spacing w:after="0" w:line="106"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17145</wp:posOffset>
            </wp:positionV>
            <wp:extent cx="16624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2430" cy="7620"/>
                    </a:xfrm>
                    <a:prstGeom prst="rect">
                      <a:avLst/>
                    </a:prstGeom>
                    <a:noFill/>
                  </pic:spPr>
                </pic:pic>
              </a:graphicData>
            </a:graphic>
          </wp:anchor>
        </w:drawing>
      </w:r>
    </w:p>
    <w:p>
      <w:pPr>
        <w:spacing w:after="0" w:line="84" w:lineRule="exact"/>
        <w:rPr>
          <w:sz w:val="20"/>
          <w:szCs w:val="20"/>
          <w:color w:val="auto"/>
        </w:rPr>
      </w:pPr>
    </w:p>
    <w:tbl>
      <w:tblPr>
        <w:tblLayout w:type="fixed"/>
        <w:tblInd w:w="5440" w:type="dxa"/>
        <w:tblCellMar>
          <w:top w:w="0" w:type="dxa"/>
          <w:left w:w="0" w:type="dxa"/>
          <w:bottom w:w="0" w:type="dxa"/>
          <w:right w:w="0" w:type="dxa"/>
        </w:tblCellMar>
      </w:tblPr>
      <w:tr>
        <w:trPr>
          <w:trHeight w:val="172"/>
        </w:trPr>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2016</w:t>
            </w:r>
          </w:p>
        </w:tc>
      </w:tr>
      <w:tr>
        <w:trPr>
          <w:trHeight w:val="216"/>
        </w:trPr>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2,088</w:t>
            </w:r>
          </w:p>
        </w:tc>
      </w:tr>
      <w:tr>
        <w:trPr>
          <w:trHeight w:val="482"/>
        </w:trPr>
        <w:tc>
          <w:tcPr>
            <w:tcW w:w="3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11,044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6,648</w:t>
            </w:r>
          </w:p>
        </w:tc>
      </w:tr>
      <w:tr>
        <w:trPr>
          <w:trHeight w:val="246"/>
        </w:trPr>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3,875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2,381</w:t>
            </w:r>
          </w:p>
        </w:tc>
      </w:tr>
      <w:tr>
        <w:trPr>
          <w:trHeight w:val="221"/>
        </w:trPr>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9,029</w:t>
            </w:r>
          </w:p>
        </w:tc>
      </w:tr>
      <w:tr>
        <w:trPr>
          <w:trHeight w:val="216"/>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(6,941)</w:t>
            </w:r>
          </w:p>
        </w:tc>
      </w:tr>
      <w:tr>
        <w:trPr>
          <w:trHeight w:val="241"/>
        </w:trPr>
        <w:tc>
          <w:tcPr>
            <w:tcW w:w="30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13</w:t>
            </w:r>
          </w:p>
        </w:tc>
      </w:tr>
      <w:tr>
        <w:trPr>
          <w:trHeight w:val="241"/>
        </w:trPr>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(220)</w:t>
            </w:r>
          </w:p>
        </w:tc>
      </w:tr>
      <w:tr>
        <w:trPr>
          <w:trHeight w:val="241"/>
        </w:trPr>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(310)</w:t>
            </w:r>
          </w:p>
        </w:tc>
      </w:tr>
      <w:tr>
        <w:trPr>
          <w:trHeight w:val="246"/>
        </w:trPr>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(18)</w:t>
            </w:r>
          </w:p>
        </w:tc>
      </w:tr>
      <w:tr>
        <w:trPr>
          <w:trHeight w:val="221"/>
        </w:trPr>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(7,476)</w:t>
            </w:r>
          </w:p>
        </w:tc>
      </w:tr>
      <w:tr>
        <w:trPr>
          <w:trHeight w:val="457"/>
        </w:trPr>
        <w:tc>
          <w:tcPr>
            <w:tcW w:w="3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231</w:t>
            </w:r>
          </w:p>
        </w:tc>
      </w:tr>
      <w:tr>
        <w:trPr>
          <w:trHeight w:val="246"/>
        </w:trPr>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r>
      <w:tr>
        <w:trPr>
          <w:trHeight w:val="209"/>
        </w:trPr>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(7,245)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(7,476)</w:t>
            </w:r>
          </w:p>
        </w:tc>
      </w:tr>
      <w:tr>
        <w:trPr>
          <w:trHeight w:val="246"/>
        </w:trPr>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(2,356)</w:t>
            </w:r>
          </w:p>
        </w:tc>
      </w:tr>
      <w:tr>
        <w:trPr>
          <w:trHeight w:val="209"/>
        </w:trPr>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(9,832)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2"/>
        </w:trPr>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(4.52)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2"/>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18,474,227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2,175,037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3020" w:space="360"/>
            <w:col w:w="8060"/>
          </w:cols>
          <w:pgMar w:left="240" w:top="823" w:right="21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Fredette</w:t>
      </w:r>
    </w:p>
    <w:p>
      <w:pPr>
        <w:spacing w:after="0" w:line="237" w:lineRule="auto"/>
        <w:rPr>
          <w:sz w:val="20"/>
          <w:szCs w:val="20"/>
          <w:color w:val="auto"/>
        </w:rPr>
      </w:pPr>
      <w:r>
        <w:rPr>
          <w:rFonts w:ascii="Arial" w:cs="Arial" w:eastAsia="Arial" w:hAnsi="Arial"/>
          <w:sz w:val="18"/>
          <w:szCs w:val="18"/>
          <w:color w:val="auto"/>
        </w:rPr>
        <w:t>Selecta Biosciences, Inc.</w:t>
      </w:r>
    </w:p>
    <w:p>
      <w:pPr>
        <w:spacing w:after="0" w:line="238" w:lineRule="auto"/>
        <w:rPr>
          <w:sz w:val="20"/>
          <w:szCs w:val="20"/>
          <w:color w:val="auto"/>
        </w:rPr>
      </w:pPr>
      <w:r>
        <w:rPr>
          <w:rFonts w:ascii="Arial" w:cs="Arial" w:eastAsia="Arial" w:hAnsi="Arial"/>
          <w:sz w:val="18"/>
          <w:szCs w:val="18"/>
          <w:color w:val="auto"/>
        </w:rPr>
        <w:t>617-231-8078</w:t>
      </w:r>
    </w:p>
    <w:p>
      <w:pPr>
        <w:spacing w:after="0"/>
        <w:rPr>
          <w:sz w:val="20"/>
          <w:szCs w:val="20"/>
          <w:color w:val="auto"/>
        </w:rPr>
      </w:pPr>
      <w:r>
        <w:rPr>
          <w:rFonts w:ascii="Arial" w:cs="Arial" w:eastAsia="Arial" w:hAnsi="Arial"/>
          <w:sz w:val="18"/>
          <w:szCs w:val="18"/>
          <w:u w:val="single" w:color="auto"/>
          <w:color w:val="0000FF"/>
        </w:rPr>
        <w:t>jfredette@selectabio.com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823" w:right="219" w:bottom="144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5861685</wp:posOffset>
            </wp:positionV>
            <wp:extent cx="719709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63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63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2019-12-07T10:25:40Z</dcterms:created>
  <dcterms:modified xsi:type="dcterms:W3CDTF">2019-12-07T10:25:40Z</dcterms:modified>
</cp:coreProperties>
</file>