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5" w:lineRule="auto"/>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139"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ind w:left="4800"/>
        <w:spacing w:after="0"/>
        <w:rPr>
          <w:sz w:val="20"/>
          <w:szCs w:val="20"/>
          <w:color w:val="auto"/>
        </w:rPr>
      </w:pPr>
      <w:r>
        <w:rPr>
          <w:rFonts w:ascii="Arial" w:cs="Arial" w:eastAsia="Arial" w:hAnsi="Arial"/>
          <w:sz w:val="22"/>
          <w:szCs w:val="22"/>
          <w:b w:val="1"/>
          <w:bCs w:val="1"/>
          <w:color w:val="auto"/>
        </w:rPr>
        <w:t>(Amendment No. )*</w:t>
      </w:r>
    </w:p>
    <w:p>
      <w:pPr>
        <w:spacing w:after="0" w:line="142" w:lineRule="exact"/>
        <w:rPr>
          <w:sz w:val="24"/>
          <w:szCs w:val="24"/>
          <w:color w:val="auto"/>
        </w:rPr>
      </w:pPr>
    </w:p>
    <w:p>
      <w:pPr>
        <w:ind w:left="4180"/>
        <w:spacing w:after="0"/>
        <w:rPr>
          <w:sz w:val="20"/>
          <w:szCs w:val="20"/>
          <w:color w:val="auto"/>
        </w:rPr>
      </w:pPr>
      <w:r>
        <w:rPr>
          <w:rFonts w:ascii="Arial" w:cs="Arial" w:eastAsia="Arial" w:hAnsi="Arial"/>
          <w:sz w:val="22"/>
          <w:szCs w:val="22"/>
          <w:b w:val="1"/>
          <w:bCs w:val="1"/>
          <w:u w:val="single" w:color="auto"/>
          <w:color w:val="auto"/>
        </w:rPr>
        <w:t>SELECTA BIOSCIENCES, INC.</w:t>
      </w:r>
    </w:p>
    <w:p>
      <w:pPr>
        <w:jc w:val="center"/>
        <w:ind w:right="-59"/>
        <w:spacing w:after="0"/>
        <w:rPr>
          <w:sz w:val="20"/>
          <w:szCs w:val="20"/>
          <w:color w:val="auto"/>
        </w:rPr>
      </w:pPr>
      <w:r>
        <w:rPr>
          <w:rFonts w:ascii="Arial" w:cs="Arial" w:eastAsia="Arial" w:hAnsi="Arial"/>
          <w:sz w:val="22"/>
          <w:szCs w:val="22"/>
          <w:color w:val="auto"/>
        </w:rPr>
        <w:t>(Name of Issuer)</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Common Stock, par value $0.0001 par value per share</w:t>
      </w: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50" w:lineRule="exact"/>
        <w:rPr>
          <w:sz w:val="24"/>
          <w:szCs w:val="24"/>
          <w:color w:val="auto"/>
        </w:rPr>
      </w:pPr>
    </w:p>
    <w:p>
      <w:pPr>
        <w:ind w:left="5220"/>
        <w:spacing w:after="0"/>
        <w:rPr>
          <w:sz w:val="20"/>
          <w:szCs w:val="20"/>
          <w:color w:val="auto"/>
        </w:rPr>
      </w:pPr>
      <w:r>
        <w:rPr>
          <w:rFonts w:ascii="Arial" w:cs="Arial" w:eastAsia="Arial" w:hAnsi="Arial"/>
          <w:sz w:val="22"/>
          <w:szCs w:val="22"/>
          <w:b w:val="1"/>
          <w:bCs w:val="1"/>
          <w:u w:val="single" w:color="auto"/>
          <w:color w:val="auto"/>
        </w:rPr>
        <w:t>816212104</w:t>
      </w:r>
    </w:p>
    <w:p>
      <w:pPr>
        <w:ind w:left="4980"/>
        <w:spacing w:after="0"/>
        <w:rPr>
          <w:sz w:val="20"/>
          <w:szCs w:val="20"/>
          <w:color w:val="auto"/>
        </w:rPr>
      </w:pPr>
      <w:r>
        <w:rPr>
          <w:rFonts w:ascii="Arial" w:cs="Arial" w:eastAsia="Arial" w:hAnsi="Arial"/>
          <w:sz w:val="22"/>
          <w:szCs w:val="22"/>
          <w:color w:val="auto"/>
        </w:rPr>
        <w:t>(CUSIP Number)</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December 23, 2019</w:t>
      </w: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79" w:lineRule="exact"/>
        <w:rPr>
          <w:sz w:val="24"/>
          <w:szCs w:val="24"/>
          <w:color w:val="auto"/>
        </w:rPr>
      </w:pPr>
    </w:p>
    <w:p>
      <w:pPr>
        <w:ind w:left="4600"/>
        <w:spacing w:after="0"/>
        <w:tabs>
          <w:tab w:leader="none" w:pos="4860" w:val="left"/>
          <w:tab w:leader="none" w:pos="55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Rule 13d-1(b)</w:t>
      </w:r>
    </w:p>
    <w:p>
      <w:pPr>
        <w:spacing w:after="0" w:line="139" w:lineRule="exact"/>
        <w:rPr>
          <w:sz w:val="24"/>
          <w:szCs w:val="24"/>
          <w:color w:val="auto"/>
        </w:rPr>
      </w:pPr>
    </w:p>
    <w:p>
      <w:pPr>
        <w:ind w:left="4580"/>
        <w:spacing w:after="0"/>
        <w:tabs>
          <w:tab w:leader="none" w:pos="5620" w:val="left"/>
        </w:tabs>
        <w:rPr>
          <w:sz w:val="20"/>
          <w:szCs w:val="20"/>
          <w:color w:val="auto"/>
        </w:rPr>
      </w:pPr>
      <w:r>
        <w:rPr>
          <w:rFonts w:ascii="Arial" w:cs="Arial" w:eastAsia="Arial" w:hAnsi="Arial"/>
          <w:sz w:val="22"/>
          <w:szCs w:val="22"/>
          <w:color w:val="auto"/>
        </w:rPr>
        <w:t>[ X ]</w:t>
      </w:r>
      <w:r>
        <w:rPr>
          <w:sz w:val="20"/>
          <w:szCs w:val="20"/>
          <w:color w:val="auto"/>
        </w:rPr>
        <w:tab/>
      </w:r>
      <w:r>
        <w:rPr>
          <w:rFonts w:ascii="Arial" w:cs="Arial" w:eastAsia="Arial" w:hAnsi="Arial"/>
          <w:sz w:val="19"/>
          <w:szCs w:val="19"/>
          <w:color w:val="auto"/>
        </w:rPr>
        <w:t>Rule 13d-1(c)</w:t>
      </w:r>
    </w:p>
    <w:p>
      <w:pPr>
        <w:spacing w:after="0" w:line="139" w:lineRule="exact"/>
        <w:rPr>
          <w:sz w:val="24"/>
          <w:szCs w:val="24"/>
          <w:color w:val="auto"/>
        </w:rPr>
      </w:pPr>
    </w:p>
    <w:p>
      <w:pPr>
        <w:ind w:left="4600"/>
        <w:spacing w:after="0"/>
        <w:tabs>
          <w:tab w:leader="none" w:pos="4860" w:val="left"/>
          <w:tab w:leader="none" w:pos="55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Rule 13d-1(d)</w:t>
      </w:r>
    </w:p>
    <w:p>
      <w:pPr>
        <w:spacing w:after="0" w:line="247" w:lineRule="exact"/>
        <w:rPr>
          <w:sz w:val="24"/>
          <w:szCs w:val="24"/>
          <w:color w:val="auto"/>
        </w:rPr>
      </w:pPr>
    </w:p>
    <w:p>
      <w:pPr>
        <w:jc w:val="both"/>
        <w:ind w:firstLine="8"/>
        <w:spacing w:after="0" w:line="223" w:lineRule="auto"/>
        <w:tabs>
          <w:tab w:leader="none" w:pos="17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9" w:lineRule="exact"/>
        <w:rPr>
          <w:sz w:val="24"/>
          <w:szCs w:val="24"/>
          <w:color w:val="auto"/>
        </w:rPr>
      </w:pPr>
    </w:p>
    <w:p>
      <w:pPr>
        <w:jc w:val="both"/>
        <w:spacing w:after="0" w:line="223"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jc w:val="center"/>
        <w:ind w:right="-19"/>
        <w:spacing w:after="0" w:line="205" w:lineRule="auto"/>
        <w:rPr>
          <w:sz w:val="20"/>
          <w:szCs w:val="20"/>
          <w:color w:val="auto"/>
        </w:rPr>
      </w:pPr>
      <w:r>
        <w:rPr>
          <w:rFonts w:ascii="Arial" w:cs="Arial" w:eastAsia="Arial" w:hAnsi="Arial"/>
          <w:sz w:val="22"/>
          <w:szCs w:val="22"/>
          <w:color w:val="auto"/>
        </w:rPr>
        <w:t>Page 1 of 9 Pages</w:t>
      </w:r>
    </w:p>
    <w:p>
      <w:pPr>
        <w:jc w:val="center"/>
        <w:ind w:right="-19"/>
        <w:spacing w:after="0"/>
        <w:rPr>
          <w:sz w:val="20"/>
          <w:szCs w:val="20"/>
          <w:color w:val="auto"/>
        </w:rPr>
      </w:pPr>
      <w:r>
        <w:rPr>
          <w:rFonts w:ascii="Arial" w:cs="Arial" w:eastAsia="Arial" w:hAnsi="Arial"/>
          <w:sz w:val="22"/>
          <w:szCs w:val="22"/>
          <w:color w:val="auto"/>
        </w:rPr>
        <w:t>Exhibit Index: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520" w:type="dxa"/>
            <w:vAlign w:val="bottom"/>
          </w:tcPr>
          <w:p>
            <w:pPr>
              <w:spacing w:after="0"/>
              <w:rPr>
                <w:sz w:val="20"/>
                <w:szCs w:val="20"/>
                <w:color w:val="auto"/>
              </w:rPr>
            </w:pPr>
          </w:p>
        </w:tc>
        <w:tc>
          <w:tcPr>
            <w:tcW w:w="8700" w:type="dxa"/>
            <w:vAlign w:val="bottom"/>
            <w:gridSpan w:val="2"/>
          </w:tcPr>
          <w:p>
            <w:pPr>
              <w:ind w:left="7420"/>
              <w:spacing w:after="0"/>
              <w:rPr>
                <w:sz w:val="20"/>
                <w:szCs w:val="20"/>
                <w:color w:val="auto"/>
              </w:rPr>
            </w:pPr>
            <w:r>
              <w:rPr>
                <w:rFonts w:ascii="Arial" w:cs="Arial" w:eastAsia="Arial" w:hAnsi="Arial"/>
                <w:sz w:val="18"/>
                <w:szCs w:val="18"/>
                <w:color w:val="auto"/>
                <w:w w:val="83"/>
              </w:rPr>
              <w:t>Page 2 of 9 Pages</w:t>
            </w:r>
          </w:p>
        </w:tc>
        <w:tc>
          <w:tcPr>
            <w:tcW w:w="0" w:type="dxa"/>
            <w:vAlign w:val="bottom"/>
          </w:tcPr>
          <w:p>
            <w:pPr>
              <w:spacing w:after="0"/>
              <w:rPr>
                <w:sz w:val="1"/>
                <w:szCs w:val="1"/>
                <w:color w:val="auto"/>
              </w:rPr>
            </w:pPr>
          </w:p>
        </w:tc>
      </w:tr>
      <w:tr>
        <w:trPr>
          <w:trHeight w:val="257"/>
        </w:trPr>
        <w:tc>
          <w:tcPr>
            <w:tcW w:w="1400" w:type="dxa"/>
            <w:vAlign w:val="bottom"/>
            <w:tcBorders>
              <w:bottom w:val="single" w:sz="8" w:color="auto"/>
            </w:tcBorders>
          </w:tcPr>
          <w:p>
            <w:pPr>
              <w:spacing w:after="0"/>
              <w:rPr>
                <w:sz w:val="22"/>
                <w:szCs w:val="22"/>
                <w:color w:val="auto"/>
              </w:rPr>
            </w:pPr>
          </w:p>
        </w:tc>
        <w:tc>
          <w:tcPr>
            <w:tcW w:w="10020" w:type="dxa"/>
            <w:vAlign w:val="bottom"/>
            <w:tcBorders>
              <w:bottom w:val="single" w:sz="8" w:color="auto"/>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0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THE MANGROVE PARTNERS MASTER FUND, LTD.</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002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0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8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7,881,774 (1)</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7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70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70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80"/>
              <w:spacing w:after="0"/>
              <w:rPr>
                <w:sz w:val="20"/>
                <w:szCs w:val="20"/>
                <w:color w:val="auto"/>
              </w:rPr>
            </w:pPr>
            <w:r>
              <w:rPr>
                <w:rFonts w:ascii="Arial" w:cs="Arial" w:eastAsia="Arial" w:hAnsi="Arial"/>
                <w:sz w:val="18"/>
                <w:szCs w:val="18"/>
                <w:color w:val="auto"/>
              </w:rPr>
              <w:t>7,881,774 (1)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jc w:val="right"/>
              <w:ind w:right="98"/>
              <w:spacing w:after="0"/>
              <w:rPr>
                <w:sz w:val="20"/>
                <w:szCs w:val="20"/>
                <w:color w:val="auto"/>
              </w:rPr>
            </w:pPr>
            <w:r>
              <w:rPr>
                <w:rFonts w:ascii="Arial" w:cs="Arial" w:eastAsia="Arial" w:hAnsi="Arial"/>
                <w:sz w:val="18"/>
                <w:szCs w:val="18"/>
                <w:color w:val="auto"/>
                <w:w w:val="97"/>
              </w:rPr>
              <w:t>7,881,774 (1)</w:t>
            </w: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4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70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8.9% (2)</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2,627,258 Shares obtainable upon exercise of Common Warrants (defined herein).</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86,325,547 Shares outstanding as of December 23, 2019, based on information provided by the Issuer and (ii) 2,627,258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520" w:type="dxa"/>
            <w:vAlign w:val="bottom"/>
          </w:tcPr>
          <w:p>
            <w:pPr>
              <w:spacing w:after="0"/>
              <w:rPr>
                <w:sz w:val="20"/>
                <w:szCs w:val="20"/>
                <w:color w:val="auto"/>
              </w:rPr>
            </w:pPr>
          </w:p>
        </w:tc>
        <w:tc>
          <w:tcPr>
            <w:tcW w:w="8700" w:type="dxa"/>
            <w:vAlign w:val="bottom"/>
            <w:gridSpan w:val="2"/>
          </w:tcPr>
          <w:p>
            <w:pPr>
              <w:ind w:left="7420"/>
              <w:spacing w:after="0"/>
              <w:rPr>
                <w:sz w:val="20"/>
                <w:szCs w:val="20"/>
                <w:color w:val="auto"/>
              </w:rPr>
            </w:pPr>
            <w:r>
              <w:rPr>
                <w:rFonts w:ascii="Arial" w:cs="Arial" w:eastAsia="Arial" w:hAnsi="Arial"/>
                <w:sz w:val="18"/>
                <w:szCs w:val="18"/>
                <w:color w:val="auto"/>
                <w:w w:val="83"/>
              </w:rPr>
              <w:t>Page 3 of 9 Pages</w:t>
            </w:r>
          </w:p>
        </w:tc>
        <w:tc>
          <w:tcPr>
            <w:tcW w:w="0" w:type="dxa"/>
            <w:vAlign w:val="bottom"/>
          </w:tcPr>
          <w:p>
            <w:pPr>
              <w:spacing w:after="0"/>
              <w:rPr>
                <w:sz w:val="1"/>
                <w:szCs w:val="1"/>
                <w:color w:val="auto"/>
              </w:rPr>
            </w:pPr>
          </w:p>
        </w:tc>
      </w:tr>
      <w:tr>
        <w:trPr>
          <w:trHeight w:val="446"/>
        </w:trPr>
        <w:tc>
          <w:tcPr>
            <w:tcW w:w="14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00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MANGROVE PARTNERS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002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0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8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7,881,774 (1)</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7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70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70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80"/>
              <w:spacing w:after="0"/>
              <w:rPr>
                <w:sz w:val="20"/>
                <w:szCs w:val="20"/>
                <w:color w:val="auto"/>
              </w:rPr>
            </w:pPr>
            <w:r>
              <w:rPr>
                <w:rFonts w:ascii="Arial" w:cs="Arial" w:eastAsia="Arial" w:hAnsi="Arial"/>
                <w:sz w:val="18"/>
                <w:szCs w:val="18"/>
                <w:color w:val="auto"/>
              </w:rPr>
              <w:t>7,881,774 (1)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jc w:val="right"/>
              <w:ind w:right="98"/>
              <w:spacing w:after="0"/>
              <w:rPr>
                <w:sz w:val="20"/>
                <w:szCs w:val="20"/>
                <w:color w:val="auto"/>
              </w:rPr>
            </w:pPr>
            <w:r>
              <w:rPr>
                <w:rFonts w:ascii="Arial" w:cs="Arial" w:eastAsia="Arial" w:hAnsi="Arial"/>
                <w:sz w:val="18"/>
                <w:szCs w:val="18"/>
                <w:color w:val="auto"/>
                <w:w w:val="97"/>
              </w:rPr>
              <w:t>7,881,774 (1)</w:t>
            </w: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4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70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8.9% (2)</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2,627,258 Shares obtainable upon exercise of Common Warrants (defined herein).</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86,325,547 Shares outstanding as of December 23, 2019, based on information provided by the Issuer and (ii) 2,627,258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520" w:type="dxa"/>
            <w:vAlign w:val="bottom"/>
          </w:tcPr>
          <w:p>
            <w:pPr>
              <w:spacing w:after="0"/>
              <w:rPr>
                <w:sz w:val="20"/>
                <w:szCs w:val="20"/>
                <w:color w:val="auto"/>
              </w:rPr>
            </w:pPr>
          </w:p>
        </w:tc>
        <w:tc>
          <w:tcPr>
            <w:tcW w:w="8700" w:type="dxa"/>
            <w:vAlign w:val="bottom"/>
            <w:gridSpan w:val="2"/>
          </w:tcPr>
          <w:p>
            <w:pPr>
              <w:ind w:left="7420"/>
              <w:spacing w:after="0"/>
              <w:rPr>
                <w:sz w:val="20"/>
                <w:szCs w:val="20"/>
                <w:color w:val="auto"/>
              </w:rPr>
            </w:pPr>
            <w:r>
              <w:rPr>
                <w:rFonts w:ascii="Arial" w:cs="Arial" w:eastAsia="Arial" w:hAnsi="Arial"/>
                <w:sz w:val="18"/>
                <w:szCs w:val="18"/>
                <w:color w:val="auto"/>
                <w:w w:val="83"/>
              </w:rPr>
              <w:t>Page 4 of 9 Pages</w:t>
            </w: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00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NATHANIEL AUGUST</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002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00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8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7,881,774 (1)</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7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70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70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80"/>
              <w:spacing w:after="0"/>
              <w:rPr>
                <w:sz w:val="20"/>
                <w:szCs w:val="20"/>
                <w:color w:val="auto"/>
              </w:rPr>
            </w:pPr>
            <w:r>
              <w:rPr>
                <w:rFonts w:ascii="Arial" w:cs="Arial" w:eastAsia="Arial" w:hAnsi="Arial"/>
                <w:sz w:val="18"/>
                <w:szCs w:val="18"/>
                <w:color w:val="auto"/>
              </w:rPr>
              <w:t>7,881,774 (1)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jc w:val="right"/>
              <w:ind w:right="98"/>
              <w:spacing w:after="0"/>
              <w:rPr>
                <w:sz w:val="20"/>
                <w:szCs w:val="20"/>
                <w:color w:val="auto"/>
              </w:rPr>
            </w:pPr>
            <w:r>
              <w:rPr>
                <w:rFonts w:ascii="Arial" w:cs="Arial" w:eastAsia="Arial" w:hAnsi="Arial"/>
                <w:sz w:val="18"/>
                <w:szCs w:val="18"/>
                <w:color w:val="auto"/>
                <w:w w:val="97"/>
              </w:rPr>
              <w:t>7,881,774 (1)</w:t>
            </w: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4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70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8.9% (2)</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IN, HC</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2,627,258 Shares obtainable upon exercise of Common Warrants (defined herein).</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86,325,547 Shares outstanding as of December 23, 2019, based on information provided by the Issuer and (ii) 2,627,258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w w:val="98"/>
              </w:rPr>
              <w:t>CUSIP No. 816212104</w:t>
            </w:r>
          </w:p>
        </w:tc>
        <w:tc>
          <w:tcPr>
            <w:tcW w:w="9600" w:type="dxa"/>
            <w:vAlign w:val="bottom"/>
          </w:tcPr>
          <w:p>
            <w:pPr>
              <w:ind w:left="8320"/>
              <w:spacing w:after="0"/>
              <w:rPr>
                <w:sz w:val="20"/>
                <w:szCs w:val="20"/>
                <w:color w:val="auto"/>
              </w:rPr>
            </w:pPr>
            <w:r>
              <w:rPr>
                <w:rFonts w:ascii="Arial" w:cs="Arial" w:eastAsia="Arial" w:hAnsi="Arial"/>
                <w:sz w:val="18"/>
                <w:szCs w:val="18"/>
                <w:color w:val="auto"/>
                <w:w w:val="85"/>
              </w:rPr>
              <w:t>Page 5 of 9 Pages</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 of Issuer:</w:t>
            </w:r>
          </w:p>
        </w:tc>
      </w:tr>
      <w:tr>
        <w:trPr>
          <w:trHeight w:val="442"/>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22"/>
                <w:szCs w:val="22"/>
                <w:color w:val="auto"/>
              </w:rPr>
              <w:t>Selecta Biosciences, Inc. (the “Issuer”)</w:t>
            </w:r>
          </w:p>
        </w:tc>
      </w:tr>
      <w:tr>
        <w:trPr>
          <w:trHeight w:val="38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42"/>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22"/>
                <w:szCs w:val="22"/>
                <w:color w:val="auto"/>
              </w:rPr>
              <w:t>480 Arsenal Way Watertown, Massachusetts 02472</w:t>
            </w:r>
          </w:p>
        </w:tc>
      </w:tr>
      <w:tr>
        <w:trPr>
          <w:trHeight w:val="38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442"/>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22"/>
                <w:szCs w:val="22"/>
                <w:color w:val="auto"/>
              </w:rPr>
              <w:t>This Statement is filed on behalf of the following persons (collectively, the “Reporting Persons”):</w:t>
            </w:r>
          </w:p>
        </w:tc>
      </w:tr>
      <w:tr>
        <w:trPr>
          <w:trHeight w:val="367"/>
        </w:trPr>
        <w:tc>
          <w:tcPr>
            <w:tcW w:w="104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i)</w:t>
            </w:r>
          </w:p>
        </w:tc>
        <w:tc>
          <w:tcPr>
            <w:tcW w:w="9600" w:type="dxa"/>
            <w:vAlign w:val="bottom"/>
          </w:tcPr>
          <w:p>
            <w:pPr>
              <w:ind w:left="140"/>
              <w:spacing w:after="0"/>
              <w:rPr>
                <w:sz w:val="20"/>
                <w:szCs w:val="20"/>
                <w:color w:val="auto"/>
              </w:rPr>
            </w:pPr>
            <w:r>
              <w:rPr>
                <w:rFonts w:ascii="Arial" w:cs="Arial" w:eastAsia="Arial" w:hAnsi="Arial"/>
                <w:sz w:val="18"/>
                <w:szCs w:val="18"/>
                <w:color w:val="auto"/>
              </w:rPr>
              <w:t>The Mangrove Partners Master Fund, Ltd. (the “Master Fund”);</w:t>
            </w:r>
          </w:p>
        </w:tc>
      </w:tr>
      <w:tr>
        <w:trPr>
          <w:trHeight w:val="216"/>
        </w:trPr>
        <w:tc>
          <w:tcPr>
            <w:tcW w:w="104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ii)</w:t>
            </w:r>
          </w:p>
        </w:tc>
        <w:tc>
          <w:tcPr>
            <w:tcW w:w="9600" w:type="dxa"/>
            <w:vAlign w:val="bottom"/>
          </w:tcPr>
          <w:p>
            <w:pPr>
              <w:ind w:left="140"/>
              <w:spacing w:after="0"/>
              <w:rPr>
                <w:sz w:val="20"/>
                <w:szCs w:val="20"/>
                <w:color w:val="auto"/>
              </w:rPr>
            </w:pPr>
            <w:r>
              <w:rPr>
                <w:rFonts w:ascii="Arial" w:cs="Arial" w:eastAsia="Arial" w:hAnsi="Arial"/>
                <w:sz w:val="18"/>
                <w:szCs w:val="18"/>
                <w:color w:val="auto"/>
              </w:rPr>
              <w:t>Mangrove Partners; and</w:t>
            </w:r>
          </w:p>
        </w:tc>
      </w:tr>
      <w:tr>
        <w:trPr>
          <w:trHeight w:val="230"/>
        </w:trPr>
        <w:tc>
          <w:tcPr>
            <w:tcW w:w="1040" w:type="dxa"/>
            <w:vAlign w:val="bottom"/>
          </w:tcPr>
          <w:p>
            <w:pPr>
              <w:spacing w:after="0"/>
              <w:rPr>
                <w:sz w:val="20"/>
                <w:szCs w:val="20"/>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iii)</w:t>
            </w:r>
          </w:p>
        </w:tc>
        <w:tc>
          <w:tcPr>
            <w:tcW w:w="9600" w:type="dxa"/>
            <w:vAlign w:val="bottom"/>
          </w:tcPr>
          <w:p>
            <w:pPr>
              <w:ind w:left="140"/>
              <w:spacing w:after="0"/>
              <w:rPr>
                <w:sz w:val="20"/>
                <w:szCs w:val="20"/>
                <w:color w:val="auto"/>
              </w:rPr>
            </w:pPr>
            <w:r>
              <w:rPr>
                <w:rFonts w:ascii="Arial" w:cs="Arial" w:eastAsia="Arial" w:hAnsi="Arial"/>
                <w:sz w:val="18"/>
                <w:szCs w:val="18"/>
                <w:color w:val="auto"/>
              </w:rPr>
              <w:t>Nathaniel August (“Mr. August”)</w:t>
            </w:r>
          </w:p>
        </w:tc>
      </w:tr>
    </w:tbl>
    <w:p>
      <w:pPr>
        <w:spacing w:after="0" w:line="168" w:lineRule="exact"/>
        <w:rPr>
          <w:sz w:val="20"/>
          <w:szCs w:val="20"/>
          <w:color w:val="auto"/>
        </w:rPr>
      </w:pPr>
    </w:p>
    <w:p>
      <w:pPr>
        <w:ind w:right="80" w:firstLine="1297"/>
        <w:spacing w:after="0" w:line="209" w:lineRule="auto"/>
        <w:rPr>
          <w:sz w:val="20"/>
          <w:szCs w:val="20"/>
          <w:color w:val="auto"/>
        </w:rPr>
      </w:pPr>
      <w:r>
        <w:rPr>
          <w:rFonts w:ascii="Arial" w:cs="Arial" w:eastAsia="Arial" w:hAnsi="Arial"/>
          <w:sz w:val="22"/>
          <w:szCs w:val="22"/>
          <w:color w:val="auto"/>
        </w:rPr>
        <w:t>This Statement relates to Shares (as defined herein) held by the Master Fund, as well as Shares that the Master Fund has the right to acquire within 60 days upon exercise of warrants to purchase Shares (the “Common Warrants”). Beneficial ownership of the Shares is also claimed by (i) Mangrove Partners which serves as the investment manager of the Master Fund, and (ii) Nathaniel August who is the principal of Mangrove Partners.</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principal business office of Nathaniel August is 645 Madison Avenue, 14th Floor, New York, New York 10022.</w:t>
      </w:r>
    </w:p>
    <w:p>
      <w:pPr>
        <w:spacing w:after="0" w:line="187" w:lineRule="exact"/>
        <w:rPr>
          <w:sz w:val="20"/>
          <w:szCs w:val="20"/>
          <w:color w:val="auto"/>
        </w:rPr>
      </w:pPr>
    </w:p>
    <w:p>
      <w:pPr>
        <w:ind w:right="260" w:firstLine="1297"/>
        <w:spacing w:after="0" w:line="284" w:lineRule="auto"/>
        <w:rPr>
          <w:sz w:val="20"/>
          <w:szCs w:val="20"/>
          <w:color w:val="auto"/>
        </w:rPr>
      </w:pPr>
      <w:r>
        <w:rPr>
          <w:rFonts w:ascii="Arial" w:cs="Arial" w:eastAsia="Arial" w:hAnsi="Arial"/>
          <w:sz w:val="19"/>
          <w:szCs w:val="19"/>
          <w:color w:val="auto"/>
        </w:rPr>
        <w:t>The principal business address of the Master Fund and Mangrove Partners is c/o Maples Corporate Services, Ltd., PO Box 309, Ugland House, South Church Street, George Town, Grand Cayman, Cayman Islands KY1-1104.</w:t>
      </w:r>
    </w:p>
    <w:p>
      <w:pPr>
        <w:spacing w:after="0" w:line="1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95" w:lineRule="exact"/>
        <w:rPr>
          <w:sz w:val="20"/>
          <w:szCs w:val="20"/>
          <w:color w:val="auto"/>
        </w:rPr>
      </w:pPr>
    </w:p>
    <w:p>
      <w:pPr>
        <w:ind w:right="420" w:firstLine="1297"/>
        <w:spacing w:after="0" w:line="226" w:lineRule="auto"/>
        <w:rPr>
          <w:sz w:val="20"/>
          <w:szCs w:val="20"/>
          <w:color w:val="auto"/>
        </w:rPr>
      </w:pPr>
      <w:r>
        <w:rPr>
          <w:rFonts w:ascii="Arial" w:cs="Arial" w:eastAsia="Arial" w:hAnsi="Arial"/>
          <w:sz w:val="22"/>
          <w:szCs w:val="22"/>
          <w:color w:val="auto"/>
        </w:rPr>
        <w:t>Each of the Master Fund and Mangrove Partners is organized as a limited liability exempted company under the laws of the Cayman Islands. Nathaniel August is a citizen of the United States.</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$0.0001 par value per share (the “Shares”)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816212104</w:t>
      </w:r>
    </w:p>
    <w:p>
      <w:pPr>
        <w:spacing w:after="0" w:line="169" w:lineRule="exact"/>
        <w:rPr>
          <w:sz w:val="20"/>
          <w:szCs w:val="20"/>
          <w:color w:val="auto"/>
        </w:rPr>
      </w:pPr>
    </w:p>
    <w:p>
      <w:pPr>
        <w:spacing w:after="0"/>
        <w:tabs>
          <w:tab w:leader="none" w:pos="1280" w:val="left"/>
          <w:tab w:leader="none" w:pos="7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w:t>
      </w:r>
      <w:r>
        <w:rPr>
          <w:sz w:val="20"/>
          <w:szCs w:val="20"/>
          <w:color w:val="auto"/>
        </w:rPr>
        <w:tab/>
      </w:r>
      <w:r>
        <w:rPr>
          <w:rFonts w:ascii="Arial" w:cs="Arial" w:eastAsia="Arial" w:hAnsi="Arial"/>
          <w:sz w:val="16"/>
          <w:szCs w:val="16"/>
          <w:b w:val="1"/>
          <w:bCs w:val="1"/>
          <w:color w:val="auto"/>
        </w:rPr>
        <w:t>Check Whether the Person Filing is a:</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3 is not applicable.</w:t>
      </w:r>
    </w:p>
    <w:p>
      <w:pPr>
        <w:sectPr>
          <w:pgSz w:w="11900" w:h="16838" w:orient="portrait"/>
          <w:cols w:equalWidth="0" w:num="1">
            <w:col w:w="11420"/>
          </w:cols>
          <w:pgMar w:left="240" w:top="139" w:right="239" w:bottom="1440" w:gutter="0" w:footer="0" w:header="0"/>
        </w:sectPr>
      </w:pPr>
    </w:p>
    <w:p>
      <w:pPr>
        <w:spacing w:after="0" w:line="169" w:lineRule="exact"/>
        <w:rPr>
          <w:sz w:val="20"/>
          <w:szCs w:val="20"/>
          <w:color w:val="auto"/>
        </w:rPr>
      </w:pPr>
    </w:p>
    <w:p>
      <w:pPr>
        <w:spacing w:after="0" w:line="528" w:lineRule="auto"/>
        <w:rPr>
          <w:sz w:val="20"/>
          <w:szCs w:val="20"/>
          <w:color w:val="auto"/>
        </w:rPr>
      </w:pPr>
      <w:r>
        <w:rPr>
          <w:rFonts w:ascii="Arial" w:cs="Arial" w:eastAsia="Arial" w:hAnsi="Arial"/>
          <w:sz w:val="17"/>
          <w:szCs w:val="17"/>
          <w:b w:val="1"/>
          <w:bCs w:val="1"/>
          <w:color w:val="auto"/>
        </w:rPr>
        <w:t>Item 4. Item 4(a)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17" w:lineRule="exact"/>
        <w:rPr>
          <w:sz w:val="20"/>
          <w:szCs w:val="20"/>
          <w:color w:val="auto"/>
        </w:rPr>
      </w:pPr>
    </w:p>
    <w:p>
      <w:pPr>
        <w:sectPr>
          <w:pgSz w:w="11900" w:h="16838" w:orient="portrait"/>
          <w:cols w:equalWidth="0" w:num="2">
            <w:col w:w="720" w:space="580"/>
            <w:col w:w="10120"/>
          </w:cols>
          <w:pgMar w:left="240" w:top="139" w:right="239" w:bottom="1440" w:gutter="0" w:footer="0" w:header="0"/>
          <w:type w:val="continuous"/>
        </w:sectPr>
      </w:pPr>
    </w:p>
    <w:p>
      <w:pPr>
        <w:ind w:right="20" w:firstLine="1297"/>
        <w:spacing w:after="0" w:line="215" w:lineRule="auto"/>
        <w:rPr>
          <w:sz w:val="20"/>
          <w:szCs w:val="20"/>
          <w:color w:val="auto"/>
        </w:rPr>
      </w:pPr>
      <w:r>
        <w:rPr>
          <w:rFonts w:ascii="Arial" w:cs="Arial" w:eastAsia="Arial" w:hAnsi="Arial"/>
          <w:sz w:val="21"/>
          <w:szCs w:val="21"/>
          <w:color w:val="auto"/>
        </w:rPr>
        <w:t>As of December 23, 2019 and the date hereof, each of the Master Fund, Mangrove Partners, and Mr. August may be deemed the beneficial owner of 7,881,774 Shares. This amount includes: (i) 5,254,516 Shares held by the Master Fund; and (ii) 2,627,258 Common Warrants held by the Master Fund. As the investment manager of the Master Fund, Mangrove Partners may be deemed the beneficial owner of the Shares owned by the Master Fund. Mr. August, as the principal of Mangrove Partners, may be deemed the beneficial owner of the Shares owned by the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5" w:name="page6"/>
    <w:bookmarkEnd w:id="5"/>
    <w:p>
      <w:pPr>
        <w:spacing w:after="0"/>
        <w:tabs>
          <w:tab w:leader="none" w:pos="10120" w:val="left"/>
        </w:tabs>
        <w:rPr>
          <w:sz w:val="20"/>
          <w:szCs w:val="20"/>
          <w:color w:val="auto"/>
        </w:rPr>
      </w:pPr>
      <w:r>
        <w:rPr>
          <w:rFonts w:ascii="Arial" w:cs="Arial" w:eastAsia="Arial" w:hAnsi="Arial"/>
          <w:sz w:val="18"/>
          <w:szCs w:val="18"/>
          <w:color w:val="auto"/>
        </w:rPr>
        <w:t>CUSIP No. 816212104</w:t>
      </w:r>
      <w:r>
        <w:rPr>
          <w:sz w:val="20"/>
          <w:szCs w:val="20"/>
          <w:color w:val="auto"/>
        </w:rPr>
        <w:tab/>
      </w:r>
      <w:r>
        <w:rPr>
          <w:rFonts w:ascii="Arial" w:cs="Arial" w:eastAsia="Arial" w:hAnsi="Arial"/>
          <w:sz w:val="15"/>
          <w:szCs w:val="15"/>
          <w:color w:val="auto"/>
        </w:rPr>
        <w:t>Page 6 of 9 Pages</w:t>
      </w:r>
    </w:p>
    <w:p>
      <w:pPr>
        <w:spacing w:after="0" w:line="205" w:lineRule="exact"/>
        <w:rPr>
          <w:sz w:val="20"/>
          <w:szCs w:val="20"/>
          <w:color w:val="auto"/>
        </w:rPr>
      </w:pPr>
    </w:p>
    <w:p>
      <w:pPr>
        <w:ind w:right="80" w:firstLine="1297"/>
        <w:spacing w:after="0" w:line="209" w:lineRule="auto"/>
        <w:rPr>
          <w:sz w:val="20"/>
          <w:szCs w:val="20"/>
          <w:color w:val="auto"/>
        </w:rPr>
      </w:pPr>
      <w:r>
        <w:rPr>
          <w:rFonts w:ascii="Arial" w:cs="Arial" w:eastAsia="Arial" w:hAnsi="Arial"/>
          <w:sz w:val="22"/>
          <w:szCs w:val="22"/>
          <w:color w:val="auto"/>
        </w:rPr>
        <w:t>The filing of this Schedule 13G shall not be construed as an admission that the Reporting Persons are, for purposes of Section 13(d) of the Act, the beneficial owners of any of the Shares directly owned by the other Reporting Persons and each of the Reporting Persons specifically disclaims beneficial ownership of the Shares reported herein that are not directly owned by such other Reporting Persons.</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195" w:lineRule="exact"/>
        <w:rPr>
          <w:sz w:val="20"/>
          <w:szCs w:val="20"/>
          <w:color w:val="auto"/>
        </w:rPr>
      </w:pPr>
    </w:p>
    <w:p>
      <w:pPr>
        <w:ind w:right="1300" w:firstLine="1297"/>
        <w:spacing w:after="0" w:line="226" w:lineRule="auto"/>
        <w:rPr>
          <w:sz w:val="20"/>
          <w:szCs w:val="20"/>
          <w:color w:val="auto"/>
        </w:rPr>
      </w:pPr>
      <w:r>
        <w:rPr>
          <w:rFonts w:ascii="Arial" w:cs="Arial" w:eastAsia="Arial" w:hAnsi="Arial"/>
          <w:sz w:val="22"/>
          <w:szCs w:val="22"/>
          <w:color w:val="auto"/>
        </w:rPr>
        <w:t>Each of the Master Fund, Mangrove Partners, and Mr. August may be deemed the beneficial owner of approximately 8.9% of Shares outstanding.</w:t>
      </w:r>
    </w:p>
    <w:p>
      <w:pPr>
        <w:spacing w:after="0" w:line="131" w:lineRule="exact"/>
        <w:rPr>
          <w:sz w:val="20"/>
          <w:szCs w:val="20"/>
          <w:color w:val="auto"/>
        </w:rPr>
      </w:pPr>
    </w:p>
    <w:p>
      <w:pPr>
        <w:ind w:right="60" w:firstLine="1297"/>
        <w:spacing w:after="0" w:line="209" w:lineRule="auto"/>
        <w:rPr>
          <w:sz w:val="20"/>
          <w:szCs w:val="20"/>
          <w:color w:val="auto"/>
        </w:rPr>
      </w:pPr>
      <w:r>
        <w:rPr>
          <w:rFonts w:ascii="Arial" w:cs="Arial" w:eastAsia="Arial" w:hAnsi="Arial"/>
          <w:sz w:val="22"/>
          <w:szCs w:val="22"/>
          <w:color w:val="auto"/>
        </w:rPr>
        <w:t>The beneficial ownership percentages reported in this Statement are based on the sum of (i) 86,325,547 Shares outstanding as of December 23, 2019, based on information provided by the Issuer and 2,627,258 Shares issuable upon exercise of the Common Warrants held by the Master Fund, which are added to the total Shares outstanding pursuant to Rule 13d-3(d)(1)(i) under the Act.</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 has: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Master Fund, Mangrove Partners and Mr. August: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(i) Sole power to vote or direct the vote:</w:t>
            </w:r>
          </w:p>
        </w:tc>
        <w:tc>
          <w:tcPr>
            <w:tcW w:w="2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11"/>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(ii) Shared power to vote or direct the vote:</w:t>
            </w:r>
          </w:p>
        </w:tc>
        <w:tc>
          <w:tcPr>
            <w:tcW w:w="2780" w:type="dxa"/>
            <w:vAlign w:val="bottom"/>
          </w:tcPr>
          <w:p>
            <w:pPr>
              <w:jc w:val="right"/>
              <w:spacing w:after="0"/>
              <w:rPr>
                <w:sz w:val="20"/>
                <w:szCs w:val="20"/>
                <w:color w:val="auto"/>
              </w:rPr>
            </w:pPr>
            <w:r>
              <w:rPr>
                <w:rFonts w:ascii="Arial" w:cs="Arial" w:eastAsia="Arial" w:hAnsi="Arial"/>
                <w:sz w:val="18"/>
                <w:szCs w:val="18"/>
                <w:color w:val="auto"/>
              </w:rPr>
              <w:t>7,881,774</w:t>
            </w:r>
          </w:p>
        </w:tc>
      </w:tr>
      <w:tr>
        <w:trPr>
          <w:trHeight w:val="311"/>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(iii) Sole power to dispose or direct the disposition of:</w:t>
            </w:r>
          </w:p>
        </w:tc>
        <w:tc>
          <w:tcPr>
            <w:tcW w:w="2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11"/>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(iv) Shared power to dispose or direct the disposition of:</w:t>
            </w:r>
          </w:p>
        </w:tc>
        <w:tc>
          <w:tcPr>
            <w:tcW w:w="2780" w:type="dxa"/>
            <w:vAlign w:val="bottom"/>
          </w:tcPr>
          <w:p>
            <w:pPr>
              <w:jc w:val="right"/>
              <w:spacing w:after="0"/>
              <w:rPr>
                <w:sz w:val="20"/>
                <w:szCs w:val="20"/>
                <w:color w:val="auto"/>
              </w:rPr>
            </w:pPr>
            <w:r>
              <w:rPr>
                <w:rFonts w:ascii="Arial" w:cs="Arial" w:eastAsia="Arial" w:hAnsi="Arial"/>
                <w:sz w:val="18"/>
                <w:szCs w:val="18"/>
                <w:color w:val="auto"/>
              </w:rPr>
              <w:t>7,881,774</w:t>
            </w:r>
          </w:p>
        </w:tc>
      </w:tr>
      <w:tr>
        <w:trPr>
          <w:trHeight w:val="473"/>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7600" w:type="dxa"/>
            <w:vAlign w:val="bottom"/>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780" w:type="dxa"/>
            <w:vAlign w:val="bottom"/>
          </w:tcPr>
          <w:p>
            <w:pPr>
              <w:spacing w:after="0"/>
              <w:rPr>
                <w:sz w:val="24"/>
                <w:szCs w:val="24"/>
                <w:color w:val="auto"/>
              </w:rPr>
            </w:pPr>
          </w:p>
        </w:tc>
      </w:tr>
      <w:tr>
        <w:trPr>
          <w:trHeight w:val="442"/>
        </w:trPr>
        <w:tc>
          <w:tcPr>
            <w:tcW w:w="980" w:type="dxa"/>
            <w:vAlign w:val="bottom"/>
          </w:tcPr>
          <w:p>
            <w:pPr>
              <w:spacing w:after="0"/>
              <w:rPr>
                <w:sz w:val="24"/>
                <w:szCs w:val="24"/>
                <w:color w:val="auto"/>
              </w:rPr>
            </w:pPr>
          </w:p>
        </w:tc>
        <w:tc>
          <w:tcPr>
            <w:tcW w:w="7600" w:type="dxa"/>
            <w:vAlign w:val="bottom"/>
          </w:tcPr>
          <w:p>
            <w:pPr>
              <w:ind w:left="320"/>
              <w:spacing w:after="0"/>
              <w:rPr>
                <w:sz w:val="20"/>
                <w:szCs w:val="20"/>
                <w:color w:val="auto"/>
              </w:rPr>
            </w:pPr>
            <w:r>
              <w:rPr>
                <w:rFonts w:ascii="Arial" w:cs="Arial" w:eastAsia="Arial" w:hAnsi="Arial"/>
                <w:sz w:val="22"/>
                <w:szCs w:val="22"/>
                <w:color w:val="auto"/>
              </w:rPr>
              <w:t>This Item 5 is not applicable.</w:t>
            </w:r>
          </w:p>
        </w:tc>
        <w:tc>
          <w:tcPr>
            <w:tcW w:w="2780" w:type="dxa"/>
            <w:vAlign w:val="bottom"/>
          </w:tcPr>
          <w:p>
            <w:pPr>
              <w:spacing w:after="0"/>
              <w:rPr>
                <w:sz w:val="24"/>
                <w:szCs w:val="24"/>
                <w:color w:val="auto"/>
              </w:rPr>
            </w:pPr>
          </w:p>
        </w:tc>
      </w:tr>
      <w:tr>
        <w:trPr>
          <w:trHeight w:val="38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60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780" w:type="dxa"/>
            <w:vAlign w:val="bottom"/>
          </w:tcPr>
          <w:p>
            <w:pPr>
              <w:spacing w:after="0"/>
              <w:rPr>
                <w:sz w:val="24"/>
                <w:szCs w:val="24"/>
                <w:color w:val="auto"/>
              </w:rPr>
            </w:pPr>
          </w:p>
        </w:tc>
      </w:tr>
      <w:tr>
        <w:trPr>
          <w:trHeight w:val="442"/>
        </w:trPr>
        <w:tc>
          <w:tcPr>
            <w:tcW w:w="980" w:type="dxa"/>
            <w:vAlign w:val="bottom"/>
          </w:tcPr>
          <w:p>
            <w:pPr>
              <w:spacing w:after="0"/>
              <w:rPr>
                <w:sz w:val="24"/>
                <w:szCs w:val="24"/>
                <w:color w:val="auto"/>
              </w:rPr>
            </w:pPr>
          </w:p>
        </w:tc>
        <w:tc>
          <w:tcPr>
            <w:tcW w:w="7600" w:type="dxa"/>
            <w:vAlign w:val="bottom"/>
          </w:tcPr>
          <w:p>
            <w:pPr>
              <w:ind w:left="320"/>
              <w:spacing w:after="0"/>
              <w:rPr>
                <w:sz w:val="20"/>
                <w:szCs w:val="20"/>
                <w:color w:val="auto"/>
              </w:rPr>
            </w:pPr>
            <w:r>
              <w:rPr>
                <w:rFonts w:ascii="Arial" w:cs="Arial" w:eastAsia="Arial" w:hAnsi="Arial"/>
                <w:sz w:val="22"/>
                <w:szCs w:val="22"/>
                <w:color w:val="auto"/>
              </w:rPr>
              <w:t>This Item 6 is not applicable.</w:t>
            </w:r>
          </w:p>
        </w:tc>
        <w:tc>
          <w:tcPr>
            <w:tcW w:w="2780" w:type="dxa"/>
            <w:vAlign w:val="bottom"/>
          </w:tcPr>
          <w:p>
            <w:pPr>
              <w:spacing w:after="0"/>
              <w:rPr>
                <w:sz w:val="24"/>
                <w:szCs w:val="24"/>
                <w:color w:val="auto"/>
              </w:rPr>
            </w:pPr>
          </w:p>
        </w:tc>
      </w:tr>
      <w:tr>
        <w:trPr>
          <w:trHeight w:val="363"/>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80" w:type="dxa"/>
            <w:vAlign w:val="bottom"/>
            <w:gridSpan w:val="2"/>
          </w:tcPr>
          <w:p>
            <w:pPr>
              <w:ind w:left="32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7600" w:type="dxa"/>
            <w:vAlign w:val="bottom"/>
          </w:tcPr>
          <w:p>
            <w:pPr>
              <w:ind w:left="320"/>
              <w:spacing w:after="0"/>
              <w:rPr>
                <w:sz w:val="20"/>
                <w:szCs w:val="20"/>
                <w:color w:val="auto"/>
              </w:rPr>
            </w:pPr>
            <w:r>
              <w:rPr>
                <w:rFonts w:ascii="Arial" w:cs="Arial" w:eastAsia="Arial" w:hAnsi="Arial"/>
                <w:sz w:val="18"/>
                <w:szCs w:val="18"/>
                <w:b w:val="1"/>
                <w:bCs w:val="1"/>
                <w:color w:val="auto"/>
              </w:rPr>
              <w:t>Company or Control Person:</w:t>
            </w:r>
          </w:p>
        </w:tc>
        <w:tc>
          <w:tcPr>
            <w:tcW w:w="2780" w:type="dxa"/>
            <w:vAlign w:val="bottom"/>
          </w:tcPr>
          <w:p>
            <w:pPr>
              <w:spacing w:after="0"/>
              <w:rPr>
                <w:sz w:val="20"/>
                <w:szCs w:val="20"/>
                <w:color w:val="auto"/>
              </w:rPr>
            </w:pPr>
          </w:p>
        </w:tc>
      </w:tr>
      <w:tr>
        <w:trPr>
          <w:trHeight w:val="442"/>
        </w:trPr>
        <w:tc>
          <w:tcPr>
            <w:tcW w:w="980" w:type="dxa"/>
            <w:vAlign w:val="bottom"/>
          </w:tcPr>
          <w:p>
            <w:pPr>
              <w:spacing w:after="0"/>
              <w:rPr>
                <w:sz w:val="24"/>
                <w:szCs w:val="24"/>
                <w:color w:val="auto"/>
              </w:rPr>
            </w:pPr>
          </w:p>
        </w:tc>
        <w:tc>
          <w:tcPr>
            <w:tcW w:w="7600" w:type="dxa"/>
            <w:vAlign w:val="bottom"/>
          </w:tcPr>
          <w:p>
            <w:pPr>
              <w:ind w:left="320"/>
              <w:spacing w:after="0"/>
              <w:rPr>
                <w:sz w:val="20"/>
                <w:szCs w:val="20"/>
                <w:color w:val="auto"/>
              </w:rPr>
            </w:pPr>
            <w:r>
              <w:rPr>
                <w:rFonts w:ascii="Arial" w:cs="Arial" w:eastAsia="Arial" w:hAnsi="Arial"/>
                <w:sz w:val="22"/>
                <w:szCs w:val="22"/>
                <w:color w:val="auto"/>
              </w:rPr>
              <w:t>This Item 7 is not applicable.</w:t>
            </w:r>
          </w:p>
        </w:tc>
        <w:tc>
          <w:tcPr>
            <w:tcW w:w="2780" w:type="dxa"/>
            <w:vAlign w:val="bottom"/>
          </w:tcPr>
          <w:p>
            <w:pPr>
              <w:spacing w:after="0"/>
              <w:rPr>
                <w:sz w:val="24"/>
                <w:szCs w:val="24"/>
                <w:color w:val="auto"/>
              </w:rPr>
            </w:pPr>
          </w:p>
        </w:tc>
      </w:tr>
      <w:tr>
        <w:trPr>
          <w:trHeight w:val="382"/>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60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2780" w:type="dxa"/>
            <w:vAlign w:val="bottom"/>
          </w:tcPr>
          <w:p>
            <w:pPr>
              <w:spacing w:after="0"/>
              <w:rPr>
                <w:sz w:val="24"/>
                <w:szCs w:val="24"/>
                <w:color w:val="auto"/>
              </w:rPr>
            </w:pPr>
          </w:p>
        </w:tc>
      </w:tr>
      <w:tr>
        <w:trPr>
          <w:trHeight w:val="496"/>
        </w:trPr>
        <w:tc>
          <w:tcPr>
            <w:tcW w:w="980" w:type="dxa"/>
            <w:vAlign w:val="bottom"/>
          </w:tcPr>
          <w:p>
            <w:pPr>
              <w:spacing w:after="0"/>
              <w:rPr>
                <w:sz w:val="24"/>
                <w:szCs w:val="24"/>
                <w:color w:val="auto"/>
              </w:rPr>
            </w:pPr>
          </w:p>
        </w:tc>
        <w:tc>
          <w:tcPr>
            <w:tcW w:w="7600" w:type="dxa"/>
            <w:vAlign w:val="bottom"/>
          </w:tcPr>
          <w:p>
            <w:pPr>
              <w:ind w:left="320"/>
              <w:spacing w:after="0"/>
              <w:rPr>
                <w:sz w:val="20"/>
                <w:szCs w:val="20"/>
                <w:color w:val="auto"/>
              </w:rPr>
            </w:pPr>
            <w:r>
              <w:rPr>
                <w:rFonts w:ascii="Arial" w:cs="Arial" w:eastAsia="Arial" w:hAnsi="Arial"/>
                <w:sz w:val="22"/>
                <w:szCs w:val="22"/>
                <w:color w:val="auto"/>
              </w:rPr>
              <w:t>See disclosures in Item 2 and Exhibit A.</w:t>
            </w:r>
          </w:p>
        </w:tc>
        <w:tc>
          <w:tcPr>
            <w:tcW w:w="2780" w:type="dxa"/>
            <w:vAlign w:val="bottom"/>
          </w:tcPr>
          <w:p>
            <w:pPr>
              <w:spacing w:after="0"/>
              <w:rPr>
                <w:sz w:val="24"/>
                <w:szCs w:val="24"/>
                <w:color w:val="auto"/>
              </w:rPr>
            </w:pPr>
          </w:p>
        </w:tc>
      </w:tr>
      <w:tr>
        <w:trPr>
          <w:trHeight w:val="449"/>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760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c>
          <w:tcPr>
            <w:tcW w:w="2780" w:type="dxa"/>
            <w:vAlign w:val="bottom"/>
          </w:tcPr>
          <w:p>
            <w:pPr>
              <w:spacing w:after="0"/>
              <w:rPr>
                <w:sz w:val="24"/>
                <w:szCs w:val="24"/>
                <w:color w:val="auto"/>
              </w:rPr>
            </w:pPr>
          </w:p>
        </w:tc>
      </w:tr>
      <w:tr>
        <w:trPr>
          <w:trHeight w:val="496"/>
        </w:trPr>
        <w:tc>
          <w:tcPr>
            <w:tcW w:w="980" w:type="dxa"/>
            <w:vAlign w:val="bottom"/>
          </w:tcPr>
          <w:p>
            <w:pPr>
              <w:spacing w:after="0"/>
              <w:rPr>
                <w:sz w:val="24"/>
                <w:szCs w:val="24"/>
                <w:color w:val="auto"/>
              </w:rPr>
            </w:pPr>
          </w:p>
        </w:tc>
        <w:tc>
          <w:tcPr>
            <w:tcW w:w="7600" w:type="dxa"/>
            <w:vAlign w:val="bottom"/>
          </w:tcPr>
          <w:p>
            <w:pPr>
              <w:ind w:left="320"/>
              <w:spacing w:after="0"/>
              <w:rPr>
                <w:sz w:val="20"/>
                <w:szCs w:val="20"/>
                <w:color w:val="auto"/>
              </w:rPr>
            </w:pPr>
            <w:r>
              <w:rPr>
                <w:rFonts w:ascii="Arial" w:cs="Arial" w:eastAsia="Arial" w:hAnsi="Arial"/>
                <w:sz w:val="22"/>
                <w:szCs w:val="22"/>
                <w:color w:val="auto"/>
              </w:rPr>
              <w:t>This Item 9 is not applicable.</w:t>
            </w:r>
          </w:p>
        </w:tc>
        <w:tc>
          <w:tcPr>
            <w:tcW w:w="2780" w:type="dxa"/>
            <w:vAlign w:val="bottom"/>
          </w:tcPr>
          <w:p>
            <w:pPr>
              <w:spacing w:after="0"/>
              <w:rPr>
                <w:sz w:val="24"/>
                <w:szCs w:val="24"/>
                <w:color w:val="auto"/>
              </w:rPr>
            </w:pPr>
          </w:p>
        </w:tc>
      </w:tr>
      <w:tr>
        <w:trPr>
          <w:trHeight w:val="449"/>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760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c>
          <w:tcPr>
            <w:tcW w:w="2780" w:type="dxa"/>
            <w:vAlign w:val="bottom"/>
          </w:tcPr>
          <w:p>
            <w:pPr>
              <w:spacing w:after="0"/>
              <w:rPr>
                <w:sz w:val="24"/>
                <w:szCs w:val="24"/>
                <w:color w:val="auto"/>
              </w:rPr>
            </w:pPr>
          </w:p>
        </w:tc>
      </w:tr>
    </w:tbl>
    <w:p>
      <w:pPr>
        <w:spacing w:after="0" w:line="222" w:lineRule="exact"/>
        <w:rPr>
          <w:sz w:val="20"/>
          <w:szCs w:val="20"/>
          <w:color w:val="auto"/>
        </w:rPr>
      </w:pPr>
    </w:p>
    <w:p>
      <w:pPr>
        <w:ind w:right="120" w:firstLine="1297"/>
        <w:spacing w:after="0" w:line="252"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7 of 9 Pages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185" w:lineRule="exact"/>
        <w:rPr>
          <w:sz w:val="20"/>
          <w:szCs w:val="20"/>
          <w:color w:val="auto"/>
        </w:rPr>
      </w:pPr>
    </w:p>
    <w:p>
      <w:pPr>
        <w:ind w:right="60" w:firstLine="648"/>
        <w:spacing w:after="0" w:line="22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35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MANGROVE PARTNERS MASTER FUND,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LTD.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Mangrove Partners Investment Manager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Nathaniel H. August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MANGROVE PARTNERS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Nathaniel H. August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NATHANIEL H. AUGUST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527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January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Page 8 of 9 Pages</w:t>
            </w:r>
          </w:p>
        </w:tc>
      </w:tr>
      <w:tr>
        <w:trPr>
          <w:trHeight w:val="469"/>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800" w:type="dxa"/>
            <w:vAlign w:val="bottom"/>
            <w:gridSpan w:val="2"/>
          </w:tcPr>
          <w:p>
            <w:pPr>
              <w:jc w:val="right"/>
              <w:ind w:right="4770"/>
              <w:spacing w:after="0"/>
              <w:rPr>
                <w:sz w:val="20"/>
                <w:szCs w:val="20"/>
                <w:color w:val="auto"/>
              </w:rPr>
            </w:pPr>
            <w:r>
              <w:rPr>
                <w:rFonts w:ascii="Arial" w:cs="Arial" w:eastAsia="Arial" w:hAnsi="Arial"/>
                <w:sz w:val="22"/>
                <w:szCs w:val="22"/>
                <w:b w:val="1"/>
                <w:bCs w:val="1"/>
                <w:color w:val="auto"/>
              </w:rPr>
              <w:t>EXHIBIT INDEX</w:t>
            </w:r>
          </w:p>
        </w:tc>
      </w:tr>
      <w:tr>
        <w:trPr>
          <w:trHeight w:val="36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w:t>
            </w:r>
          </w:p>
        </w:tc>
        <w:tc>
          <w:tcPr>
            <w:tcW w:w="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r>
      <w:tr>
        <w:trPr>
          <w:trHeight w:val="453"/>
        </w:trPr>
        <w:tc>
          <w:tcPr>
            <w:tcW w:w="460" w:type="dxa"/>
            <w:vAlign w:val="bottom"/>
            <w:gridSpan w:val="2"/>
          </w:tcPr>
          <w:p>
            <w:pPr>
              <w:spacing w:after="0"/>
              <w:rPr>
                <w:sz w:val="20"/>
                <w:szCs w:val="20"/>
                <w:color w:val="auto"/>
              </w:rPr>
            </w:pPr>
            <w:r>
              <w:rPr>
                <w:rFonts w:ascii="Arial" w:cs="Arial" w:eastAsia="Arial" w:hAnsi="Arial"/>
                <w:sz w:val="18"/>
                <w:szCs w:val="18"/>
                <w:color w:val="auto"/>
              </w:rPr>
              <w:t>A</w:t>
            </w:r>
          </w:p>
        </w:tc>
        <w:tc>
          <w:tcPr>
            <w:tcW w:w="3160" w:type="dxa"/>
            <w:vAlign w:val="bottom"/>
          </w:tcPr>
          <w:p>
            <w:pPr>
              <w:ind w:left="220"/>
              <w:spacing w:after="0"/>
              <w:rPr>
                <w:sz w:val="20"/>
                <w:szCs w:val="20"/>
                <w:color w:val="auto"/>
              </w:rPr>
            </w:pPr>
            <w:r>
              <w:rPr>
                <w:rFonts w:ascii="Arial" w:cs="Arial" w:eastAsia="Arial" w:hAnsi="Arial"/>
                <w:sz w:val="18"/>
                <w:szCs w:val="18"/>
                <w:color w:val="auto"/>
              </w:rPr>
              <w:t>Joint Filing Agreement</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54"/>
        </w:trPr>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Page 9 of 9 Pages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158" w:lineRule="exact"/>
        <w:rPr>
          <w:sz w:val="20"/>
          <w:szCs w:val="20"/>
          <w:color w:val="auto"/>
        </w:rPr>
      </w:pPr>
    </w:p>
    <w:p>
      <w:pPr>
        <w:ind w:right="100" w:firstLine="648"/>
        <w:spacing w:after="0" w:line="218" w:lineRule="auto"/>
        <w:rPr>
          <w:sz w:val="20"/>
          <w:szCs w:val="20"/>
          <w:color w:val="auto"/>
        </w:rPr>
      </w:pPr>
      <w:r>
        <w:rPr>
          <w:rFonts w:ascii="Arial" w:cs="Arial" w:eastAsia="Arial" w:hAnsi="Arial"/>
          <w:sz w:val="22"/>
          <w:szCs w:val="22"/>
          <w:color w:val="auto"/>
        </w:rPr>
        <w:t>The undersigned hereby agree that the statement on Schedule 13G with respect to the Common Stock of Selecta Biosciences Inc. dated as of January 13, 2020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MANGROVE PARTNERS MASTER FUND,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LTD.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Mangrove Partners Investment Manager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Nathaniel H. August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MANGROVE PARTNERS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Nathaniel H. August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NATHANIEL H. AUGUST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527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January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2020-01-13T12:29:03Z</dcterms:created>
  <dcterms:modified xsi:type="dcterms:W3CDTF">2020-01-13T12:29:03Z</dcterms:modified>
</cp:coreProperties>
</file>