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8206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8206740"/>
                    </a:xfrm>
                    <a:prstGeom prst="rect">
                      <a:avLst/>
                    </a:prstGeom>
                    <a:noFill/>
                  </pic:spPr>
                </pic:pic>
              </a:graphicData>
            </a:graphic>
          </wp:anchor>
        </w:drawing>
      </w:r>
    </w:p>
    <w:p>
      <w:pPr>
        <w:sectPr>
          <w:pgSz w:w="11900" w:h="16846"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7"/>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5"/>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VTB Capital I2BF Netherlands,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5"/>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0000EE"/>
            </w:tcBorders>
            <w:gridSpan w:val="2"/>
          </w:tcPr>
          <w:p>
            <w:pPr>
              <w:spacing w:after="0" w:line="223" w:lineRule="exact"/>
              <w:rPr>
                <w:rFonts w:ascii="Arial" w:cs="Arial" w:eastAsia="Arial" w:hAnsi="Arial"/>
                <w:sz w:val="22"/>
                <w:szCs w:val="22"/>
                <w:color w:val="0000EE"/>
              </w:rPr>
            </w:pPr>
            <w:hyperlink r:id="rId11">
              <w:r>
                <w:rPr>
                  <w:rFonts w:ascii="Arial" w:cs="Arial" w:eastAsia="Arial" w:hAnsi="Arial"/>
                  <w:sz w:val="22"/>
                  <w:szCs w:val="22"/>
                  <w:color w:val="0000EE"/>
                </w:rPr>
                <w:t>B.V.</w:t>
              </w:r>
            </w:hyperlink>
          </w:p>
        </w:tc>
        <w:tc>
          <w:tcPr>
            <w:tcW w:w="860" w:type="dxa"/>
            <w:vAlign w:val="bottom"/>
            <w:tcBorders>
              <w:top w:val="single" w:sz="8" w:color="0000EE"/>
            </w:tcBorders>
          </w:tcPr>
          <w:p>
            <w:pPr>
              <w:spacing w:after="0"/>
              <w:rPr>
                <w:sz w:val="19"/>
                <w:szCs w:val="19"/>
                <w:color w:val="auto"/>
              </w:rPr>
            </w:pPr>
          </w:p>
        </w:tc>
        <w:tc>
          <w:tcPr>
            <w:tcW w:w="98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0000FF"/>
              </w:rPr>
              <w:t>06/21/2016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(Last)</w:t>
            </w:r>
          </w:p>
        </w:tc>
        <w:tc>
          <w:tcPr>
            <w:tcW w:w="860" w:type="dxa"/>
            <w:vAlign w:val="bottom"/>
          </w:tcPr>
          <w:p>
            <w:pPr>
              <w:ind w:left="160"/>
              <w:spacing w:after="0"/>
              <w:rPr>
                <w:sz w:val="20"/>
                <w:szCs w:val="20"/>
                <w:color w:val="auto"/>
              </w:rPr>
            </w:pPr>
            <w:r>
              <w:rPr>
                <w:rFonts w:ascii="Arial" w:cs="Arial" w:eastAsia="Arial" w:hAnsi="Arial"/>
                <w:sz w:val="14"/>
                <w:szCs w:val="14"/>
                <w:color w:val="auto"/>
              </w:rPr>
              <w:t>(First)</w:t>
            </w:r>
          </w:p>
        </w:tc>
        <w:tc>
          <w:tcPr>
            <w:tcW w:w="142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0000FF"/>
              </w:rPr>
              <w:t>10 PRESNENSKAYA EMB., BLOCK C</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80" w:type="dxa"/>
            <w:vAlign w:val="bottom"/>
            <w:gridSpan w:val="4"/>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0000FF"/>
              </w:rPr>
              <w:t>MOSCOW</w:t>
            </w:r>
          </w:p>
        </w:tc>
        <w:tc>
          <w:tcPr>
            <w:tcW w:w="860" w:type="dxa"/>
            <w:vAlign w:val="bottom"/>
          </w:tcPr>
          <w:p>
            <w:pPr>
              <w:ind w:left="160"/>
              <w:spacing w:after="0"/>
              <w:rPr>
                <w:sz w:val="20"/>
                <w:szCs w:val="20"/>
                <w:color w:val="auto"/>
              </w:rPr>
            </w:pPr>
            <w:r>
              <w:rPr>
                <w:rFonts w:ascii="Arial" w:cs="Arial" w:eastAsia="Arial" w:hAnsi="Arial"/>
                <w:sz w:val="18"/>
                <w:szCs w:val="18"/>
                <w:color w:val="0000FF"/>
              </w:rPr>
              <w:t>1Z</w:t>
            </w:r>
          </w:p>
        </w:tc>
        <w:tc>
          <w:tcPr>
            <w:tcW w:w="980" w:type="dxa"/>
            <w:vAlign w:val="bottom"/>
          </w:tcPr>
          <w:p>
            <w:pPr>
              <w:ind w:left="380"/>
              <w:spacing w:after="0"/>
              <w:rPr>
                <w:sz w:val="20"/>
                <w:szCs w:val="20"/>
                <w:color w:val="auto"/>
              </w:rPr>
            </w:pPr>
            <w:r>
              <w:rPr>
                <w:rFonts w:ascii="Arial" w:cs="Arial" w:eastAsia="Arial" w:hAnsi="Arial"/>
                <w:sz w:val="18"/>
                <w:szCs w:val="18"/>
                <w:color w:val="0000FF"/>
                <w:w w:val="96"/>
              </w:rPr>
              <w:t>123317</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SELECTA BIOSCIENCES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SELB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251"/>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21"/>
                <w:szCs w:val="21"/>
                <w:color w:val="auto"/>
              </w:rPr>
            </w:pPr>
          </w:p>
        </w:tc>
        <w:tc>
          <w:tcPr>
            <w:tcW w:w="2680" w:type="dxa"/>
            <w:vAlign w:val="bottom"/>
            <w:tcBorders>
              <w:bottom w:val="single" w:sz="8" w:color="2C2C2C"/>
            </w:tcBorders>
          </w:tcPr>
          <w:p>
            <w:pPr>
              <w:spacing w:after="0"/>
              <w:rPr>
                <w:sz w:val="21"/>
                <w:szCs w:val="21"/>
                <w:color w:val="auto"/>
              </w:rPr>
            </w:pPr>
          </w:p>
        </w:tc>
      </w:tr>
      <w:tr>
        <w:trPr>
          <w:trHeight w:val="17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89"/>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27" w:lineRule="exact"/>
        <w:rPr>
          <w:sz w:val="20"/>
          <w:szCs w:val="20"/>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6" w:orient="portrait"/>
          <w:cols w:equalWidth="0" w:num="2">
            <w:col w:w="4720" w:space="480"/>
            <w:col w:w="6220"/>
          </w:cols>
          <w:pgMar w:left="240" w:top="226" w:right="239" w:bottom="0" w:gutter="0" w:footer="0" w:header="0"/>
          <w:type w:val="continuous"/>
        </w:sectPr>
      </w:pPr>
    </w:p>
    <w:p>
      <w:pPr>
        <w:spacing w:after="0" w:line="110"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7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0000FF"/>
              </w:rPr>
              <w:t>By VTB 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4"/>
          </w:tcPr>
          <w:p>
            <w:pPr>
              <w:ind w:left="60"/>
              <w:spacing w:after="0"/>
              <w:rPr>
                <w:sz w:val="20"/>
                <w:szCs w:val="20"/>
                <w:color w:val="auto"/>
              </w:rPr>
            </w:pPr>
            <w:r>
              <w:rPr>
                <w:rFonts w:ascii="Arial" w:cs="Arial" w:eastAsia="Arial" w:hAnsi="Arial"/>
                <w:sz w:val="18"/>
                <w:szCs w:val="18"/>
                <w:color w:val="0000FF"/>
                <w:w w:val="91"/>
              </w:rPr>
              <w:t>Series SRN Convertible Preferred Stock</w:t>
            </w:r>
          </w:p>
        </w:tc>
        <w:tc>
          <w:tcPr>
            <w:tcW w:w="1440" w:type="dxa"/>
            <w:vAlign w:val="bottom"/>
            <w:gridSpan w:val="3"/>
          </w:tcPr>
          <w:p>
            <w:pPr>
              <w:ind w:left="900"/>
              <w:spacing w:after="0"/>
              <w:rPr>
                <w:sz w:val="20"/>
                <w:szCs w:val="20"/>
                <w:color w:val="auto"/>
              </w:rPr>
            </w:pPr>
            <w:r>
              <w:rPr>
                <w:rFonts w:ascii="Arial" w:cs="Arial" w:eastAsia="Arial" w:hAnsi="Arial"/>
                <w:sz w:val="11"/>
                <w:szCs w:val="11"/>
                <w:color w:val="008000"/>
              </w:rPr>
              <w:t>(1)</w:t>
            </w:r>
          </w:p>
        </w:tc>
        <w:tc>
          <w:tcPr>
            <w:tcW w:w="780" w:type="dxa"/>
            <w:vAlign w:val="bottom"/>
            <w:gridSpan w:val="3"/>
          </w:tcPr>
          <w:p>
            <w:pPr>
              <w:jc w:val="center"/>
              <w:ind w:right="20"/>
              <w:spacing w:after="0"/>
              <w:rPr>
                <w:sz w:val="20"/>
                <w:szCs w:val="20"/>
                <w:color w:val="auto"/>
              </w:rPr>
            </w:pPr>
            <w:r>
              <w:rPr>
                <w:rFonts w:ascii="Arial" w:cs="Arial" w:eastAsia="Arial" w:hAnsi="Arial"/>
                <w:sz w:val="11"/>
                <w:szCs w:val="11"/>
                <w:color w:val="008000"/>
                <w:w w:val="88"/>
              </w:rPr>
              <w:t>(1)</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ind w:left="280"/>
              <w:spacing w:after="0"/>
              <w:rPr>
                <w:sz w:val="20"/>
                <w:szCs w:val="20"/>
                <w:color w:val="auto"/>
              </w:rPr>
            </w:pPr>
            <w:r>
              <w:rPr>
                <w:rFonts w:ascii="Arial" w:cs="Arial" w:eastAsia="Arial" w:hAnsi="Arial"/>
                <w:sz w:val="18"/>
                <w:szCs w:val="18"/>
                <w:color w:val="0000FF"/>
                <w:w w:val="95"/>
              </w:rPr>
              <w:t>178,890</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Pr>
          <w:p>
            <w:pPr>
              <w:ind w:left="440"/>
              <w:spacing w:after="0"/>
              <w:rPr>
                <w:sz w:val="20"/>
                <w:szCs w:val="20"/>
                <w:color w:val="auto"/>
              </w:rPr>
            </w:pPr>
            <w:r>
              <w:rPr>
                <w:rFonts w:ascii="Arial" w:cs="Arial" w:eastAsia="Arial" w:hAnsi="Arial"/>
                <w:sz w:val="18"/>
                <w:szCs w:val="18"/>
                <w:color w:val="0000FF"/>
              </w:rPr>
              <w:t>I</w:t>
            </w:r>
          </w:p>
        </w:tc>
        <w:tc>
          <w:tcPr>
            <w:tcW w:w="1660" w:type="dxa"/>
            <w:vAlign w:val="bottom"/>
            <w:gridSpan w:val="2"/>
          </w:tcPr>
          <w:p>
            <w:pPr>
              <w:ind w:left="100"/>
              <w:spacing w:after="0"/>
              <w:rPr>
                <w:sz w:val="20"/>
                <w:szCs w:val="20"/>
                <w:color w:val="auto"/>
              </w:rPr>
            </w:pPr>
            <w:r>
              <w:rPr>
                <w:rFonts w:ascii="Arial" w:cs="Arial" w:eastAsia="Arial" w:hAnsi="Arial"/>
                <w:sz w:val="18"/>
                <w:szCs w:val="18"/>
                <w:color w:val="0000FF"/>
              </w:rPr>
              <w:t>I2BF Netherlands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0000FF"/>
              </w:rPr>
              <w:t>B.V.</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00" w:type="dxa"/>
            <w:vAlign w:val="bottom"/>
            <w:gridSpan w:val="4"/>
            <w:vMerge w:val="restart"/>
          </w:tcPr>
          <w:p>
            <w:pPr>
              <w:ind w:left="60"/>
              <w:spacing w:after="0"/>
              <w:rPr>
                <w:sz w:val="20"/>
                <w:szCs w:val="20"/>
                <w:color w:val="auto"/>
              </w:rPr>
            </w:pPr>
            <w:r>
              <w:rPr>
                <w:rFonts w:ascii="Arial" w:cs="Arial" w:eastAsia="Arial" w:hAnsi="Arial"/>
                <w:sz w:val="18"/>
                <w:szCs w:val="18"/>
                <w:color w:val="0000FF"/>
                <w:w w:val="91"/>
              </w:rPr>
              <w:t>Series SRN Convertible Preferred Stock</w:t>
            </w:r>
          </w:p>
        </w:tc>
        <w:tc>
          <w:tcPr>
            <w:tcW w:w="1440" w:type="dxa"/>
            <w:vAlign w:val="bottom"/>
            <w:gridSpan w:val="3"/>
            <w:vMerge w:val="restart"/>
          </w:tcPr>
          <w:p>
            <w:pPr>
              <w:ind w:left="900"/>
              <w:spacing w:after="0"/>
              <w:rPr>
                <w:sz w:val="20"/>
                <w:szCs w:val="20"/>
                <w:color w:val="auto"/>
              </w:rPr>
            </w:pPr>
            <w:r>
              <w:rPr>
                <w:rFonts w:ascii="Arial" w:cs="Arial" w:eastAsia="Arial" w:hAnsi="Arial"/>
                <w:sz w:val="11"/>
                <w:szCs w:val="11"/>
                <w:color w:val="008000"/>
              </w:rPr>
              <w:t>(1)</w:t>
            </w:r>
          </w:p>
        </w:tc>
        <w:tc>
          <w:tcPr>
            <w:tcW w:w="780" w:type="dxa"/>
            <w:vAlign w:val="bottom"/>
            <w:gridSpan w:val="3"/>
            <w:vMerge w:val="restart"/>
          </w:tcPr>
          <w:p>
            <w:pPr>
              <w:jc w:val="center"/>
              <w:ind w:right="20"/>
              <w:spacing w:after="0"/>
              <w:rPr>
                <w:sz w:val="20"/>
                <w:szCs w:val="20"/>
                <w:color w:val="auto"/>
              </w:rPr>
            </w:pPr>
            <w:r>
              <w:rPr>
                <w:rFonts w:ascii="Arial" w:cs="Arial" w:eastAsia="Arial" w:hAnsi="Arial"/>
                <w:sz w:val="11"/>
                <w:szCs w:val="11"/>
                <w:color w:val="008000"/>
                <w:w w:val="88"/>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vMerge w:val="restart"/>
          </w:tcPr>
          <w:p>
            <w:pPr>
              <w:ind w:left="280"/>
              <w:spacing w:after="0"/>
              <w:rPr>
                <w:sz w:val="20"/>
                <w:szCs w:val="20"/>
                <w:color w:val="auto"/>
              </w:rPr>
            </w:pPr>
            <w:r>
              <w:rPr>
                <w:rFonts w:ascii="Arial" w:cs="Arial" w:eastAsia="Arial" w:hAnsi="Arial"/>
                <w:sz w:val="18"/>
                <w:szCs w:val="18"/>
                <w:color w:val="0000FF"/>
                <w:w w:val="95"/>
              </w:rPr>
              <w:t>178,890</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60" w:type="dxa"/>
            <w:vAlign w:val="bottom"/>
            <w:gridSpan w:val="2"/>
          </w:tcPr>
          <w:p>
            <w:pPr>
              <w:ind w:left="100"/>
              <w:spacing w:after="0"/>
              <w:rPr>
                <w:sz w:val="20"/>
                <w:szCs w:val="20"/>
                <w:color w:val="auto"/>
              </w:rPr>
            </w:pPr>
            <w:r>
              <w:rPr>
                <w:rFonts w:ascii="Arial" w:cs="Arial" w:eastAsia="Arial" w:hAnsi="Arial"/>
                <w:sz w:val="18"/>
                <w:szCs w:val="18"/>
                <w:color w:val="0000FF"/>
              </w:rPr>
              <w:t>By Selecta RKFN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60" w:type="dxa"/>
            <w:vAlign w:val="bottom"/>
            <w:gridSpan w:val="2"/>
            <w:vMerge w:val="restart"/>
          </w:tcPr>
          <w:p>
            <w:pPr>
              <w:ind w:left="100"/>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0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6"/>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VTB Capital I2BF Netherlands, B.V.</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6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440" w:type="dxa"/>
            <w:vAlign w:val="bottom"/>
            <w:gridSpan w:val="3"/>
          </w:tcPr>
          <w:p>
            <w:pPr>
              <w:ind w:left="2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0000FF"/>
                <w:w w:val="92"/>
              </w:rPr>
              <w:t>10 PRESNENSKAYA EMB., BLOCK C</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MOSCOW</w:t>
            </w:r>
          </w:p>
        </w:tc>
        <w:tc>
          <w:tcPr>
            <w:tcW w:w="1760" w:type="dxa"/>
            <w:vAlign w:val="bottom"/>
            <w:gridSpan w:val="2"/>
          </w:tcPr>
          <w:p>
            <w:pPr>
              <w:ind w:left="320"/>
              <w:spacing w:after="0"/>
              <w:rPr>
                <w:sz w:val="20"/>
                <w:szCs w:val="20"/>
                <w:color w:val="auto"/>
              </w:rPr>
            </w:pPr>
            <w:r>
              <w:rPr>
                <w:rFonts w:ascii="Arial" w:cs="Arial" w:eastAsia="Arial" w:hAnsi="Arial"/>
                <w:sz w:val="18"/>
                <w:szCs w:val="18"/>
                <w:color w:val="0000FF"/>
              </w:rPr>
              <w:t>1Z</w:t>
            </w:r>
          </w:p>
        </w:tc>
        <w:tc>
          <w:tcPr>
            <w:tcW w:w="1440" w:type="dxa"/>
            <w:vAlign w:val="bottom"/>
            <w:gridSpan w:val="3"/>
          </w:tcPr>
          <w:p>
            <w:pPr>
              <w:ind w:left="20"/>
              <w:spacing w:after="0"/>
              <w:rPr>
                <w:sz w:val="20"/>
                <w:szCs w:val="20"/>
                <w:color w:val="auto"/>
              </w:rPr>
            </w:pPr>
            <w:r>
              <w:rPr>
                <w:rFonts w:ascii="Arial" w:cs="Arial" w:eastAsia="Arial" w:hAnsi="Arial"/>
                <w:sz w:val="18"/>
                <w:szCs w:val="18"/>
                <w:color w:val="0000FF"/>
              </w:rPr>
              <w:t>123317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6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440" w:type="dxa"/>
            <w:vAlign w:val="bottom"/>
            <w:gridSpan w:val="3"/>
          </w:tcPr>
          <w:p>
            <w:pPr>
              <w:ind w:left="2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3"/>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Selecta RKFN, Ltd.</w:t>
              </w:r>
            </w:hyperlink>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6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440" w:type="dxa"/>
            <w:vAlign w:val="bottom"/>
            <w:gridSpan w:val="3"/>
          </w:tcPr>
          <w:p>
            <w:pPr>
              <w:ind w:left="2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0000FF"/>
              </w:rPr>
              <w:t>C/O VTB CAPITAL INVESTMENT MANAGEMENT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0000FF"/>
                <w:w w:val="92"/>
              </w:rPr>
              <w:t>10 PRESNENSKAYA EMB., BLOCK C</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MOSCOW</w:t>
            </w:r>
          </w:p>
        </w:tc>
        <w:tc>
          <w:tcPr>
            <w:tcW w:w="1760" w:type="dxa"/>
            <w:vAlign w:val="bottom"/>
            <w:gridSpan w:val="2"/>
          </w:tcPr>
          <w:p>
            <w:pPr>
              <w:ind w:left="320"/>
              <w:spacing w:after="0"/>
              <w:rPr>
                <w:sz w:val="20"/>
                <w:szCs w:val="20"/>
                <w:color w:val="auto"/>
              </w:rPr>
            </w:pPr>
            <w:r>
              <w:rPr>
                <w:rFonts w:ascii="Arial" w:cs="Arial" w:eastAsia="Arial" w:hAnsi="Arial"/>
                <w:sz w:val="18"/>
                <w:szCs w:val="18"/>
                <w:color w:val="0000FF"/>
              </w:rPr>
              <w:t>1Z</w:t>
            </w:r>
          </w:p>
        </w:tc>
        <w:tc>
          <w:tcPr>
            <w:tcW w:w="1440" w:type="dxa"/>
            <w:vAlign w:val="bottom"/>
            <w:gridSpan w:val="3"/>
          </w:tcPr>
          <w:p>
            <w:pPr>
              <w:ind w:left="20"/>
              <w:spacing w:after="0"/>
              <w:rPr>
                <w:sz w:val="20"/>
                <w:szCs w:val="20"/>
                <w:color w:val="auto"/>
              </w:rPr>
            </w:pPr>
            <w:r>
              <w:rPr>
                <w:rFonts w:ascii="Arial" w:cs="Arial" w:eastAsia="Arial" w:hAnsi="Arial"/>
                <w:sz w:val="18"/>
                <w:szCs w:val="18"/>
                <w:color w:val="0000FF"/>
              </w:rPr>
              <w:t>123317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6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440" w:type="dxa"/>
            <w:vAlign w:val="bottom"/>
            <w:gridSpan w:val="3"/>
          </w:tcPr>
          <w:p>
            <w:pPr>
              <w:ind w:left="2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preferred stock is convertible at any time, at the holder's election and has no expiration date. The preferred stock will automatically convert into common stock upon the closing of the Issuer's initial public offering.</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ectPr>
          <w:pgSz w:w="11900" w:h="16846" w:orient="portrait"/>
          <w:cols w:equalWidth="0" w:num="1">
            <w:col w:w="11420"/>
          </w:cols>
          <w:pgMar w:left="240" w:top="226" w:right="239" w:bottom="0" w:gutter="0" w:footer="0" w:header="0"/>
          <w:type w:val="continuous"/>
        </w:sectPr>
      </w:pPr>
    </w:p>
    <w:p>
      <w:pPr>
        <w:spacing w:after="0" w:line="7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VTB Capital I2BF Netherlands 06/21/2016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957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B.V. By: /s/ 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7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ectPr>
          <w:pgSz w:w="11900" w:h="16846" w:orient="portrait"/>
          <w:cols w:equalWidth="0" w:num="1">
            <w:col w:w="11420"/>
          </w:cols>
          <w:pgMar w:left="240" w:top="226" w:right="2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07"/>
        </w:trPr>
        <w:tc>
          <w:tcPr>
            <w:tcW w:w="2260" w:type="dxa"/>
            <w:vAlign w:val="bottom"/>
            <w:gridSpan w:val="4"/>
          </w:tcPr>
          <w:p>
            <w:pPr>
              <w:spacing w:after="0"/>
              <w:rPr>
                <w:sz w:val="20"/>
                <w:szCs w:val="20"/>
                <w:color w:val="auto"/>
              </w:rPr>
            </w:pPr>
            <w:r>
              <w:rPr>
                <w:rFonts w:ascii="Arial" w:cs="Arial" w:eastAsia="Arial" w:hAnsi="Arial"/>
                <w:sz w:val="18"/>
                <w:szCs w:val="18"/>
                <w:color w:val="0000FF"/>
              </w:rPr>
              <w:t>attorney-in-fact</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gridSpan w:val="4"/>
          </w:tcPr>
          <w:p>
            <w:pPr>
              <w:spacing w:after="0"/>
              <w:rPr>
                <w:sz w:val="20"/>
                <w:szCs w:val="20"/>
                <w:color w:val="auto"/>
              </w:rPr>
            </w:pPr>
            <w:r>
              <w:rPr>
                <w:rFonts w:ascii="Arial" w:cs="Arial" w:eastAsia="Arial" w:hAnsi="Arial"/>
                <w:sz w:val="18"/>
                <w:szCs w:val="18"/>
                <w:color w:val="0000FF"/>
              </w:rPr>
              <w:t>Selecta RKFN Ltd. By: /s/</w:t>
            </w:r>
          </w:p>
        </w:tc>
        <w:tc>
          <w:tcPr>
            <w:tcW w:w="40" w:type="dxa"/>
            <w:vAlign w:val="bottom"/>
          </w:tcPr>
          <w:p>
            <w:pPr>
              <w:spacing w:after="0"/>
              <w:rPr>
                <w:sz w:val="21"/>
                <w:szCs w:val="21"/>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06/21/2016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89"/>
              </w:rPr>
              <w:t>David Siewers, attorney-in-fact</w:t>
            </w:r>
          </w:p>
        </w:tc>
        <w:tc>
          <w:tcPr>
            <w:tcW w:w="40" w:type="dxa"/>
            <w:vAlign w:val="bottom"/>
            <w:vMerge w:val="restart"/>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220" w:type="dxa"/>
            <w:vAlign w:val="bottom"/>
            <w:tcBorders>
              <w:bottom w:val="single" w:sz="8" w:color="auto"/>
            </w:tcBorders>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6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08" w:right="1299" w:bottom="1440" w:gutter="0" w:footer="0" w:header="0"/>
        </w:sectPr>
      </w:pPr>
    </w:p>
    <w:bookmarkStart w:id="2" w:name="page3"/>
    <w:bookmarkEnd w:id="2"/>
    <w:p>
      <w:pPr>
        <w:ind w:left="10940"/>
        <w:spacing w:after="0"/>
        <w:rPr>
          <w:sz w:val="20"/>
          <w:szCs w:val="20"/>
          <w:color w:val="auto"/>
        </w:rPr>
      </w:pPr>
      <w:r>
        <w:rPr>
          <w:rFonts w:ascii="Arial" w:cs="Arial" w:eastAsia="Arial" w:hAnsi="Arial"/>
          <w:sz w:val="17"/>
          <w:szCs w:val="17"/>
          <w:b w:val="1"/>
          <w:bCs w:val="1"/>
          <w:color w:val="auto"/>
        </w:rPr>
        <w:t>Ex. 24</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81" w:lineRule="exact"/>
        <w:rPr>
          <w:sz w:val="20"/>
          <w:szCs w:val="20"/>
          <w:color w:val="auto"/>
        </w:rPr>
      </w:pPr>
    </w:p>
    <w:p>
      <w:pPr>
        <w:ind w:left="700" w:right="180" w:firstLine="1"/>
        <w:spacing w:after="0" w:line="259" w:lineRule="auto"/>
        <w:tabs>
          <w:tab w:leader="none" w:pos="1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86" w:lineRule="exact"/>
        <w:rPr>
          <w:rFonts w:ascii="Arial" w:cs="Arial" w:eastAsia="Arial" w:hAnsi="Arial"/>
          <w:sz w:val="18"/>
          <w:szCs w:val="18"/>
          <w:color w:val="auto"/>
        </w:rPr>
      </w:pPr>
    </w:p>
    <w:p>
      <w:pPr>
        <w:ind w:left="700" w:right="200" w:firstLine="1"/>
        <w:spacing w:after="0" w:line="277" w:lineRule="auto"/>
        <w:tabs>
          <w:tab w:leader="none" w:pos="1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 of the Securities Exchange Act of 1934, as amended, and the rules thereunder;</w:t>
      </w:r>
    </w:p>
    <w:p>
      <w:pPr>
        <w:spacing w:after="0" w:line="170" w:lineRule="exact"/>
        <w:rPr>
          <w:rFonts w:ascii="Arial" w:cs="Arial" w:eastAsia="Arial" w:hAnsi="Arial"/>
          <w:sz w:val="18"/>
          <w:szCs w:val="18"/>
          <w:color w:val="auto"/>
        </w:rPr>
      </w:pPr>
    </w:p>
    <w:p>
      <w:pPr>
        <w:ind w:left="700" w:right="100" w:firstLine="1"/>
        <w:spacing w:after="0" w:line="264" w:lineRule="auto"/>
        <w:tabs>
          <w:tab w:leader="none" w:pos="1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1" w:lineRule="exact"/>
        <w:rPr>
          <w:rFonts w:ascii="Arial" w:cs="Arial" w:eastAsia="Arial" w:hAnsi="Arial"/>
          <w:sz w:val="18"/>
          <w:szCs w:val="18"/>
          <w:color w:val="auto"/>
        </w:rPr>
      </w:pPr>
    </w:p>
    <w:p>
      <w:pPr>
        <w:ind w:left="700" w:right="40" w:firstLine="1"/>
        <w:spacing w:after="0" w:line="259" w:lineRule="auto"/>
        <w:tabs>
          <w:tab w:leader="none" w:pos="1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8"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24"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16 day of June,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VTB CAPITAL I2BF NETHERLANDS B.V.</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Vovchenko Liubov</w:t>
            </w:r>
          </w:p>
        </w:tc>
        <w:tc>
          <w:tcPr>
            <w:tcW w:w="6040" w:type="dxa"/>
            <w:vAlign w:val="bottom"/>
          </w:tcPr>
          <w:p>
            <w:pPr>
              <w:spacing w:after="0"/>
              <w:rPr>
                <w:sz w:val="20"/>
                <w:szCs w:val="20"/>
                <w:color w:val="auto"/>
              </w:rPr>
            </w:pPr>
          </w:p>
        </w:tc>
      </w:tr>
      <w:tr>
        <w:trPr>
          <w:trHeight w:val="195"/>
        </w:trPr>
        <w:tc>
          <w:tcPr>
            <w:tcW w:w="8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Vovchenko Liubov</w:t>
            </w:r>
          </w:p>
        </w:tc>
        <w:tc>
          <w:tcPr>
            <w:tcW w:w="6040" w:type="dxa"/>
            <w:vAlign w:val="bottom"/>
          </w:tcPr>
          <w:p>
            <w:pPr>
              <w:spacing w:after="0"/>
              <w:rPr>
                <w:sz w:val="16"/>
                <w:szCs w:val="16"/>
                <w:color w:val="auto"/>
              </w:rPr>
            </w:pP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Director A</w:t>
            </w:r>
          </w:p>
        </w:tc>
        <w:tc>
          <w:tcPr>
            <w:tcW w:w="6040" w:type="dxa"/>
            <w:vAlign w:val="bottom"/>
          </w:tcPr>
          <w:p>
            <w:pPr>
              <w:spacing w:after="0"/>
              <w:rPr>
                <w:sz w:val="20"/>
                <w:szCs w:val="20"/>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AND</w:t>
            </w:r>
          </w:p>
        </w:tc>
        <w:tc>
          <w:tcPr>
            <w:tcW w:w="456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Ruijs Jeanine</w:t>
            </w:r>
          </w:p>
        </w:tc>
        <w:tc>
          <w:tcPr>
            <w:tcW w:w="6040" w:type="dxa"/>
            <w:vAlign w:val="bottom"/>
          </w:tcPr>
          <w:p>
            <w:pPr>
              <w:spacing w:after="0"/>
              <w:rPr>
                <w:sz w:val="24"/>
                <w:szCs w:val="24"/>
                <w:color w:val="auto"/>
              </w:rPr>
            </w:pPr>
          </w:p>
        </w:tc>
      </w:tr>
      <w:tr>
        <w:trPr>
          <w:trHeight w:val="195"/>
        </w:trPr>
        <w:tc>
          <w:tcPr>
            <w:tcW w:w="8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Ruijs Jeanine, attorney-in-fact for Rolfes Linde</w:t>
            </w:r>
          </w:p>
        </w:tc>
        <w:tc>
          <w:tcPr>
            <w:tcW w:w="6040" w:type="dxa"/>
            <w:vAlign w:val="bottom"/>
          </w:tcPr>
          <w:p>
            <w:pPr>
              <w:spacing w:after="0"/>
              <w:rPr>
                <w:sz w:val="16"/>
                <w:szCs w:val="16"/>
                <w:color w:val="auto"/>
              </w:rPr>
            </w:pP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Director B</w:t>
            </w:r>
          </w:p>
        </w:tc>
        <w:tc>
          <w:tcPr>
            <w:tcW w:w="6040" w:type="dxa"/>
            <w:vAlign w:val="bottom"/>
          </w:tcPr>
          <w:p>
            <w:pPr>
              <w:spacing w:after="0"/>
              <w:rPr>
                <w:sz w:val="20"/>
                <w:szCs w:val="20"/>
                <w:color w:val="auto"/>
              </w:rPr>
            </w:pPr>
          </w:p>
        </w:tc>
      </w:tr>
      <w:tr>
        <w:trPr>
          <w:trHeight w:val="432"/>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SELECTA RKFN LTD.</w:t>
            </w:r>
          </w:p>
        </w:tc>
        <w:tc>
          <w:tcPr>
            <w:tcW w:w="604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Omelchenko</w:t>
            </w:r>
          </w:p>
        </w:tc>
        <w:tc>
          <w:tcPr>
            <w:tcW w:w="6040" w:type="dxa"/>
            <w:vAlign w:val="bottom"/>
          </w:tcPr>
          <w:p>
            <w:pPr>
              <w:spacing w:after="0"/>
              <w:rPr>
                <w:sz w:val="24"/>
                <w:szCs w:val="24"/>
                <w:color w:val="auto"/>
              </w:rPr>
            </w:pPr>
          </w:p>
        </w:tc>
      </w:tr>
      <w:tr>
        <w:trPr>
          <w:trHeight w:val="195"/>
        </w:trPr>
        <w:tc>
          <w:tcPr>
            <w:tcW w:w="8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Maria Omelchenko</w:t>
            </w:r>
          </w:p>
        </w:tc>
        <w:tc>
          <w:tcPr>
            <w:tcW w:w="6040" w:type="dxa"/>
            <w:vAlign w:val="bottom"/>
          </w:tcPr>
          <w:p>
            <w:pPr>
              <w:spacing w:after="0"/>
              <w:rPr>
                <w:sz w:val="16"/>
                <w:szCs w:val="16"/>
                <w:color w:val="auto"/>
              </w:rPr>
            </w:pP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General Director</w:t>
            </w:r>
          </w:p>
        </w:tc>
        <w:tc>
          <w:tcPr>
            <w:tcW w:w="6040" w:type="dxa"/>
            <w:vAlign w:val="bottom"/>
          </w:tcPr>
          <w:p>
            <w:pPr>
              <w:spacing w:after="0"/>
              <w:rPr>
                <w:sz w:val="20"/>
                <w:szCs w:val="20"/>
                <w:color w:val="auto"/>
              </w:rPr>
            </w:pPr>
          </w:p>
        </w:tc>
      </w:tr>
      <w:tr>
        <w:trPr>
          <w:trHeight w:val="348"/>
        </w:trPr>
        <w:tc>
          <w:tcPr>
            <w:tcW w:w="86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6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Individuals Appointed as Attorney-in-Fact with Full Power of Substitution and Resubstitution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Abraham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1" Type="http://schemas.openxmlformats.org/officeDocument/2006/relationships/hyperlink" Target="http://www.sec.govhttp//www.sec.gov/cgi-bin/browse-edgar?action=getcompany&amp;CIK=0001677574" TargetMode="External"/><Relationship Id="rId12" Type="http://schemas.openxmlformats.org/officeDocument/2006/relationships/hyperlink" Target="http://www.sec.gov/cgi-bin/browse-edgar?action=getcompany&amp;CIK=0001453687" TargetMode="External"/><Relationship Id="rId13" Type="http://schemas.openxmlformats.org/officeDocument/2006/relationships/hyperlink" Target="http://www.sec.gov/cgi-bin/browse-edgar?action=getcompany&amp;CIK=00016775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2019-12-08T19:09:31Z</dcterms:created>
  <dcterms:modified xsi:type="dcterms:W3CDTF">2019-12-08T19:09:31Z</dcterms:modified>
</cp:coreProperties>
</file>