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11, 2017</w:t>
      </w:r>
    </w:p>
    <w:p>
      <w:pPr>
        <w:spacing w:after="0" w:line="27" w:lineRule="exact"/>
        <w:rPr>
          <w:sz w:val="24"/>
          <w:szCs w:val="24"/>
          <w:color w:val="auto"/>
        </w:rPr>
      </w:pPr>
    </w:p>
    <w:p>
      <w:pPr>
        <w:ind w:left="95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4"/>
          <w:szCs w:val="24"/>
          <w:color w:val="auto"/>
        </w:rPr>
      </w:pPr>
    </w:p>
    <w:tbl>
      <w:tblPr>
        <w:tblLayout w:type="fixed"/>
        <w:tblInd w:w="1940" w:type="dxa"/>
        <w:tblCellMar>
          <w:top w:w="0" w:type="dxa"/>
          <w:left w:w="0" w:type="dxa"/>
          <w:bottom w:w="0" w:type="dxa"/>
          <w:right w:w="0" w:type="dxa"/>
        </w:tblCellMar>
      </w:tblPr>
      <w:tr>
        <w:trPr>
          <w:trHeight w:val="351"/>
        </w:trPr>
        <w:tc>
          <w:tcPr>
            <w:tcW w:w="2020" w:type="dxa"/>
            <w:vAlign w:val="bottom"/>
          </w:tcPr>
          <w:p>
            <w:pPr>
              <w:spacing w:after="0"/>
              <w:rPr>
                <w:sz w:val="24"/>
                <w:szCs w:val="24"/>
                <w:color w:val="auto"/>
              </w:rPr>
            </w:pPr>
          </w:p>
        </w:tc>
        <w:tc>
          <w:tcPr>
            <w:tcW w:w="5320" w:type="dxa"/>
            <w:vAlign w:val="bottom"/>
            <w:gridSpan w:val="3"/>
          </w:tcPr>
          <w:p>
            <w:pPr>
              <w:ind w:left="280"/>
              <w:spacing w:after="0"/>
              <w:rPr>
                <w:sz w:val="20"/>
                <w:szCs w:val="20"/>
                <w:color w:val="auto"/>
              </w:rPr>
            </w:pPr>
            <w:r>
              <w:rPr>
                <w:rFonts w:ascii="Arial" w:cs="Arial" w:eastAsia="Arial" w:hAnsi="Arial"/>
                <w:sz w:val="29"/>
                <w:szCs w:val="29"/>
                <w:b w:val="1"/>
                <w:bCs w:val="1"/>
                <w:color w:val="auto"/>
              </w:rPr>
              <w:t>Selecta Biosciences, Inc.</w:t>
            </w:r>
          </w:p>
        </w:tc>
      </w:tr>
      <w:tr>
        <w:trPr>
          <w:trHeight w:val="182"/>
        </w:trPr>
        <w:tc>
          <w:tcPr>
            <w:tcW w:w="2020" w:type="dxa"/>
            <w:vAlign w:val="bottom"/>
          </w:tcPr>
          <w:p>
            <w:pPr>
              <w:spacing w:after="0"/>
              <w:rPr>
                <w:sz w:val="15"/>
                <w:szCs w:val="15"/>
                <w:color w:val="auto"/>
              </w:rPr>
            </w:pPr>
          </w:p>
        </w:tc>
        <w:tc>
          <w:tcPr>
            <w:tcW w:w="5320" w:type="dxa"/>
            <w:vAlign w:val="bottom"/>
            <w:gridSpan w:val="3"/>
          </w:tcPr>
          <w:p>
            <w:pPr>
              <w:ind w:left="260"/>
              <w:spacing w:after="0"/>
              <w:rPr>
                <w:sz w:val="20"/>
                <w:szCs w:val="20"/>
                <w:color w:val="auto"/>
              </w:rPr>
            </w:pPr>
            <w:r>
              <w:rPr>
                <w:rFonts w:ascii="Arial" w:cs="Arial" w:eastAsia="Arial" w:hAnsi="Arial"/>
                <w:sz w:val="14"/>
                <w:szCs w:val="14"/>
                <w:color w:val="auto"/>
              </w:rPr>
              <w:t>(Exact name of registrant as specified in its charter)</w:t>
            </w:r>
          </w:p>
        </w:tc>
      </w:tr>
      <w:tr>
        <w:trPr>
          <w:trHeight w:val="188"/>
        </w:trPr>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2120" w:type="dxa"/>
            <w:vAlign w:val="bottom"/>
          </w:tcPr>
          <w:p>
            <w:pPr>
              <w:spacing w:after="0"/>
              <w:rPr>
                <w:sz w:val="16"/>
                <w:szCs w:val="16"/>
                <w:color w:val="auto"/>
              </w:rPr>
            </w:pPr>
          </w:p>
        </w:tc>
      </w:tr>
      <w:tr>
        <w:trPr>
          <w:trHeight w:val="326"/>
        </w:trPr>
        <w:tc>
          <w:tcPr>
            <w:tcW w:w="20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Delaware</w:t>
            </w:r>
          </w:p>
        </w:tc>
        <w:tc>
          <w:tcPr>
            <w:tcW w:w="5320" w:type="dxa"/>
            <w:vAlign w:val="bottom"/>
            <w:gridSpan w:val="3"/>
          </w:tcPr>
          <w:p>
            <w:pPr>
              <w:jc w:val="center"/>
              <w:ind w:left="3904"/>
              <w:spacing w:after="0"/>
              <w:rPr>
                <w:sz w:val="20"/>
                <w:szCs w:val="20"/>
                <w:color w:val="auto"/>
              </w:rPr>
            </w:pPr>
            <w:r>
              <w:rPr>
                <w:rFonts w:ascii="Arial" w:cs="Arial" w:eastAsia="Arial" w:hAnsi="Arial"/>
                <w:sz w:val="14"/>
                <w:szCs w:val="14"/>
                <w:b w:val="1"/>
                <w:bCs w:val="1"/>
                <w:color w:val="auto"/>
                <w:w w:val="90"/>
              </w:rPr>
              <w:t>26-1622110</w:t>
            </w:r>
          </w:p>
        </w:tc>
      </w:tr>
      <w:tr>
        <w:trPr>
          <w:trHeight w:val="149"/>
        </w:trPr>
        <w:tc>
          <w:tcPr>
            <w:tcW w:w="2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20" w:type="dxa"/>
            <w:vAlign w:val="bottom"/>
          </w:tcPr>
          <w:p>
            <w:pPr>
              <w:jc w:val="center"/>
              <w:ind w:left="7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020" w:type="dxa"/>
            <w:vAlign w:val="bottom"/>
          </w:tcPr>
          <w:p>
            <w:pPr>
              <w:jc w:val="center"/>
              <w:ind w:right="208"/>
              <w:spacing w:after="0"/>
              <w:rPr>
                <w:sz w:val="20"/>
                <w:szCs w:val="20"/>
                <w:color w:val="auto"/>
              </w:rPr>
            </w:pPr>
            <w:r>
              <w:rPr>
                <w:rFonts w:ascii="Arial" w:cs="Arial" w:eastAsia="Arial" w:hAnsi="Arial"/>
                <w:sz w:val="14"/>
                <w:szCs w:val="14"/>
                <w:color w:val="auto"/>
                <w:w w:val="95"/>
              </w:rPr>
              <w:t>incorporation or organization)</w:t>
            </w:r>
          </w:p>
        </w:tc>
        <w:tc>
          <w:tcPr>
            <w:tcW w:w="3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20" w:type="dxa"/>
            <w:vAlign w:val="bottom"/>
          </w:tcPr>
          <w:p>
            <w:pPr>
              <w:jc w:val="center"/>
              <w:ind w:left="728"/>
              <w:spacing w:after="0"/>
              <w:rPr>
                <w:sz w:val="20"/>
                <w:szCs w:val="20"/>
                <w:color w:val="auto"/>
              </w:rPr>
            </w:pPr>
            <w:r>
              <w:rPr>
                <w:rFonts w:ascii="Arial" w:cs="Arial" w:eastAsia="Arial" w:hAnsi="Arial"/>
                <w:sz w:val="14"/>
                <w:szCs w:val="14"/>
                <w:color w:val="auto"/>
                <w:w w:val="96"/>
              </w:rPr>
              <w:t>Identification Number)</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480 Arsenal Way</w:t>
      </w:r>
    </w:p>
    <w:p>
      <w:pPr>
        <w:jc w:val="center"/>
        <w:spacing w:after="0" w:line="226" w:lineRule="auto"/>
        <w:rPr>
          <w:sz w:val="20"/>
          <w:szCs w:val="20"/>
          <w:color w:val="auto"/>
        </w:rPr>
      </w:pPr>
      <w:r>
        <w:rPr>
          <w:rFonts w:ascii="Arial" w:cs="Arial" w:eastAsia="Arial" w:hAnsi="Arial"/>
          <w:sz w:val="14"/>
          <w:szCs w:val="14"/>
          <w:b w:val="1"/>
          <w:bCs w:val="1"/>
          <w:color w:val="auto"/>
        </w:rPr>
        <w:t>Watertown, MA 02472</w:t>
      </w:r>
    </w:p>
    <w:p>
      <w:pPr>
        <w:jc w:val="center"/>
        <w:spacing w:after="0" w:line="222" w:lineRule="auto"/>
        <w:rPr>
          <w:sz w:val="20"/>
          <w:szCs w:val="20"/>
          <w:color w:val="auto"/>
        </w:rPr>
      </w:pPr>
      <w:r>
        <w:rPr>
          <w:rFonts w:ascii="Arial" w:cs="Arial" w:eastAsia="Arial" w:hAnsi="Arial"/>
          <w:sz w:val="14"/>
          <w:szCs w:val="14"/>
          <w:b w:val="1"/>
          <w:bCs w:val="1"/>
          <w:color w:val="auto"/>
        </w:rPr>
        <w:t>(617) 923-1400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Werner Cautreels, Ph.D.</w:t>
      </w:r>
    </w:p>
    <w:p>
      <w:pPr>
        <w:jc w:val="center"/>
        <w:spacing w:after="0" w:line="226" w:lineRule="auto"/>
        <w:rPr>
          <w:sz w:val="20"/>
          <w:szCs w:val="20"/>
          <w:color w:val="auto"/>
        </w:rPr>
      </w:pPr>
      <w:r>
        <w:rPr>
          <w:rFonts w:ascii="Arial" w:cs="Arial" w:eastAsia="Arial" w:hAnsi="Arial"/>
          <w:sz w:val="14"/>
          <w:szCs w:val="14"/>
          <w:b w:val="1"/>
          <w:bCs w:val="1"/>
          <w:color w:val="auto"/>
        </w:rPr>
        <w:t>Selecta Biosciences, Inc.</w:t>
      </w:r>
    </w:p>
    <w:p>
      <w:pPr>
        <w:jc w:val="center"/>
        <w:spacing w:after="0" w:line="222" w:lineRule="auto"/>
        <w:rPr>
          <w:sz w:val="20"/>
          <w:szCs w:val="20"/>
          <w:color w:val="auto"/>
        </w:rPr>
      </w:pPr>
      <w:r>
        <w:rPr>
          <w:rFonts w:ascii="Arial" w:cs="Arial" w:eastAsia="Arial" w:hAnsi="Arial"/>
          <w:sz w:val="14"/>
          <w:szCs w:val="14"/>
          <w:b w:val="1"/>
          <w:bCs w:val="1"/>
          <w:color w:val="auto"/>
        </w:rPr>
        <w:t>480 Arsenal Way</w:t>
      </w:r>
    </w:p>
    <w:p>
      <w:pPr>
        <w:jc w:val="center"/>
        <w:spacing w:after="0" w:line="221" w:lineRule="auto"/>
        <w:rPr>
          <w:sz w:val="20"/>
          <w:szCs w:val="20"/>
          <w:color w:val="auto"/>
        </w:rPr>
      </w:pPr>
      <w:r>
        <w:rPr>
          <w:rFonts w:ascii="Arial" w:cs="Arial" w:eastAsia="Arial" w:hAnsi="Arial"/>
          <w:sz w:val="14"/>
          <w:szCs w:val="14"/>
          <w:b w:val="1"/>
          <w:bCs w:val="1"/>
          <w:color w:val="auto"/>
        </w:rPr>
        <w:t>Watertown, MA 02472</w:t>
      </w:r>
    </w:p>
    <w:p>
      <w:pPr>
        <w:jc w:val="center"/>
        <w:spacing w:after="0" w:line="222" w:lineRule="auto"/>
        <w:rPr>
          <w:sz w:val="20"/>
          <w:szCs w:val="20"/>
          <w:color w:val="auto"/>
        </w:rPr>
      </w:pPr>
      <w:r>
        <w:rPr>
          <w:rFonts w:ascii="Arial" w:cs="Arial" w:eastAsia="Arial" w:hAnsi="Arial"/>
          <w:sz w:val="14"/>
          <w:szCs w:val="14"/>
          <w:b w:val="1"/>
          <w:bCs w:val="1"/>
          <w:color w:val="auto"/>
        </w:rPr>
        <w:t>(617) 923-1400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agent for service)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Peter N. Handrinos</w:t>
      </w:r>
    </w:p>
    <w:p>
      <w:pPr>
        <w:jc w:val="center"/>
        <w:spacing w:after="0" w:line="226" w:lineRule="auto"/>
        <w:rPr>
          <w:sz w:val="20"/>
          <w:szCs w:val="20"/>
          <w:color w:val="auto"/>
        </w:rPr>
      </w:pPr>
      <w:r>
        <w:rPr>
          <w:rFonts w:ascii="Arial" w:cs="Arial" w:eastAsia="Arial" w:hAnsi="Arial"/>
          <w:sz w:val="14"/>
          <w:szCs w:val="14"/>
          <w:b w:val="1"/>
          <w:bCs w:val="1"/>
          <w:color w:val="auto"/>
        </w:rPr>
        <w:t>Brandon J. Bortner</w:t>
      </w:r>
    </w:p>
    <w:p>
      <w:pPr>
        <w:jc w:val="center"/>
        <w:spacing w:after="0" w:line="222" w:lineRule="auto"/>
        <w:rPr>
          <w:sz w:val="20"/>
          <w:szCs w:val="20"/>
          <w:color w:val="auto"/>
        </w:rPr>
      </w:pPr>
      <w:r>
        <w:rPr>
          <w:rFonts w:ascii="Arial" w:cs="Arial" w:eastAsia="Arial" w:hAnsi="Arial"/>
          <w:sz w:val="14"/>
          <w:szCs w:val="14"/>
          <w:color w:val="auto"/>
        </w:rPr>
        <w:t>Latham &amp; Watkins LLP</w:t>
      </w:r>
    </w:p>
    <w:p>
      <w:pPr>
        <w:jc w:val="center"/>
        <w:spacing w:after="0" w:line="221" w:lineRule="auto"/>
        <w:rPr>
          <w:sz w:val="20"/>
          <w:szCs w:val="20"/>
          <w:color w:val="auto"/>
        </w:rPr>
      </w:pPr>
      <w:r>
        <w:rPr>
          <w:rFonts w:ascii="Arial" w:cs="Arial" w:eastAsia="Arial" w:hAnsi="Arial"/>
          <w:sz w:val="14"/>
          <w:szCs w:val="14"/>
          <w:color w:val="auto"/>
        </w:rPr>
        <w:t>200 Clarendon Street, 27th Floor</w:t>
      </w:r>
    </w:p>
    <w:p>
      <w:pPr>
        <w:jc w:val="center"/>
        <w:spacing w:after="0" w:line="222" w:lineRule="auto"/>
        <w:rPr>
          <w:sz w:val="20"/>
          <w:szCs w:val="20"/>
          <w:color w:val="auto"/>
        </w:rPr>
      </w:pPr>
      <w:r>
        <w:rPr>
          <w:rFonts w:ascii="Arial" w:cs="Arial" w:eastAsia="Arial" w:hAnsi="Arial"/>
          <w:sz w:val="14"/>
          <w:szCs w:val="14"/>
          <w:color w:val="auto"/>
        </w:rPr>
        <w:t>Boston, MA 02116</w:t>
      </w:r>
    </w:p>
    <w:p>
      <w:pPr>
        <w:jc w:val="center"/>
        <w:spacing w:after="0"/>
        <w:rPr>
          <w:sz w:val="20"/>
          <w:szCs w:val="20"/>
          <w:color w:val="auto"/>
        </w:rPr>
      </w:pPr>
      <w:r>
        <w:rPr>
          <w:rFonts w:ascii="Arial" w:cs="Arial" w:eastAsia="Arial" w:hAnsi="Arial"/>
          <w:sz w:val="14"/>
          <w:szCs w:val="14"/>
          <w:color w:val="auto"/>
        </w:rPr>
        <w:t>(617) 948-6000</w:t>
      </w:r>
    </w:p>
    <w:p>
      <w:pPr>
        <w:spacing w:after="0" w:line="66" w:lineRule="exact"/>
        <w:rPr>
          <w:sz w:val="24"/>
          <w:szCs w:val="24"/>
          <w:color w:val="auto"/>
        </w:rPr>
      </w:pPr>
    </w:p>
    <w:p>
      <w:pPr>
        <w:ind w:right="1240"/>
        <w:spacing w:after="0" w:line="393" w:lineRule="auto"/>
        <w:rPr>
          <w:sz w:val="20"/>
          <w:szCs w:val="20"/>
          <w:color w:val="auto"/>
        </w:rPr>
      </w:pPr>
      <w:r>
        <w:rPr>
          <w:rFonts w:ascii="Arial" w:cs="Arial" w:eastAsia="Arial" w:hAnsi="Arial"/>
          <w:sz w:val="13"/>
          <w:szCs w:val="13"/>
          <w:b w:val="1"/>
          <w:bCs w:val="1"/>
          <w:color w:val="auto"/>
        </w:rPr>
        <w:t xml:space="preserve">APPROXIMATE DATE OF COMMENCEMENT OF PROPOSED SALE TO THE PUBLIC: From time to time after the effective date of this registration statement. </w:t>
      </w:r>
      <w:r>
        <w:rPr>
          <w:rFonts w:ascii="Arial" w:cs="Arial" w:eastAsia="Arial" w:hAnsi="Arial"/>
          <w:sz w:val="13"/>
          <w:szCs w:val="13"/>
          <w:color w:val="auto"/>
        </w:rPr>
        <w:t>If the only securities being registered on this Form are being offered pursuant to dividend or interest reinvestment plans, please check the following box. o</w:t>
      </w:r>
    </w:p>
    <w:p>
      <w:pPr>
        <w:spacing w:after="0" w:line="1" w:lineRule="exact"/>
        <w:rPr>
          <w:sz w:val="24"/>
          <w:szCs w:val="24"/>
          <w:color w:val="auto"/>
        </w:rPr>
      </w:pPr>
    </w:p>
    <w:p>
      <w:pPr>
        <w:ind w:right="240"/>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2"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840"/>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on filing with the Commission pursuant to Rule 462(e) under the Securities Act, check the following box. o</w:t>
      </w:r>
    </w:p>
    <w:p>
      <w:pPr>
        <w:spacing w:after="0" w:line="52"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52"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auto"/>
                <w:w w:val="90"/>
              </w:rPr>
              <w:t>Large accelerated filer</w:t>
            </w:r>
          </w:p>
        </w:tc>
        <w:tc>
          <w:tcPr>
            <w:tcW w:w="2420" w:type="dxa"/>
            <w:vAlign w:val="bottom"/>
          </w:tcPr>
          <w:p>
            <w:pPr>
              <w:ind w:left="80"/>
              <w:spacing w:after="0"/>
              <w:rPr>
                <w:sz w:val="20"/>
                <w:szCs w:val="20"/>
                <w:color w:val="auto"/>
              </w:rPr>
            </w:pPr>
            <w:r>
              <w:rPr>
                <w:rFonts w:ascii="Arial" w:cs="Arial" w:eastAsia="Arial" w:hAnsi="Arial"/>
                <w:sz w:val="14"/>
                <w:szCs w:val="14"/>
                <w:color w:val="auto"/>
              </w:rPr>
              <w:t>o</w:t>
            </w:r>
          </w:p>
        </w:tc>
        <w:tc>
          <w:tcPr>
            <w:tcW w:w="2740" w:type="dxa"/>
            <w:vAlign w:val="bottom"/>
          </w:tcPr>
          <w:p>
            <w:pPr>
              <w:ind w:left="1020"/>
              <w:spacing w:after="0"/>
              <w:rPr>
                <w:sz w:val="20"/>
                <w:szCs w:val="20"/>
                <w:color w:val="auto"/>
              </w:rPr>
            </w:pPr>
            <w:r>
              <w:rPr>
                <w:rFonts w:ascii="Arial" w:cs="Arial" w:eastAsia="Arial" w:hAnsi="Arial"/>
                <w:sz w:val="14"/>
                <w:szCs w:val="14"/>
                <w:color w:val="auto"/>
              </w:rPr>
              <w:t>Accelerated filer o</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w w:val="97"/>
              </w:rPr>
              <w:t>Non-accelerated filer</w:t>
            </w: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x</w:t>
            </w:r>
          </w:p>
        </w:tc>
        <w:tc>
          <w:tcPr>
            <w:tcW w:w="2740" w:type="dxa"/>
            <w:vAlign w:val="bottom"/>
          </w:tcPr>
          <w:p>
            <w:pPr>
              <w:spacing w:after="0"/>
              <w:rPr>
                <w:sz w:val="12"/>
                <w:szCs w:val="12"/>
                <w:color w:val="auto"/>
              </w:rPr>
            </w:pPr>
          </w:p>
        </w:tc>
      </w:tr>
      <w:tr>
        <w:trPr>
          <w:trHeight w:val="182"/>
        </w:trPr>
        <w:tc>
          <w:tcPr>
            <w:tcW w:w="3700" w:type="dxa"/>
            <w:vAlign w:val="bottom"/>
            <w:gridSpan w:val="2"/>
          </w:tcPr>
          <w:p>
            <w:pPr>
              <w:spacing w:after="0"/>
              <w:rPr>
                <w:sz w:val="20"/>
                <w:szCs w:val="20"/>
                <w:color w:val="auto"/>
              </w:rPr>
            </w:pPr>
            <w:r>
              <w:rPr>
                <w:rFonts w:ascii="Arial" w:cs="Arial" w:eastAsia="Arial" w:hAnsi="Arial"/>
                <w:sz w:val="14"/>
                <w:szCs w:val="14"/>
                <w:color w:val="auto"/>
              </w:rPr>
              <w:t>(Do not check if a smaller reporting company)</w:t>
            </w:r>
          </w:p>
        </w:tc>
        <w:tc>
          <w:tcPr>
            <w:tcW w:w="2740" w:type="dxa"/>
            <w:vAlign w:val="bottom"/>
          </w:tcPr>
          <w:p>
            <w:pPr>
              <w:ind w:left="1020"/>
              <w:spacing w:after="0"/>
              <w:rPr>
                <w:sz w:val="20"/>
                <w:szCs w:val="20"/>
                <w:color w:val="auto"/>
              </w:rPr>
            </w:pPr>
            <w:r>
              <w:rPr>
                <w:rFonts w:ascii="Arial" w:cs="Arial" w:eastAsia="Arial" w:hAnsi="Arial"/>
                <w:sz w:val="14"/>
                <w:szCs w:val="14"/>
                <w:color w:val="auto"/>
                <w:w w:val="94"/>
              </w:rPr>
              <w:t>Smaller reporting company o</w:t>
            </w:r>
          </w:p>
        </w:tc>
      </w:tr>
    </w:tbl>
    <w:p>
      <w:pPr>
        <w:spacing w:after="0" w:line="115" w:lineRule="exact"/>
        <w:rPr>
          <w:sz w:val="24"/>
          <w:szCs w:val="24"/>
          <w:color w:val="auto"/>
        </w:rPr>
      </w:pPr>
    </w:p>
    <w:p>
      <w:pPr>
        <w:ind w:left="5540"/>
        <w:spacing w:after="0"/>
        <w:rPr>
          <w:sz w:val="20"/>
          <w:szCs w:val="20"/>
          <w:color w:val="auto"/>
        </w:rPr>
      </w:pPr>
      <w:r>
        <w:rPr>
          <w:rFonts w:ascii="Arial" w:cs="Arial" w:eastAsia="Arial" w:hAnsi="Arial"/>
          <w:sz w:val="14"/>
          <w:szCs w:val="14"/>
          <w:color w:val="auto"/>
        </w:rPr>
        <w:t>Emerging growth company x</w:t>
      </w:r>
    </w:p>
    <w:p>
      <w:pPr>
        <w:spacing w:after="0" w:line="82"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 with any new or revised financial accounting standards provided pursuant to Section 7(a)(2)(B) of Securities Act. x</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3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238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380" w:type="dxa"/>
            <w:vAlign w:val="bottom"/>
          </w:tcPr>
          <w:p>
            <w:pPr>
              <w:jc w:val="center"/>
              <w:ind w:right="737"/>
              <w:spacing w:after="0" w:line="89" w:lineRule="exact"/>
              <w:rPr>
                <w:sz w:val="20"/>
                <w:szCs w:val="20"/>
                <w:color w:val="auto"/>
              </w:rPr>
            </w:pPr>
            <w:r>
              <w:rPr>
                <w:rFonts w:ascii="Arial" w:cs="Arial" w:eastAsia="Arial" w:hAnsi="Arial"/>
                <w:sz w:val="10"/>
                <w:szCs w:val="10"/>
                <w:b w:val="1"/>
                <w:bCs w:val="1"/>
                <w:color w:val="auto"/>
                <w:w w:val="96"/>
              </w:rPr>
              <w:t>Amount to be</w:t>
            </w:r>
          </w:p>
        </w:tc>
        <w:tc>
          <w:tcPr>
            <w:tcW w:w="460" w:type="dxa"/>
            <w:vAlign w:val="bottom"/>
          </w:tcPr>
          <w:p>
            <w:pPr>
              <w:spacing w:after="0"/>
              <w:rPr>
                <w:sz w:val="7"/>
                <w:szCs w:val="7"/>
                <w:color w:val="auto"/>
              </w:rPr>
            </w:pPr>
          </w:p>
        </w:tc>
        <w:tc>
          <w:tcPr>
            <w:tcW w:w="176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380" w:type="dxa"/>
            <w:vAlign w:val="bottom"/>
          </w:tcPr>
          <w:p>
            <w:pPr>
              <w:jc w:val="center"/>
              <w:ind w:right="737"/>
              <w:spacing w:after="0" w:line="122" w:lineRule="exact"/>
              <w:rPr>
                <w:sz w:val="20"/>
                <w:szCs w:val="20"/>
                <w:color w:val="auto"/>
              </w:rPr>
            </w:pPr>
            <w:r>
              <w:rPr>
                <w:rFonts w:ascii="Arial" w:cs="Arial" w:eastAsia="Arial" w:hAnsi="Arial"/>
                <w:sz w:val="11"/>
                <w:szCs w:val="11"/>
                <w:b w:val="1"/>
                <w:bCs w:val="1"/>
                <w:color w:val="auto"/>
                <w:w w:val="84"/>
              </w:rPr>
              <w:t>registered/proposed</w:t>
            </w: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380" w:type="dxa"/>
            <w:vAlign w:val="bottom"/>
          </w:tcPr>
          <w:p>
            <w:pPr>
              <w:jc w:val="center"/>
              <w:ind w:right="717"/>
              <w:spacing w:after="0" w:line="122" w:lineRule="exact"/>
              <w:rPr>
                <w:sz w:val="20"/>
                <w:szCs w:val="20"/>
                <w:color w:val="auto"/>
              </w:rPr>
            </w:pPr>
            <w:r>
              <w:rPr>
                <w:rFonts w:ascii="Arial" w:cs="Arial" w:eastAsia="Arial" w:hAnsi="Arial"/>
                <w:sz w:val="11"/>
                <w:szCs w:val="11"/>
                <w:b w:val="1"/>
                <w:bCs w:val="1"/>
                <w:color w:val="auto"/>
                <w:w w:val="89"/>
              </w:rPr>
              <w:t>maximum offering price</w:t>
            </w: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380" w:type="dxa"/>
            <w:vAlign w:val="bottom"/>
          </w:tcPr>
          <w:p>
            <w:pPr>
              <w:jc w:val="center"/>
              <w:ind w:right="737"/>
              <w:spacing w:after="0" w:line="122" w:lineRule="exact"/>
              <w:rPr>
                <w:sz w:val="20"/>
                <w:szCs w:val="20"/>
                <w:color w:val="auto"/>
              </w:rPr>
            </w:pPr>
            <w:r>
              <w:rPr>
                <w:rFonts w:ascii="Arial" w:cs="Arial" w:eastAsia="Arial" w:hAnsi="Arial"/>
                <w:sz w:val="11"/>
                <w:szCs w:val="11"/>
                <w:b w:val="1"/>
                <w:bCs w:val="1"/>
                <w:color w:val="auto"/>
                <w:w w:val="87"/>
              </w:rPr>
              <w:t>per unit/proposed</w:t>
            </w: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380" w:type="dxa"/>
            <w:vAlign w:val="bottom"/>
          </w:tcPr>
          <w:p>
            <w:pPr>
              <w:jc w:val="center"/>
              <w:ind w:right="737"/>
              <w:spacing w:after="0" w:line="122" w:lineRule="exact"/>
              <w:rPr>
                <w:sz w:val="20"/>
                <w:szCs w:val="20"/>
                <w:color w:val="auto"/>
              </w:rPr>
            </w:pPr>
            <w:r>
              <w:rPr>
                <w:rFonts w:ascii="Arial" w:cs="Arial" w:eastAsia="Arial" w:hAnsi="Arial"/>
                <w:sz w:val="11"/>
                <w:szCs w:val="11"/>
                <w:b w:val="1"/>
                <w:bCs w:val="1"/>
                <w:color w:val="auto"/>
                <w:w w:val="87"/>
              </w:rPr>
              <w:t>maximum aggregate</w:t>
            </w:r>
          </w:p>
        </w:tc>
        <w:tc>
          <w:tcPr>
            <w:tcW w:w="460" w:type="dxa"/>
            <w:vAlign w:val="bottom"/>
          </w:tcPr>
          <w:p>
            <w:pPr>
              <w:spacing w:after="0"/>
              <w:rPr>
                <w:sz w:val="10"/>
                <w:szCs w:val="10"/>
                <w:color w:val="auto"/>
              </w:rPr>
            </w:pPr>
          </w:p>
        </w:tc>
        <w:tc>
          <w:tcPr>
            <w:tcW w:w="1760" w:type="dxa"/>
            <w:vAlign w:val="bottom"/>
          </w:tcPr>
          <w:p>
            <w:pPr>
              <w:jc w:val="center"/>
              <w:ind w:right="560"/>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5340" w:type="dxa"/>
            <w:vAlign w:val="bottom"/>
            <w:tcBorders>
              <w:bottom w:val="single" w:sz="8" w:color="auto"/>
            </w:tcBorders>
          </w:tcPr>
          <w:p>
            <w:pPr>
              <w:ind w:left="204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146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jc w:val="center"/>
              <w:ind w:right="737"/>
              <w:spacing w:after="0"/>
              <w:rPr>
                <w:sz w:val="20"/>
                <w:szCs w:val="20"/>
                <w:color w:val="auto"/>
              </w:rPr>
            </w:pPr>
            <w:r>
              <w:rPr>
                <w:rFonts w:ascii="Arial" w:cs="Arial" w:eastAsia="Arial" w:hAnsi="Arial"/>
                <w:sz w:val="11"/>
                <w:szCs w:val="11"/>
                <w:b w:val="1"/>
                <w:bCs w:val="1"/>
                <w:color w:val="auto"/>
                <w:w w:val="88"/>
              </w:rPr>
              <w:t>offering price</w:t>
            </w:r>
          </w:p>
        </w:tc>
        <w:tc>
          <w:tcPr>
            <w:tcW w:w="4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560"/>
              <w:spacing w:after="0"/>
              <w:rPr>
                <w:sz w:val="20"/>
                <w:szCs w:val="20"/>
                <w:color w:val="auto"/>
              </w:rPr>
            </w:pPr>
            <w:r>
              <w:rPr>
                <w:rFonts w:ascii="Arial" w:cs="Arial" w:eastAsia="Arial" w:hAnsi="Arial"/>
                <w:sz w:val="11"/>
                <w:szCs w:val="11"/>
                <w:b w:val="1"/>
                <w:bCs w:val="1"/>
                <w:color w:val="auto"/>
                <w:w w:val="88"/>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w:t>
            </w:r>
          </w:p>
        </w:tc>
        <w:tc>
          <w:tcPr>
            <w:tcW w:w="14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(1)(2)</w:t>
            </w:r>
          </w:p>
        </w:tc>
        <w:tc>
          <w:tcPr>
            <w:tcW w:w="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42"/>
        </w:trPr>
        <w:tc>
          <w:tcPr>
            <w:tcW w:w="53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Preferred Stock</w:t>
            </w:r>
          </w:p>
        </w:tc>
        <w:tc>
          <w:tcPr>
            <w:tcW w:w="14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(1)(2)</w:t>
            </w:r>
          </w:p>
        </w:tc>
        <w:tc>
          <w:tcPr>
            <w:tcW w:w="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42"/>
        </w:trPr>
        <w:tc>
          <w:tcPr>
            <w:tcW w:w="53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Debt Securities</w:t>
            </w:r>
          </w:p>
        </w:tc>
        <w:tc>
          <w:tcPr>
            <w:tcW w:w="14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42"/>
        </w:trPr>
        <w:tc>
          <w:tcPr>
            <w:tcW w:w="53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14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42"/>
        </w:trPr>
        <w:tc>
          <w:tcPr>
            <w:tcW w:w="53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14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42"/>
        </w:trPr>
        <w:tc>
          <w:tcPr>
            <w:tcW w:w="53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23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200,000,000(3)</w:t>
            </w:r>
          </w:p>
        </w:tc>
        <w:tc>
          <w:tcPr>
            <w:tcW w:w="4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rPr>
              <w:t>23,180.00(4)</w:t>
            </w:r>
          </w:p>
        </w:tc>
      </w:tr>
    </w:tbl>
    <w:p>
      <w:pPr>
        <w:spacing w:after="0" w:line="8"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number of securities or aggregate principal amount, as applicable, is being registered as may from time to time be offered at unspecified prices.</w:t>
      </w:r>
    </w:p>
    <w:p>
      <w:pPr>
        <w:ind w:left="320" w:hanging="312"/>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rights to acquire common stock or preferred stock of the Company under any shareholder rights plan then in effect, if applicable under the terms of any such plan.</w:t>
      </w:r>
    </w:p>
    <w:p>
      <w:pPr>
        <w:jc w:val="both"/>
        <w:ind w:left="340" w:right="120" w:hanging="332"/>
        <w:spacing w:after="0" w:line="221"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$200,000,000.</w:t>
      </w: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has been calculated in accordance with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4"/>
          <w:szCs w:val="24"/>
          <w:color w:val="auto"/>
        </w:rPr>
      </w:pPr>
    </w:p>
    <w:p>
      <w:pPr>
        <w:jc w:val="both"/>
        <w:ind w:right="26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70" w:right="239" w:bottom="683"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contains:</w:t>
      </w:r>
    </w:p>
    <w:p>
      <w:pPr>
        <w:spacing w:after="0" w:line="225" w:lineRule="exact"/>
        <w:rPr>
          <w:sz w:val="20"/>
          <w:szCs w:val="20"/>
          <w:color w:val="auto"/>
        </w:rPr>
      </w:pPr>
    </w:p>
    <w:p>
      <w:pPr>
        <w:ind w:left="880" w:right="80" w:hanging="321"/>
        <w:spacing w:after="0" w:line="277" w:lineRule="auto"/>
        <w:tabs>
          <w:tab w:leader="none" w:pos="838"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up to $200,000,000 in the aggregate of the securities identified above from time to time in one or more offerings; and</w:t>
      </w:r>
    </w:p>
    <w:p>
      <w:pPr>
        <w:spacing w:after="0" w:line="170"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sales agreement prospectus supplement covering the offering, issuance and sale by us of up to a maximum aggregate offering price of</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$50,000,000 of our common stock that may be issued and sold under a sales agreement with Jefferies LLC.</w:t>
      </w:r>
    </w:p>
    <w:p>
      <w:pPr>
        <w:spacing w:after="0" w:line="211"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common stock that may be offered, issued and sold under the sales agreement prospectus supplement is included in the $200,000,000 of securities that may be offered, issued and sold by us under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FF4040"/>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4040"/>
        </w:rPr>
        <w:t>Subject to Completion, dated August 11,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154940</wp:posOffset>
            </wp:positionV>
            <wp:extent cx="178371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jc w:val="both"/>
        <w:ind w:right="440" w:firstLine="441"/>
        <w:spacing w:after="0" w:line="312"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7" w:lineRule="exact"/>
        <w:rPr>
          <w:sz w:val="20"/>
          <w:szCs w:val="20"/>
          <w:color w:val="auto"/>
        </w:rPr>
      </w:pPr>
    </w:p>
    <w:p>
      <w:pPr>
        <w:ind w:right="320" w:firstLine="441"/>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65" w:lineRule="exact"/>
        <w:rPr>
          <w:sz w:val="20"/>
          <w:szCs w:val="20"/>
          <w:color w:val="auto"/>
        </w:rPr>
      </w:pPr>
    </w:p>
    <w:p>
      <w:pPr>
        <w:ind w:right="320" w:firstLine="441"/>
        <w:spacing w:after="0" w:line="261" w:lineRule="auto"/>
        <w:rPr>
          <w:sz w:val="20"/>
          <w:szCs w:val="20"/>
          <w:color w:val="auto"/>
        </w:rPr>
      </w:pPr>
      <w:r>
        <w:rPr>
          <w:rFonts w:ascii="Arial" w:cs="Arial" w:eastAsia="Arial" w:hAnsi="Arial"/>
          <w:sz w:val="21"/>
          <w:szCs w:val="21"/>
          <w:b w:val="1"/>
          <w:bCs w:val="1"/>
          <w:color w:val="auto"/>
        </w:rPr>
        <w:t>INVESTING IN OUR SECURITIES INVOLVES RISKS. SEE THE “</w:t>
      </w:r>
      <w:r>
        <w:rPr>
          <w:rFonts w:ascii="Arial" w:cs="Arial" w:eastAsia="Arial" w:hAnsi="Arial"/>
          <w:sz w:val="21"/>
          <w:szCs w:val="21"/>
          <w:b w:val="1"/>
          <w:bCs w:val="1"/>
          <w:u w:val="single" w:color="auto"/>
          <w:color w:val="auto"/>
        </w:rPr>
        <w:t>RISK FACTORS</w:t>
      </w:r>
      <w:r>
        <w:rPr>
          <w:rFonts w:ascii="Arial" w:cs="Arial" w:eastAsia="Arial" w:hAnsi="Arial"/>
          <w:sz w:val="21"/>
          <w:szCs w:val="21"/>
          <w:b w:val="1"/>
          <w:bCs w:val="1"/>
          <w:color w:val="auto"/>
        </w:rPr>
        <w:t>” ON PAGE 5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Our common stock is listed on the NASDAQ Global Market under the symbol “</w:t>
      </w:r>
      <w:r>
        <w:rPr>
          <w:rFonts w:ascii="Arial" w:cs="Arial" w:eastAsia="Arial" w:hAnsi="Arial"/>
          <w:sz w:val="18"/>
          <w:szCs w:val="18"/>
          <w:i w:val="1"/>
          <w:iCs w:val="1"/>
          <w:color w:val="auto"/>
        </w:rPr>
        <w:t>SELB</w:t>
      </w:r>
      <w:r>
        <w:rPr>
          <w:rFonts w:ascii="Arial" w:cs="Arial" w:eastAsia="Arial" w:hAnsi="Arial"/>
          <w:sz w:val="18"/>
          <w:szCs w:val="18"/>
          <w:color w:val="auto"/>
        </w:rPr>
        <w:t>.” On August 10, 2017, the last reported sale price of our common stock on the NASDAQ Global Market was $16.97 per share.</w:t>
      </w:r>
    </w:p>
    <w:p>
      <w:pPr>
        <w:spacing w:after="0" w:line="166" w:lineRule="exact"/>
        <w:rPr>
          <w:sz w:val="20"/>
          <w:szCs w:val="20"/>
          <w:color w:val="auto"/>
        </w:rPr>
      </w:pPr>
    </w:p>
    <w:p>
      <w:pPr>
        <w:ind w:right="58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780"/>
              <w:spacing w:after="0"/>
              <w:rPr>
                <w:sz w:val="20"/>
                <w:szCs w:val="20"/>
                <w:color w:val="auto"/>
              </w:rPr>
            </w:pPr>
            <w:r>
              <w:rPr>
                <w:rFonts w:ascii="Arial" w:cs="Arial" w:eastAsia="Arial" w:hAnsi="Arial"/>
                <w:sz w:val="18"/>
                <w:szCs w:val="18"/>
                <w:b w:val="1"/>
                <w:bCs w:val="1"/>
                <w:color w:val="auto"/>
              </w:rPr>
              <w:t>The date of this prospectus is</w:t>
            </w:r>
          </w:p>
        </w:tc>
        <w:tc>
          <w:tcPr>
            <w:tcW w:w="4880" w:type="dxa"/>
            <w:vAlign w:val="bottom"/>
          </w:tcPr>
          <w:p>
            <w:pPr>
              <w:jc w:val="right"/>
              <w:ind w:right="3730"/>
              <w:spacing w:after="0"/>
              <w:rPr>
                <w:sz w:val="20"/>
                <w:szCs w:val="20"/>
                <w:color w:val="auto"/>
              </w:rPr>
            </w:pPr>
            <w:r>
              <w:rPr>
                <w:rFonts w:ascii="Arial" w:cs="Arial" w:eastAsia="Arial" w:hAnsi="Arial"/>
                <w:sz w:val="18"/>
                <w:szCs w:val="18"/>
                <w:b w:val="1"/>
                <w:bCs w:val="1"/>
                <w:color w:val="auto"/>
              </w:rPr>
              <w:t>, 2017.</w:t>
            </w:r>
          </w:p>
        </w:tc>
      </w:tr>
      <w:tr>
        <w:trPr>
          <w:trHeight w:val="348"/>
        </w:trPr>
        <w:tc>
          <w:tcPr>
            <w:tcW w:w="658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18"/>
        </w:trPr>
        <w:tc>
          <w:tcPr>
            <w:tcW w:w="9040" w:type="dxa"/>
            <w:vAlign w:val="bottom"/>
          </w:tcPr>
          <w:p>
            <w:pPr>
              <w:spacing w:after="0"/>
              <w:rPr>
                <w:sz w:val="20"/>
                <w:szCs w:val="20"/>
                <w:color w:val="auto"/>
              </w:rPr>
            </w:pPr>
            <w:r>
              <w:rPr>
                <w:rFonts w:ascii="Arial" w:cs="Arial" w:eastAsia="Arial" w:hAnsi="Arial"/>
                <w:sz w:val="18"/>
                <w:szCs w:val="18"/>
                <w:color w:val="auto"/>
              </w:rPr>
              <w:t>ABOUT THIS PROSPECTUS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WHERE YOU CAN FIND MORE INFORMATION; INCORPORATION BY REFERENCE</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60"/>
          </w:cols>
          <w:pgMar w:left="240" w:top="121"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THE COMPANY</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RATIOS OF EARNINGS TO FIXED CHARGES AND RATIOS OF EARNINGS TO COMBINED FIXED CHARGES AND PREFERRED</w:t>
            </w:r>
          </w:p>
        </w:tc>
        <w:tc>
          <w:tcPr>
            <w:tcW w:w="740" w:type="dxa"/>
            <w:vAlign w:val="bottom"/>
          </w:tcPr>
          <w:p>
            <w:pPr>
              <w:spacing w:after="0"/>
              <w:rPr>
                <w:sz w:val="18"/>
                <w:szCs w:val="18"/>
                <w:color w:val="auto"/>
              </w:rPr>
            </w:pPr>
          </w:p>
        </w:tc>
      </w:tr>
      <w:tr>
        <w:trPr>
          <w:trHeight w:val="216"/>
        </w:trPr>
        <w:tc>
          <w:tcPr>
            <w:tcW w:w="10720" w:type="dxa"/>
            <w:vAlign w:val="bottom"/>
          </w:tcPr>
          <w:p>
            <w:pPr>
              <w:ind w:left="660"/>
              <w:spacing w:after="0"/>
              <w:rPr>
                <w:sz w:val="20"/>
                <w:szCs w:val="20"/>
                <w:color w:val="auto"/>
              </w:rPr>
            </w:pPr>
            <w:r>
              <w:rPr>
                <w:rFonts w:ascii="Arial" w:cs="Arial" w:eastAsia="Arial" w:hAnsi="Arial"/>
                <w:sz w:val="18"/>
                <w:szCs w:val="18"/>
                <w:color w:val="auto"/>
              </w:rPr>
              <w:t>STOCK DIVIDENDS</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DESCRIPTION OF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GLOBAL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PLAN OF DISTRIBUTION</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LEGAL MATTERS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720" w:type="dxa"/>
            <w:vAlign w:val="bottom"/>
          </w:tcPr>
          <w:p>
            <w:pPr>
              <w:spacing w:after="0"/>
              <w:rPr>
                <w:sz w:val="20"/>
                <w:szCs w:val="20"/>
                <w:color w:val="auto"/>
              </w:rPr>
            </w:pPr>
            <w:r>
              <w:rPr>
                <w:rFonts w:ascii="Arial" w:cs="Arial" w:eastAsia="Arial" w:hAnsi="Arial"/>
                <w:sz w:val="18"/>
                <w:szCs w:val="18"/>
                <w:color w:val="auto"/>
              </w:rPr>
              <w:t>EXPERTS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8"/>
        </w:trPr>
        <w:tc>
          <w:tcPr>
            <w:tcW w:w="107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This prospectus is part of a registration statement on Form S-3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8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have not, and any underwriter has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When we refer to “Selecta,” “we,” “our company,” “our,” “us” and the “Company” in this prospectus, we mean Selecta Biosciences, Inc. and its subsidiaries, unless otherwise specified. When we refer to “you,” we mean the holders of the applicable series of securities.</w:t>
      </w:r>
    </w:p>
    <w:p>
      <w:pPr>
        <w:spacing w:after="0" w:line="17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7"/>
          <w:szCs w:val="17"/>
          <w:color w:val="auto"/>
        </w:rPr>
        <w:t xml:space="preserve">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58"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7"/>
          <w:szCs w:val="17"/>
          <w:i w:val="1"/>
          <w:iCs w:val="1"/>
          <w:color w:val="auto"/>
        </w:rPr>
        <w:t>www.selectabiosciences.com</w:t>
      </w:r>
      <w:r>
        <w:rPr>
          <w:rFonts w:ascii="Arial" w:cs="Arial" w:eastAsia="Arial" w:hAnsi="Arial"/>
          <w:sz w:val="18"/>
          <w:szCs w:val="18"/>
          <w:color w:val="auto"/>
        </w:rPr>
        <w:t>. The information on our web site, however, is not, and should not be deemed to be, a part of this prospectus.</w:t>
      </w:r>
    </w:p>
    <w:p>
      <w:pPr>
        <w:spacing w:after="0" w:line="170"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ectPr>
          <w:pgSz w:w="11900" w:h="16838" w:orient="portrait"/>
          <w:cols w:equalWidth="0" w:num="1">
            <w:col w:w="11460"/>
          </w:cols>
          <w:pgMar w:left="240" w:top="125" w:right="19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8"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5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70" w:lineRule="exact"/>
        <w:rPr>
          <w:sz w:val="20"/>
          <w:szCs w:val="20"/>
          <w:color w:val="auto"/>
        </w:rPr>
      </w:pPr>
    </w:p>
    <w:p>
      <w:pPr>
        <w:ind w:left="780" w:hanging="28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28, 2017.</w:t>
      </w:r>
    </w:p>
    <w:p>
      <w:pPr>
        <w:spacing w:after="0" w:line="225" w:lineRule="exact"/>
        <w:rPr>
          <w:rFonts w:ascii="Arial" w:cs="Arial" w:eastAsia="Arial" w:hAnsi="Arial"/>
          <w:sz w:val="18"/>
          <w:szCs w:val="18"/>
          <w:color w:val="auto"/>
        </w:rPr>
      </w:pPr>
    </w:p>
    <w:p>
      <w:pPr>
        <w:ind w:left="820" w:right="740" w:hanging="326"/>
        <w:spacing w:after="0" w:line="277" w:lineRule="auto"/>
        <w:tabs>
          <w:tab w:leader="none" w:pos="78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and June 30, 2017, filed with the SEC on May 11, 2017 and August 11, 2017, respectively.</w:t>
      </w:r>
    </w:p>
    <w:p>
      <w:pPr>
        <w:spacing w:after="0" w:line="170" w:lineRule="exact"/>
        <w:rPr>
          <w:rFonts w:ascii="Arial" w:cs="Arial" w:eastAsia="Arial" w:hAnsi="Arial"/>
          <w:sz w:val="18"/>
          <w:szCs w:val="18"/>
          <w:color w:val="auto"/>
        </w:rPr>
      </w:pPr>
    </w:p>
    <w:p>
      <w:pPr>
        <w:ind w:left="780" w:hanging="28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25, 2017.</w:t>
      </w:r>
    </w:p>
    <w:p>
      <w:pPr>
        <w:spacing w:after="0" w:line="225" w:lineRule="exact"/>
        <w:rPr>
          <w:rFonts w:ascii="Arial" w:cs="Arial" w:eastAsia="Arial" w:hAnsi="Arial"/>
          <w:sz w:val="18"/>
          <w:szCs w:val="18"/>
          <w:color w:val="auto"/>
        </w:rPr>
      </w:pPr>
    </w:p>
    <w:p>
      <w:pPr>
        <w:ind w:left="820" w:right="140" w:hanging="326"/>
        <w:spacing w:after="0" w:line="277" w:lineRule="auto"/>
        <w:tabs>
          <w:tab w:leader="none" w:pos="78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and Amended Current Reports on Form 8-K/A filed with the SEC on February 14, 2017, May 2, 2017, June 9, 2017, June 15, 2017, June 20, 2017, June 21, 2017 and June 28,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660" w:hanging="326"/>
        <w:spacing w:after="0" w:line="277" w:lineRule="auto"/>
        <w:tabs>
          <w:tab w:leader="none" w:pos="7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8, 2016, and any amendment or report filed with the SEC for the purpose of updating the description.</w:t>
      </w:r>
    </w:p>
    <w:p>
      <w:pPr>
        <w:spacing w:after="0" w:line="170"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w:t>
      </w:r>
    </w:p>
    <w:p>
      <w:pPr>
        <w:spacing w:after="0" w:line="17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 Our principal executive offices are located at 480 Arsenal Way, Watertown, MA 02472, and our telephone number is (617) 923-1400.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ectPr>
          <w:pgSz w:w="11900" w:h="16838" w:orient="portrait"/>
          <w:cols w:equalWidth="0" w:num="1">
            <w:col w:w="11380"/>
          </w:cols>
          <w:pgMar w:left="240" w:top="121" w:right="279" w:bottom="185" w:gutter="0" w:footer="0" w:header="0"/>
        </w:sectPr>
      </w:pPr>
    </w:p>
    <w:bookmarkStart w:id="4" w:name="page5"/>
    <w:bookmarkEnd w:id="4"/>
    <w:p>
      <w:pPr>
        <w:ind w:right="20" w:firstLine="441"/>
        <w:spacing w:after="0" w:line="297"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will retain broad discretion over the use of the net proceeds from the sale of any securities offered. Except as described in any applicable prospectus supplement or in any free writing prospectuses we have authorized for use in connection with a specific offering, we currently intend to use the net proceeds from the sale of the securities offered by us, if any, for general corporate purposes, which may include research and development expenditures, acquisitions or in-licenses of complementary companies, medicines or technologies, expenditures to build our initial development and commercial capabilities, repayment and refinancing of debt, working capital and capital expenditures. We may temporarily invest such net proceeds in investment-grade, interest-bearing securities until they are used for their stated purpose.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RATIOS OF EARNINGS TO FIXED CHARGES AND RATIOS OF EARNINGS TO COMBINED FIXED CHARGES AND PREFERRED STOCK DIVIDENDS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For purposes of calculating the ratios in the table below, earnings consist of net loss plus fixed charges. Fixed charges include interest expensed, amortized debt discounts and an estimate of the interest within rental expense. You should read this table in conjunction with the consolidated financial statements and notes incorporated by reference in this prospectus and the applicable prospectus supplement.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40" w:type="dxa"/>
            <w:vAlign w:val="bottom"/>
            <w:gridSpan w:val="5"/>
            <w:vMerge w:val="restart"/>
          </w:tcPr>
          <w:p>
            <w:pPr>
              <w:jc w:val="center"/>
              <w:ind w:left="36"/>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Earnings: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Ratio of earnings to fixed charges (1) (2)</w:t>
            </w: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N/A</w:t>
            </w: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N/A</w:t>
            </w:r>
          </w:p>
        </w:tc>
        <w:tc>
          <w:tcPr>
            <w:tcW w:w="1060" w:type="dxa"/>
            <w:vAlign w:val="bottom"/>
            <w:gridSpan w:val="2"/>
          </w:tcPr>
          <w:p>
            <w:pPr>
              <w:ind w:left="48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2"/>
        </w:trPr>
        <w:tc>
          <w:tcPr>
            <w:tcW w:w="5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Ratio of earnings to combined fixed charges and</w:t>
            </w:r>
          </w:p>
        </w:tc>
        <w:tc>
          <w:tcPr>
            <w:tcW w:w="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N/A</w:t>
            </w:r>
          </w:p>
        </w:tc>
        <w:tc>
          <w:tcPr>
            <w:tcW w:w="1440" w:type="dxa"/>
            <w:vAlign w:val="bottom"/>
            <w:gridSpan w:val="3"/>
            <w:vMerge w:val="restart"/>
            <w:shd w:val="clear" w:color="auto" w:fill="CCEEFF"/>
          </w:tcPr>
          <w:p>
            <w:pPr>
              <w:ind w:left="680"/>
              <w:spacing w:after="0"/>
              <w:rPr>
                <w:sz w:val="20"/>
                <w:szCs w:val="20"/>
                <w:color w:val="auto"/>
              </w:rPr>
            </w:pPr>
            <w:r>
              <w:rPr>
                <w:rFonts w:ascii="Arial" w:cs="Arial" w:eastAsia="Arial" w:hAnsi="Arial"/>
                <w:sz w:val="18"/>
                <w:szCs w:val="18"/>
                <w:b w:val="1"/>
                <w:bCs w:val="1"/>
                <w:color w:val="auto"/>
              </w:rPr>
              <w:t>N/A</w:t>
            </w:r>
          </w:p>
        </w:tc>
        <w:tc>
          <w:tcPr>
            <w:tcW w:w="106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dividends (1) (3)</w:t>
            </w:r>
          </w:p>
        </w:tc>
        <w:tc>
          <w:tcPr>
            <w:tcW w:w="600" w:type="dxa"/>
            <w:vAlign w:val="bottom"/>
            <w:gridSpan w:val="2"/>
            <w:vMerge w:val="continue"/>
            <w:shd w:val="clear" w:color="auto" w:fill="CCEEFF"/>
          </w:tcPr>
          <w:p>
            <w:pPr>
              <w:spacing w:after="0"/>
              <w:rPr>
                <w:sz w:val="20"/>
                <w:szCs w:val="20"/>
                <w:color w:val="auto"/>
              </w:rPr>
            </w:pPr>
          </w:p>
        </w:tc>
        <w:tc>
          <w:tcPr>
            <w:tcW w:w="1440" w:type="dxa"/>
            <w:vAlign w:val="bottom"/>
            <w:gridSpan w:val="3"/>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0" w:hanging="332"/>
        <w:spacing w:after="0" w:line="258"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our losses for the years ended December 31, 2014, 2015 and 2016, and for the six months ended June 30, 2017, the ratio coverage was less than 1:1.</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would have needed to generate additional earnings of $12.9 million, $25.2 million, $36.2 million and $31.1 million, respectively, to cover our fixed charges in those periods.</w:t>
      </w:r>
    </w:p>
    <w:p>
      <w:pPr>
        <w:ind w:left="340" w:right="600" w:hanging="332"/>
        <w:spacing w:after="0" w:line="261"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would have needed to generate additional earnings of $17.8 million, $32.5 million, $40.8 million and $31.1 million, respectively, to cover our combined fixed charges and preferred stock dividends in those periods.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authorized capital stock consists of:</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200,000,000 shares of common stock, par value $0.0001 per share;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10,000,000 shares of preferred stock, par value $0.0001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“SELB.”</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our common stock are entitled to one vote for each share held on all matters submitted to a vote of stockholders and do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ectPr>
          <w:pgSz w:w="11900" w:h="16838" w:orient="portrait"/>
          <w:cols w:equalWidth="0" w:num="1">
            <w:col w:w="11420"/>
          </w:cols>
          <w:pgMar w:left="240" w:top="125" w:right="239" w:bottom="0" w:gutter="0" w:footer="0" w:header="0"/>
        </w:sectPr>
      </w:pPr>
    </w:p>
    <w:bookmarkStart w:id="5" w:name="page6"/>
    <w:bookmarkEnd w:id="5"/>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our liquidation or dissolution, the holders of common stock are entitled to receive proportionately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the payment of all debts and other liabilities and subject to the prior rights of any outstanding preferred stock.</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common stock have no preemptive, subscription, redemption or conversion rights. The rights, preferences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are subject to and may be adversely affected by the rights of the holders of shares of any series of preferred stock that we may designate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transfer agent and registrar for our common stock is </w:t>
      </w:r>
      <w:r>
        <w:rPr>
          <w:rFonts w:ascii="Arial" w:cs="Arial" w:eastAsia="Arial" w:hAnsi="Arial"/>
          <w:sz w:val="17"/>
          <w:szCs w:val="17"/>
          <w:color w:val="auto"/>
        </w:rPr>
        <w:t>American Stock Transfer &amp; Trust Company, LLC</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4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June 30, 2017, options to purchase an aggregate of 2,143,734 shares of our common stock were outstanding under our 2016 incentive award plan and 2008 equity incentive plan. As of June 30, 2017, we had an aggregate of 176,432 shares of common stock underlying outstanding warrants at a weighted average exercise price of $17.32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As of June 30, 2017, holders of approximately 8,348,183 shares of our common stock or their transferees are entitled to the following rights with respect to the registration of such shares for public resale under the Securities Act of 1933, as amended, or the Securities Act.</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These registration rights are granted pursuant to the (i) amended and restated investors’ rights agreement by and among us and certain of our stockholders, or the investors’ rights agreement, and (ii) registration rights agreements we entered into in connection with the private placement of 3,088,791 shares of our common stock and a warrant to purchase 79,130 shares of our common stock, or the June 2017 Private Placement, which closed on June 27, 2017.</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Registration Rights — Investors’ Rights Agreement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Any time we propose to register any shares of our common stock under the Securities Act,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Form S-3 Registration Rights. </w:t>
      </w:r>
      <w:r>
        <w:rPr>
          <w:rFonts w:ascii="Arial" w:cs="Arial" w:eastAsia="Arial" w:hAnsi="Arial"/>
          <w:sz w:val="16"/>
          <w:szCs w:val="16"/>
          <w:color w:val="auto"/>
        </w:rPr>
        <w:t>If the holders of registrable securities request in writing that we effect a registration with respect to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at 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S-3 registration rights if, within a given calendar year, we have already effected two registrations on Form S-3 for the holders of registrable securities.</w:t>
      </w:r>
    </w:p>
    <w:p>
      <w:pPr>
        <w:spacing w:after="0" w:line="15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Ordinarily, other than underwriting discounts and commissions, we will be required to pay all expenses incurred by us related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0" w:gutter="0" w:footer="0" w:header="0"/>
        </w:sectPr>
      </w:pPr>
    </w:p>
    <w:bookmarkStart w:id="6" w:name="page7"/>
    <w:bookmarkEnd w:id="6"/>
    <w:p>
      <w:pPr>
        <w:ind w:right="40" w:firstLine="648"/>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Registration Rights</w:t>
      </w:r>
      <w:r>
        <w:rPr>
          <w:rFonts w:ascii="Arial" w:cs="Arial" w:eastAsia="Arial" w:hAnsi="Arial"/>
          <w:sz w:val="18"/>
          <w:szCs w:val="18"/>
          <w:color w:val="auto"/>
        </w:rPr>
        <w:t>. The registration rights terminate upon the earlier of June 27, 2021, or, with respect to the registration rights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holder, when the holder can sell all of such holder’s registrable securities in a three-month period without restriction under Rule 144 under the Securities Act.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Registration Rights — Investors’ Rights Agreement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shares of common stock underlying the warrants and the shares of common stock issued in connection with our June 2017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agreements,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w:t>
      </w:r>
    </w:p>
    <w:p>
      <w:pPr>
        <w:spacing w:after="0" w:line="2" w:lineRule="exact"/>
        <w:rPr>
          <w:sz w:val="20"/>
          <w:szCs w:val="20"/>
          <w:color w:val="auto"/>
        </w:rPr>
      </w:pPr>
    </w:p>
    <w:p>
      <w:pPr>
        <w:ind w:right="60" w:firstLine="8"/>
        <w:spacing w:after="0" w:line="255"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June 27, 2020.</w:t>
      </w:r>
    </w:p>
    <w:p>
      <w:pPr>
        <w:spacing w:after="0" w:line="1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of our board of directors, without action by the stockholders, to issue up to 10,000,000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Stockholder Meetings</w:t>
      </w:r>
      <w:r>
        <w:rPr>
          <w:rFonts w:ascii="Arial" w:cs="Arial" w:eastAsia="Arial" w:hAnsi="Arial"/>
          <w:sz w:val="16"/>
          <w:szCs w:val="16"/>
          <w:color w:val="auto"/>
        </w:rPr>
        <w:t>. Our amended and restated bylaws provide that a special meeting of stockholders may be called only by our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chief executive officer or president (in the absence of a chief executive officer), or by a resolution adopted by a majority of our board of directors.</w:t>
      </w:r>
    </w:p>
    <w:p>
      <w:pPr>
        <w:spacing w:after="0" w:line="12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Requirements for Advance Notification of Stockholder Nominations and Proposals</w:t>
      </w:r>
      <w:r>
        <w:rPr>
          <w:rFonts w:ascii="Arial" w:cs="Arial" w:eastAsia="Arial" w:hAnsi="Arial"/>
          <w:sz w:val="17"/>
          <w:szCs w:val="17"/>
          <w:color w:val="auto"/>
        </w:rPr>
        <w:t>. Our amended and restated bylaws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restated certificate of incorporation eliminates the right of stockholders to act by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without a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Staggered Board</w:t>
      </w:r>
      <w:r>
        <w:rPr>
          <w:rFonts w:ascii="Arial" w:cs="Arial" w:eastAsia="Arial" w:hAnsi="Arial"/>
          <w:sz w:val="18"/>
          <w:szCs w:val="18"/>
          <w:color w:val="auto"/>
        </w:rPr>
        <w:t>. Our board of directors is divided into three classes. The directors in each class will serve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restated certificate of incorporation provides that no member of our board of directors may be removed from office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Stockholders Not Entitled to Cumulative Voting. </w:t>
      </w:r>
      <w:r>
        <w:rPr>
          <w:rFonts w:ascii="Arial" w:cs="Arial" w:eastAsia="Arial" w:hAnsi="Arial"/>
          <w:sz w:val="16"/>
          <w:szCs w:val="16"/>
          <w:color w:val="auto"/>
        </w:rPr>
        <w:t>Our restated certificate of incorporation does not permit stockholders to cumulate their votes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are subject to Section 203 of the General Corporation Law of the State of Delaware, which prohibits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ectPr>
          <w:pgSz w:w="11900" w:h="16838" w:orient="portrait"/>
          <w:cols w:equalWidth="0" w:num="1">
            <w:col w:w="11400"/>
          </w:cols>
          <w:pgMar w:left="240" w:top="733" w:right="259" w:bottom="0" w:gutter="0" w:footer="0" w:header="0"/>
        </w:sectPr>
      </w:pPr>
    </w:p>
    <w:bookmarkStart w:id="7" w:name="page8"/>
    <w:bookmarkEnd w:id="7"/>
    <w:p>
      <w:pPr>
        <w:ind w:right="260" w:firstLine="648"/>
        <w:spacing w:after="0" w:line="288" w:lineRule="auto"/>
        <w:rPr>
          <w:sz w:val="20"/>
          <w:szCs w:val="20"/>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restated certificate of incorporation provides that, unless we consent in writing to the selection of an alternative 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w:t>
      </w:r>
    </w:p>
    <w:p>
      <w:pPr>
        <w:ind w:right="180" w:firstLine="8"/>
        <w:spacing w:after="0" w:line="270"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any provision of the General Corporation Law of the State of Delaware or our restated certificate of incorporation or amended and restated bylaws; (4) any action to interpret, apply, enforce or determine the validity of our restated certificate of incorporation or amended and restated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7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 xml:space="preserve">Amendment of Restated Certificate of Incorporation. </w:t>
      </w:r>
      <w:r>
        <w:rPr>
          <w:rFonts w:ascii="Arial" w:cs="Arial" w:eastAsia="Arial" w:hAnsi="Arial"/>
          <w:sz w:val="17"/>
          <w:szCs w:val="17"/>
          <w:color w:val="auto"/>
        </w:rPr>
        <w:t>The amendment of any of the above provisions in our restated certificate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used in this section only, “Selecta,” “we,” “our” or “us” refer to Selecta Biosciences, Inc. excluding our subsidiaries, unless expressly stated or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80" w:firstLine="441"/>
        <w:spacing w:after="0" w:line="312"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7"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6" w:lineRule="exact"/>
        <w:rPr>
          <w:sz w:val="20"/>
          <w:szCs w:val="20"/>
          <w:color w:val="auto"/>
        </w:rPr>
      </w:pPr>
    </w:p>
    <w:p>
      <w:pPr>
        <w:ind w:left="780" w:hanging="28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820" w:right="20" w:hanging="326"/>
        <w:spacing w:after="0" w:line="259" w:lineRule="auto"/>
        <w:tabs>
          <w:tab w:leader="none" w:pos="78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ind w:left="820" w:right="280" w:hanging="326"/>
        <w:spacing w:after="0" w:line="264" w:lineRule="auto"/>
        <w:tabs>
          <w:tab w:leader="none" w:pos="78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hanging="286"/>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at which and the terms and conditions upon which we may redeem the debt securities;</w:t>
      </w:r>
    </w:p>
    <w:p>
      <w:pPr>
        <w:sectPr>
          <w:pgSz w:w="11900" w:h="16838" w:orient="portrait"/>
          <w:cols w:equalWidth="0" w:num="1">
            <w:col w:w="11420"/>
          </w:cols>
          <w:pgMar w:left="240" w:top="125" w:right="239" w:bottom="0" w:gutter="0" w:footer="0" w:header="0"/>
        </w:sectPr>
      </w:pPr>
    </w:p>
    <w:bookmarkStart w:id="8" w:name="page9"/>
    <w:bookmarkEnd w:id="8"/>
    <w:p>
      <w:pPr>
        <w:jc w:val="both"/>
        <w:ind w:left="820" w:right="100" w:hanging="326"/>
        <w:spacing w:after="0" w:line="264" w:lineRule="auto"/>
        <w:tabs>
          <w:tab w:leader="none" w:pos="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left="820" w:right="520" w:hanging="326"/>
        <w:spacing w:after="0" w:line="277" w:lineRule="auto"/>
        <w:tabs>
          <w:tab w:leader="none" w:pos="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780" w:hanging="28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820" w:right="480" w:hanging="326"/>
        <w:spacing w:after="0" w:line="277" w:lineRule="auto"/>
        <w:tabs>
          <w:tab w:leader="none" w:pos="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820" w:right="800" w:hanging="326"/>
        <w:spacing w:after="0" w:line="342" w:lineRule="auto"/>
        <w:tabs>
          <w:tab w:leader="none" w:pos="7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23" w:lineRule="exact"/>
        <w:rPr>
          <w:rFonts w:ascii="Arial" w:cs="Arial" w:eastAsia="Arial" w:hAnsi="Arial"/>
          <w:sz w:val="16"/>
          <w:szCs w:val="16"/>
          <w:color w:val="auto"/>
        </w:rPr>
      </w:pPr>
    </w:p>
    <w:p>
      <w:pPr>
        <w:ind w:left="820" w:right="160" w:hanging="326"/>
        <w:spacing w:after="0" w:line="277" w:lineRule="auto"/>
        <w:tabs>
          <w:tab w:leader="none" w:pos="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820" w:right="220" w:hanging="326"/>
        <w:spacing w:after="0" w:line="342" w:lineRule="auto"/>
        <w:tabs>
          <w:tab w:leader="none" w:pos="7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left="820" w:hanging="326"/>
        <w:spacing w:after="0" w:line="264" w:lineRule="auto"/>
        <w:tabs>
          <w:tab w:leader="none" w:pos="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780" w:hanging="28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820" w:hanging="326"/>
        <w:spacing w:after="0" w:line="308" w:lineRule="auto"/>
        <w:tabs>
          <w:tab w:leader="none" w:pos="784"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46" w:lineRule="exact"/>
        <w:rPr>
          <w:rFonts w:ascii="Arial" w:cs="Arial" w:eastAsia="Arial" w:hAnsi="Arial"/>
          <w:sz w:val="17"/>
          <w:szCs w:val="17"/>
          <w:color w:val="auto"/>
        </w:rPr>
      </w:pPr>
    </w:p>
    <w:p>
      <w:pPr>
        <w:ind w:left="780" w:hanging="286"/>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236" w:lineRule="exact"/>
        <w:rPr>
          <w:rFonts w:ascii="Arial" w:cs="Arial" w:eastAsia="Arial" w:hAnsi="Arial"/>
          <w:sz w:val="17"/>
          <w:szCs w:val="17"/>
          <w:color w:val="auto"/>
        </w:rPr>
      </w:pPr>
    </w:p>
    <w:p>
      <w:pPr>
        <w:ind w:left="780" w:hanging="28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25" w:lineRule="exact"/>
        <w:rPr>
          <w:rFonts w:ascii="Arial" w:cs="Arial" w:eastAsia="Arial" w:hAnsi="Arial"/>
          <w:sz w:val="18"/>
          <w:szCs w:val="18"/>
          <w:color w:val="auto"/>
        </w:rPr>
      </w:pPr>
    </w:p>
    <w:p>
      <w:pPr>
        <w:ind w:left="820" w:right="160" w:hanging="326"/>
        <w:spacing w:after="0" w:line="264" w:lineRule="auto"/>
        <w:tabs>
          <w:tab w:leader="none" w:pos="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80" w:hanging="326"/>
        <w:spacing w:after="0" w:line="342" w:lineRule="auto"/>
        <w:tabs>
          <w:tab w:leader="none" w:pos="7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23" w:lineRule="exact"/>
        <w:rPr>
          <w:rFonts w:ascii="Arial" w:cs="Arial" w:eastAsia="Arial" w:hAnsi="Arial"/>
          <w:sz w:val="16"/>
          <w:szCs w:val="16"/>
          <w:color w:val="auto"/>
        </w:rPr>
      </w:pPr>
    </w:p>
    <w:p>
      <w:pPr>
        <w:ind w:left="820" w:right="300" w:hanging="326"/>
        <w:spacing w:after="0" w:line="277" w:lineRule="auto"/>
        <w:tabs>
          <w:tab w:leader="none" w:pos="7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6"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ectPr>
          <w:pgSz w:w="11900" w:h="16838" w:orient="portrait"/>
          <w:cols w:equalWidth="0" w:num="1">
            <w:col w:w="11400"/>
          </w:cols>
          <w:pgMar w:left="240" w:top="125" w:right="259" w:bottom="56" w:gutter="0" w:footer="0" w:header="0"/>
        </w:sectPr>
      </w:pPr>
    </w:p>
    <w:bookmarkStart w:id="9" w:name="page10"/>
    <w:bookmarkEnd w:id="9"/>
    <w:p>
      <w:pPr>
        <w:ind w:right="180" w:firstLine="441"/>
        <w:spacing w:after="0" w:line="308" w:lineRule="auto"/>
        <w:rPr>
          <w:sz w:val="20"/>
          <w:szCs w:val="20"/>
          <w:color w:val="auto"/>
        </w:rPr>
      </w:pPr>
      <w:r>
        <w:rPr>
          <w:rFonts w:ascii="Arial" w:cs="Arial" w:eastAsia="Arial" w:hAnsi="Arial"/>
          <w:sz w:val="17"/>
          <w:szCs w:val="17"/>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ind w:left="820" w:right="280" w:hanging="326"/>
        <w:spacing w:after="0" w:line="308" w:lineRule="auto"/>
        <w:tabs>
          <w:tab w:leader="none" w:pos="784"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146" w:lineRule="exact"/>
        <w:rPr>
          <w:rFonts w:ascii="Arial" w:cs="Arial" w:eastAsia="Arial" w:hAnsi="Arial"/>
          <w:sz w:val="17"/>
          <w:szCs w:val="17"/>
          <w:color w:val="auto"/>
        </w:rPr>
      </w:pPr>
    </w:p>
    <w:p>
      <w:pPr>
        <w:ind w:left="780" w:hanging="28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Notwithstanding the above, any of our subsidiaries may consolidate with, merge into or transfer all or part of its properties to us. (Section 5.1)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820" w:right="60" w:hanging="326"/>
        <w:spacing w:after="0" w:line="264" w:lineRule="auto"/>
        <w:tabs>
          <w:tab w:leader="none" w:pos="7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81" w:lineRule="exact"/>
        <w:rPr>
          <w:rFonts w:ascii="Arial" w:cs="Arial" w:eastAsia="Arial" w:hAnsi="Arial"/>
          <w:sz w:val="18"/>
          <w:szCs w:val="18"/>
          <w:color w:val="auto"/>
        </w:rPr>
      </w:pPr>
    </w:p>
    <w:p>
      <w:pPr>
        <w:ind w:left="780" w:hanging="28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25" w:lineRule="exact"/>
        <w:rPr>
          <w:rFonts w:ascii="Arial" w:cs="Arial" w:eastAsia="Arial" w:hAnsi="Arial"/>
          <w:sz w:val="18"/>
          <w:szCs w:val="18"/>
          <w:color w:val="auto"/>
        </w:rPr>
      </w:pPr>
    </w:p>
    <w:p>
      <w:pPr>
        <w:ind w:left="820" w:right="80" w:hanging="326"/>
        <w:spacing w:after="0" w:line="279" w:lineRule="auto"/>
        <w:tabs>
          <w:tab w:leader="none" w:pos="784"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171" w:lineRule="exact"/>
        <w:rPr>
          <w:rFonts w:ascii="Arial" w:cs="Arial" w:eastAsia="Arial" w:hAnsi="Arial"/>
          <w:sz w:val="17"/>
          <w:szCs w:val="17"/>
          <w:color w:val="auto"/>
        </w:rPr>
      </w:pPr>
    </w:p>
    <w:p>
      <w:pPr>
        <w:ind w:left="780" w:hanging="28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Selecta;</w:t>
      </w:r>
    </w:p>
    <w:p>
      <w:pPr>
        <w:spacing w:after="0" w:line="225" w:lineRule="exact"/>
        <w:rPr>
          <w:rFonts w:ascii="Arial" w:cs="Arial" w:eastAsia="Arial" w:hAnsi="Arial"/>
          <w:sz w:val="18"/>
          <w:szCs w:val="18"/>
          <w:color w:val="auto"/>
        </w:rPr>
      </w:pPr>
    </w:p>
    <w:p>
      <w:pPr>
        <w:ind w:left="820" w:right="680" w:hanging="326"/>
        <w:spacing w:after="0" w:line="277" w:lineRule="auto"/>
        <w:tabs>
          <w:tab w:leader="none" w:pos="7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ectPr>
          <w:pgSz w:w="11900" w:h="16838" w:orient="portrait"/>
          <w:cols w:equalWidth="0" w:num="1">
            <w:col w:w="11400"/>
          </w:cols>
          <w:pgMar w:left="240" w:top="125" w:right="259" w:bottom="0" w:gutter="0" w:footer="0" w:header="0"/>
        </w:sectPr>
      </w:pPr>
    </w:p>
    <w:bookmarkStart w:id="10" w:name="page11"/>
    <w:bookmarkEnd w:id="10"/>
    <w:p>
      <w:pPr>
        <w:ind w:right="120" w:firstLine="441"/>
        <w:spacing w:after="0" w:line="276"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3"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780" w:hanging="286"/>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236" w:lineRule="exact"/>
        <w:rPr>
          <w:rFonts w:ascii="Arial" w:cs="Arial" w:eastAsia="Arial" w:hAnsi="Arial"/>
          <w:sz w:val="17"/>
          <w:szCs w:val="17"/>
          <w:color w:val="auto"/>
        </w:rPr>
      </w:pPr>
    </w:p>
    <w:p>
      <w:pPr>
        <w:ind w:left="820" w:right="40" w:hanging="326"/>
        <w:spacing w:after="0" w:line="259"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70" w:lineRule="exact"/>
        <w:rPr>
          <w:sz w:val="20"/>
          <w:szCs w:val="20"/>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236" w:lineRule="exact"/>
        <w:rPr>
          <w:rFonts w:ascii="Arial" w:cs="Arial" w:eastAsia="Arial" w:hAnsi="Arial"/>
          <w:sz w:val="17"/>
          <w:szCs w:val="17"/>
          <w:color w:val="auto"/>
        </w:rPr>
      </w:pPr>
    </w:p>
    <w:p>
      <w:pPr>
        <w:ind w:left="820" w:right="100" w:hanging="326"/>
        <w:spacing w:after="0" w:line="277" w:lineRule="auto"/>
        <w:tabs>
          <w:tab w:leader="none" w:pos="7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70"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 (Section 9.1)</w:t>
      </w:r>
    </w:p>
    <w:p>
      <w:pPr>
        <w:spacing w:after="0" w:line="24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81" w:lineRule="exact"/>
        <w:rPr>
          <w:sz w:val="20"/>
          <w:szCs w:val="20"/>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25" w:lineRule="exact"/>
        <w:rPr>
          <w:rFonts w:ascii="Arial" w:cs="Arial" w:eastAsia="Arial" w:hAnsi="Arial"/>
          <w:sz w:val="18"/>
          <w:szCs w:val="18"/>
          <w:color w:val="auto"/>
        </w:rPr>
      </w:pPr>
    </w:p>
    <w:p>
      <w:pPr>
        <w:ind w:left="820" w:right="60" w:hanging="326"/>
        <w:spacing w:after="0" w:line="277" w:lineRule="auto"/>
        <w:tabs>
          <w:tab w:leader="none" w:pos="7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0" w:lineRule="exact"/>
        <w:rPr>
          <w:rFonts w:ascii="Arial" w:cs="Arial" w:eastAsia="Arial" w:hAnsi="Arial"/>
          <w:sz w:val="18"/>
          <w:szCs w:val="18"/>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820" w:hanging="326"/>
        <w:spacing w:after="0" w:line="264" w:lineRule="auto"/>
        <w:tabs>
          <w:tab w:leader="none" w:pos="7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ectPr>
          <w:pgSz w:w="11900" w:h="16838" w:orient="portrait"/>
          <w:cols w:equalWidth="0" w:num="1">
            <w:col w:w="11420"/>
          </w:cols>
          <w:pgMar w:left="240" w:top="125" w:right="239" w:bottom="0" w:gutter="0" w:footer="0" w:header="0"/>
        </w:sectPr>
      </w:pPr>
    </w:p>
    <w:bookmarkStart w:id="11" w:name="page12"/>
    <w:bookmarkEnd w:id="11"/>
    <w:p>
      <w:pPr>
        <w:spacing w:after="0" w:line="137" w:lineRule="exact"/>
        <w:rPr>
          <w:sz w:val="20"/>
          <w:szCs w:val="20"/>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25" w:lineRule="exact"/>
        <w:rPr>
          <w:rFonts w:ascii="Arial" w:cs="Arial" w:eastAsia="Arial" w:hAnsi="Arial"/>
          <w:sz w:val="18"/>
          <w:szCs w:val="18"/>
          <w:color w:val="auto"/>
        </w:rPr>
      </w:pPr>
    </w:p>
    <w:p>
      <w:pPr>
        <w:ind w:left="820" w:right="80" w:hanging="326"/>
        <w:spacing w:after="0" w:line="264" w:lineRule="auto"/>
        <w:tabs>
          <w:tab w:leader="none" w:pos="7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81"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 discharged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70" w:lineRule="exact"/>
        <w:rPr>
          <w:sz w:val="20"/>
          <w:szCs w:val="20"/>
          <w:color w:val="auto"/>
        </w:rPr>
      </w:pPr>
    </w:p>
    <w:p>
      <w:pPr>
        <w:ind w:left="820" w:right="60" w:hanging="326"/>
        <w:spacing w:after="0" w:line="342" w:lineRule="auto"/>
        <w:tabs>
          <w:tab w:leader="none" w:pos="7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23" w:lineRule="exact"/>
        <w:rPr>
          <w:rFonts w:ascii="Arial" w:cs="Arial" w:eastAsia="Arial" w:hAnsi="Arial"/>
          <w:sz w:val="16"/>
          <w:szCs w:val="16"/>
          <w:color w:val="auto"/>
        </w:rPr>
      </w:pPr>
    </w:p>
    <w:p>
      <w:pPr>
        <w:ind w:left="820" w:right="240" w:hanging="326"/>
        <w:spacing w:after="0" w:line="277" w:lineRule="auto"/>
        <w:tabs>
          <w:tab w:leader="none" w:pos="7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820" w:right="20" w:hanging="326"/>
        <w:spacing w:after="0" w:line="255" w:lineRule="auto"/>
        <w:tabs>
          <w:tab w:leader="none" w:pos="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93" w:lineRule="exact"/>
        <w:rPr>
          <w:rFonts w:ascii="Arial" w:cs="Arial" w:eastAsia="Arial" w:hAnsi="Arial"/>
          <w:sz w:val="18"/>
          <w:szCs w:val="18"/>
          <w:color w:val="auto"/>
        </w:rPr>
      </w:pPr>
    </w:p>
    <w:p>
      <w:pPr>
        <w:ind w:left="820" w:right="80" w:hanging="326"/>
        <w:spacing w:after="0" w:line="257" w:lineRule="auto"/>
        <w:tabs>
          <w:tab w:leader="none" w:pos="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tax on the same amounts and in the same manner and at the same times as would have been the case if the deposit and related covenant defeasance had not occurred. (Section 8.4)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w:t>
      </w:r>
    </w:p>
    <w:p>
      <w:pPr>
        <w:sectPr>
          <w:pgSz w:w="11900" w:h="16975" w:orient="portrait"/>
          <w:cols w:equalWidth="0" w:num="1">
            <w:col w:w="11420"/>
          </w:cols>
          <w:pgMar w:left="240" w:top="125" w:right="239" w:bottom="0" w:gutter="0" w:footer="0" w:header="0"/>
        </w:sectPr>
      </w:pPr>
    </w:p>
    <w:bookmarkStart w:id="12" w:name="page13"/>
    <w:bookmarkEnd w:id="12"/>
    <w:p>
      <w:pPr>
        <w:ind w:right="120"/>
        <w:spacing w:after="0" w:line="342" w:lineRule="auto"/>
        <w:rPr>
          <w:sz w:val="20"/>
          <w:szCs w:val="20"/>
          <w:color w:val="auto"/>
        </w:rPr>
      </w:pPr>
      <w:r>
        <w:rPr>
          <w:rFonts w:ascii="Arial" w:cs="Arial" w:eastAsia="Arial" w:hAnsi="Arial"/>
          <w:sz w:val="16"/>
          <w:szCs w:val="16"/>
          <w:color w:val="auto"/>
        </w:rPr>
        <w:t>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980" w:right="38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equity warrants will not be entitled:</w:t>
      </w:r>
    </w:p>
    <w:p>
      <w:pPr>
        <w:spacing w:after="0" w:line="22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any rights as stockholders of Selecta.</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3" w:name="page14"/>
    <w:bookmarkEnd w:id="13"/>
    <w:p>
      <w:pPr>
        <w:spacing w:after="0" w:line="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70"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780" w:hanging="28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ectPr>
          <w:pgSz w:w="11900" w:h="16920" w:orient="portrait"/>
          <w:cols w:equalWidth="0" w:num="1">
            <w:col w:w="11400"/>
          </w:cols>
          <w:pgMar w:left="240" w:top="125" w:right="259" w:bottom="0" w:gutter="0" w:footer="0" w:header="0"/>
        </w:sectPr>
      </w:pPr>
    </w:p>
    <w:bookmarkStart w:id="14" w:name="page15"/>
    <w:bookmarkEnd w:id="14"/>
    <w:p>
      <w:pPr>
        <w:ind w:right="20" w:firstLine="441"/>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8"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58"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respect of the securities and the indenture may be delivered to us and where certificated securities may be surrendered for payment, registration of transfer or exchange.</w:t>
      </w:r>
    </w:p>
    <w:p>
      <w:pPr>
        <w:spacing w:after="0" w:line="170"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4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0" w:lineRule="exact"/>
        <w:rPr>
          <w:sz w:val="20"/>
          <w:szCs w:val="20"/>
          <w:color w:val="auto"/>
        </w:rPr>
      </w:pPr>
    </w:p>
    <w:p>
      <w:pPr>
        <w:jc w:val="both"/>
        <w:ind w:left="820" w:right="20" w:hanging="326"/>
        <w:spacing w:after="0" w:line="264" w:lineRule="auto"/>
        <w:tabs>
          <w:tab w:leader="none" w:pos="7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appointed within 90 days of the notification to us or of our becoming aware of DTC’s ceasing to be so registered, as the case may be;</w:t>
      </w:r>
    </w:p>
    <w:p>
      <w:pPr>
        <w:spacing w:after="0" w:line="237" w:lineRule="exact"/>
        <w:rPr>
          <w:sz w:val="20"/>
          <w:szCs w:val="20"/>
          <w:color w:val="auto"/>
        </w:rPr>
      </w:pPr>
    </w:p>
    <w:p>
      <w:pPr>
        <w:ind w:left="780" w:hanging="28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ectPr>
          <w:pgSz w:w="11900" w:h="16838" w:orient="portrait"/>
          <w:cols w:equalWidth="0" w:num="1">
            <w:col w:w="11420"/>
          </w:cols>
          <w:pgMar w:left="240" w:top="341" w:right="239" w:bottom="0" w:gutter="0" w:footer="0" w:header="0"/>
        </w:sectPr>
      </w:pPr>
    </w:p>
    <w:bookmarkStart w:id="15" w:name="page16"/>
    <w:bookmarkEnd w:id="15"/>
    <w:p>
      <w:pPr>
        <w:spacing w:after="0" w:line="103" w:lineRule="exact"/>
        <w:rPr>
          <w:sz w:val="20"/>
          <w:szCs w:val="20"/>
          <w:color w:val="auto"/>
        </w:rPr>
      </w:pPr>
    </w:p>
    <w:p>
      <w:pPr>
        <w:ind w:left="780" w:hanging="28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81" w:lineRule="exact"/>
        <w:rPr>
          <w:sz w:val="20"/>
          <w:szCs w:val="20"/>
          <w:color w:val="auto"/>
        </w:rPr>
      </w:pPr>
    </w:p>
    <w:p>
      <w:pPr>
        <w:ind w:left="780" w:hanging="28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varying prices determined at the time of sale.</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1"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7"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securities at a level above that which might otherwise prevail in the open market. These transactions may be discontinued at any time.</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w:t>
      </w:r>
    </w:p>
    <w:p>
      <w:pPr>
        <w:sectPr>
          <w:pgSz w:w="11900" w:h="16941" w:orient="portrait"/>
          <w:cols w:equalWidth="0" w:num="1">
            <w:col w:w="11400"/>
          </w:cols>
          <w:pgMar w:left="240" w:top="125" w:right="259" w:bottom="0" w:gutter="0" w:footer="0" w:header="0"/>
        </w:sectPr>
      </w:pPr>
    </w:p>
    <w:bookmarkStart w:id="16" w:name="page17"/>
    <w:bookmarkEnd w:id="16"/>
    <w:p>
      <w:pPr>
        <w:spacing w:after="0" w:line="5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Selecta Biosciences, Inc. Additional legal matters may be passed upon for us or any underwriters, dealers or agents, by counsel that we will name in the applicable prospectus supplement.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The consolidated financial statements of Selecta Biosciences, Inc. incorporated by reference in Selecta Biosciences, Inc.’s Annual Report on Form 10-K for the year ended </w:t>
      </w:r>
      <w:r>
        <w:rPr>
          <w:rFonts w:ascii="Arial" w:cs="Arial" w:eastAsia="Arial" w:hAnsi="Arial"/>
          <w:sz w:val="16"/>
          <w:szCs w:val="16"/>
          <w:color w:val="auto"/>
        </w:rPr>
        <w:t>December 31, 2016</w:t>
      </w:r>
      <w:r>
        <w:rPr>
          <w:rFonts w:ascii="Arial" w:cs="Arial" w:eastAsia="Arial" w:hAnsi="Arial"/>
          <w:sz w:val="17"/>
          <w:szCs w:val="17"/>
          <w:color w:val="auto"/>
        </w:rPr>
        <w:t xml:space="preserve">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FF4040"/>
        </w:rPr>
        <w:t>The information in this preliminary prospectus supplement is not complete and may be changed. These securities may not be sold until the registration statement filed with the Securities and Exchange Commission is effective. This preliminary prospectus supplement is not an offer to sell nor does it seek an offer to buy these securities in any jurisdiction where the offer or sale is not permitted.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040"/>
        </w:rPr>
        <w:t>Subject to Completion, dated August 11,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154940</wp:posOffset>
            </wp:positionV>
            <wp:extent cx="3112770" cy="866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firstLine="441"/>
        <w:spacing w:after="0" w:line="238"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sales agreement, with Jefferies LLC, or Jefferies, dated August 11, 2017, relating to the sale of shares of our common stock offered by this prospectus supplement. In accordance with the terms of the sales agreement, under this prospectus supplement we may offer and sell shares of our common stock, $0.0001 par value per share, having an aggregate offering price of up to $50,000,000 from time to time through Jefferies, acting as our agent.</w:t>
      </w:r>
    </w:p>
    <w:p>
      <w:pPr>
        <w:spacing w:after="0" w:line="202"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Sales of our common stock, if any, under this prospectus supplement will be made by any method permitted that is deemed an “at the market offering” as defined in Rule 415(a)(4) under the Securities Act of 1933, as amended, or the Securities Act, including sales made directly on or through the NASDAQ Global Market or any other existing trading market for our common stock. Jefferies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Jefferies will be entitled to compensation at a commission rate of up to 3.00% of the gross sales price per share sold under the sales agreement. See “Plan of Distribution” beginning on page S-10 for additional information regarding the compensation to be paid to Jefferies.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197485</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441"/>
        <w:spacing w:after="0" w:line="239" w:lineRule="auto"/>
        <w:rPr>
          <w:sz w:val="20"/>
          <w:szCs w:val="20"/>
          <w:color w:val="auto"/>
        </w:rPr>
      </w:pPr>
      <w:r>
        <w:rPr>
          <w:rFonts w:ascii="Arial" w:cs="Arial" w:eastAsia="Arial" w:hAnsi="Arial"/>
          <w:sz w:val="22"/>
          <w:szCs w:val="22"/>
          <w:b w:val="1"/>
          <w:bCs w:val="1"/>
          <w:color w:val="auto"/>
        </w:rPr>
        <w:t>INVESTING IN OUR SECURITIES INVOLVES RISKS. SEE THE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ON PAGE S-6 OF THIS PROSPECTUS SUPPLEMENT AND IN THE DOCUMENTS INCORPORATED BY REFERENCE IN THIS PROSPECTUS SUPPLEMENT CONCERNING FACTORS YOU SHOULD CONSIDER BEFORE INVESTING IN OUR COMMON STOCK.</w:t>
      </w:r>
    </w:p>
    <w:p>
      <w:pPr>
        <w:sectPr>
          <w:pgSz w:w="11900" w:h="16892" w:orient="portrait"/>
          <w:cols w:equalWidth="0" w:num="1">
            <w:col w:w="11420"/>
          </w:cols>
          <w:pgMar w:left="240" w:top="125" w:right="239" w:bottom="0" w:gutter="0" w:footer="0" w:header="0"/>
        </w:sectPr>
      </w:pPr>
    </w:p>
    <w:bookmarkStart w:id="17" w:name="page18"/>
    <w:bookmarkEnd w:id="17"/>
    <w:p>
      <w:pPr>
        <w:ind w:right="60" w:firstLine="441"/>
        <w:spacing w:after="0" w:line="277" w:lineRule="auto"/>
        <w:rPr>
          <w:sz w:val="20"/>
          <w:szCs w:val="20"/>
          <w:color w:val="auto"/>
        </w:rPr>
      </w:pPr>
      <w:r>
        <w:rPr>
          <w:rFonts w:ascii="Arial" w:cs="Arial" w:eastAsia="Arial" w:hAnsi="Arial"/>
          <w:sz w:val="18"/>
          <w:szCs w:val="18"/>
          <w:color w:val="auto"/>
        </w:rPr>
        <w:t>Our common stock is listed on the NASDAQ Global Market under the symbol “</w:t>
      </w:r>
      <w:r>
        <w:rPr>
          <w:rFonts w:ascii="Arial" w:cs="Arial" w:eastAsia="Arial" w:hAnsi="Arial"/>
          <w:sz w:val="18"/>
          <w:szCs w:val="18"/>
          <w:i w:val="1"/>
          <w:iCs w:val="1"/>
          <w:color w:val="auto"/>
        </w:rPr>
        <w:t>SELB</w:t>
      </w:r>
      <w:r>
        <w:rPr>
          <w:rFonts w:ascii="Arial" w:cs="Arial" w:eastAsia="Arial" w:hAnsi="Arial"/>
          <w:sz w:val="18"/>
          <w:szCs w:val="18"/>
          <w:color w:val="auto"/>
        </w:rPr>
        <w:t>.” On August 10, 2017, the last reported sale price of our common stock on the NASDAQ Global Market was $16.97 per share</w:t>
      </w:r>
      <w:r>
        <w:rPr>
          <w:rFonts w:ascii="Arial" w:cs="Arial" w:eastAsia="Arial" w:hAnsi="Arial"/>
          <w:sz w:val="17"/>
          <w:szCs w:val="17"/>
          <w:color w:val="auto"/>
        </w:rPr>
        <w:t>.</w:t>
      </w:r>
    </w:p>
    <w:p>
      <w:pPr>
        <w:spacing w:after="0" w:line="166" w:lineRule="exact"/>
        <w:rPr>
          <w:sz w:val="20"/>
          <w:szCs w:val="20"/>
          <w:color w:val="auto"/>
        </w:rPr>
      </w:pPr>
    </w:p>
    <w:p>
      <w:pPr>
        <w:ind w:right="580" w:firstLine="44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154305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Jefferies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ind w:left="3180"/>
              <w:spacing w:after="0"/>
              <w:rPr>
                <w:sz w:val="20"/>
                <w:szCs w:val="20"/>
                <w:color w:val="auto"/>
              </w:rPr>
            </w:pPr>
            <w:r>
              <w:rPr>
                <w:rFonts w:ascii="Arial" w:cs="Arial" w:eastAsia="Arial" w:hAnsi="Arial"/>
                <w:sz w:val="18"/>
                <w:szCs w:val="18"/>
                <w:b w:val="1"/>
                <w:bCs w:val="1"/>
                <w:color w:val="auto"/>
              </w:rPr>
              <w:t>The date of this prospectus supplement is</w:t>
            </w:r>
          </w:p>
        </w:tc>
        <w:tc>
          <w:tcPr>
            <w:tcW w:w="4400" w:type="dxa"/>
            <w:vAlign w:val="bottom"/>
          </w:tcPr>
          <w:p>
            <w:pPr>
              <w:jc w:val="right"/>
              <w:ind w:right="3130"/>
              <w:spacing w:after="0"/>
              <w:rPr>
                <w:sz w:val="20"/>
                <w:szCs w:val="20"/>
                <w:color w:val="auto"/>
              </w:rPr>
            </w:pPr>
            <w:r>
              <w:rPr>
                <w:rFonts w:ascii="Arial" w:cs="Arial" w:eastAsia="Arial" w:hAnsi="Arial"/>
                <w:sz w:val="18"/>
                <w:szCs w:val="18"/>
                <w:b w:val="1"/>
                <w:bCs w:val="1"/>
                <w:color w:val="auto"/>
              </w:rPr>
              <w:t>, 2017.</w:t>
            </w:r>
          </w:p>
        </w:tc>
      </w:tr>
      <w:tr>
        <w:trPr>
          <w:trHeight w:val="348"/>
        </w:trPr>
        <w:tc>
          <w:tcPr>
            <w:tcW w:w="706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18"/>
        </w:trPr>
        <w:tc>
          <w:tcPr>
            <w:tcW w:w="8900" w:type="dxa"/>
            <w:vAlign w:val="bottom"/>
          </w:tcPr>
          <w:p>
            <w:pPr>
              <w:spacing w:after="0"/>
              <w:rPr>
                <w:sz w:val="20"/>
                <w:szCs w:val="20"/>
                <w:color w:val="auto"/>
              </w:rPr>
            </w:pPr>
            <w:r>
              <w:rPr>
                <w:rFonts w:ascii="Arial" w:cs="Arial" w:eastAsia="Arial" w:hAnsi="Arial"/>
                <w:sz w:val="18"/>
                <w:szCs w:val="18"/>
                <w:color w:val="auto"/>
              </w:rPr>
              <w:t>ABOUT THIS PROSPECTUS SUPPLEMENT</w:t>
            </w:r>
          </w:p>
        </w:tc>
        <w:tc>
          <w:tcPr>
            <w:tcW w:w="25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WHERE YOU CAN FIND MORE INFORMATION; INCORPORATION BY REFERENCE</w:t>
            </w:r>
          </w:p>
        </w:tc>
        <w:tc>
          <w:tcPr>
            <w:tcW w:w="256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THE COMPANY</w:t>
            </w:r>
          </w:p>
        </w:tc>
        <w:tc>
          <w:tcPr>
            <w:tcW w:w="256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THE OFFERING</w:t>
            </w:r>
          </w:p>
        </w:tc>
        <w:tc>
          <w:tcPr>
            <w:tcW w:w="256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RISK FACTORS</w:t>
            </w:r>
          </w:p>
        </w:tc>
        <w:tc>
          <w:tcPr>
            <w:tcW w:w="256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USE OF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DIVIDEND POLICY</w:t>
            </w:r>
          </w:p>
        </w:tc>
        <w:tc>
          <w:tcPr>
            <w:tcW w:w="256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DILUTION</w:t>
            </w:r>
          </w:p>
        </w:tc>
        <w:tc>
          <w:tcPr>
            <w:tcW w:w="256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PLAN OF DISTRIBUTION</w:t>
            </w:r>
          </w:p>
        </w:tc>
        <w:tc>
          <w:tcPr>
            <w:tcW w:w="256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LEGAL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5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348"/>
        </w:trPr>
        <w:tc>
          <w:tcPr>
            <w:tcW w:w="89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This prospectus supplement is part of a registration statement that we have filed with the Securities and Exchange Commission, or SEC, utilizing a “shelf” registration process, and relates to the offering of our common stock. Before buying any of the common stock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spacing w:after="0" w:line="173"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We provide information to you about this offering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66"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the accompanying base prospectus and any free writing prospectus that we may authorize for use in connection with this offering. We have not, and Jefferies has not, authorized anyone to provide you with different information. If anyone provides you with different or inconsistent information, you should not rely on it. We are not, and Jefferies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7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When we refer to “Selecta,” “we,” “our,” “us,” the “Company” and “our company” in this prospectus supplement, we mean Selecta Biosciences, Inc., unless otherwise specified. When we refer to “you,” we mean the holders of the applicable series of securities.</w:t>
      </w:r>
    </w:p>
    <w:p>
      <w:pPr>
        <w:spacing w:after="0" w:line="170" w:lineRule="exact"/>
        <w:rPr>
          <w:sz w:val="20"/>
          <w:szCs w:val="20"/>
          <w:color w:val="auto"/>
        </w:rPr>
      </w:pPr>
    </w:p>
    <w:p>
      <w:pPr>
        <w:ind w:right="260" w:firstLine="441"/>
        <w:spacing w:after="0" w:line="256" w:lineRule="auto"/>
        <w:rPr>
          <w:sz w:val="20"/>
          <w:szCs w:val="20"/>
          <w:color w:val="auto"/>
        </w:rPr>
      </w:pPr>
      <w:r>
        <w:rPr>
          <w:rFonts w:ascii="Arial" w:cs="Arial" w:eastAsia="Arial" w:hAnsi="Arial"/>
          <w:sz w:val="17"/>
          <w:szCs w:val="17"/>
          <w:color w:val="auto"/>
        </w:rPr>
        <w:t xml:space="preserve">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ectPr>
          <w:pgSz w:w="11900" w:h="16838" w:orient="portrait"/>
          <w:cols w:equalWidth="0" w:num="1">
            <w:col w:w="11460"/>
          </w:cols>
          <w:pgMar w:left="240" w:top="341" w:right="19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facilities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5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www.selectabiosciences.com</w:t>
      </w:r>
      <w:r>
        <w:rPr>
          <w:rFonts w:ascii="Arial" w:cs="Arial" w:eastAsia="Arial" w:hAnsi="Arial"/>
          <w:sz w:val="18"/>
          <w:szCs w:val="18"/>
          <w:color w:val="auto"/>
        </w:rPr>
        <w:t>. The information on our web site, however, is not, and should not be deemed to be, a part of this prospectus supplement.</w:t>
      </w:r>
    </w:p>
    <w:p>
      <w:pPr>
        <w:spacing w:after="0" w:line="170"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SEC’s rules allow us to “incorporate by reference” information in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7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supplement,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225" w:lineRule="exact"/>
        <w:rPr>
          <w:sz w:val="20"/>
          <w:szCs w:val="20"/>
          <w:color w:val="auto"/>
        </w:rPr>
      </w:pPr>
    </w:p>
    <w:p>
      <w:pPr>
        <w:ind w:left="860" w:hanging="41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28, 2017.</w:t>
      </w:r>
    </w:p>
    <w:p>
      <w:pPr>
        <w:spacing w:after="0" w:line="225" w:lineRule="exact"/>
        <w:rPr>
          <w:rFonts w:ascii="Arial" w:cs="Arial" w:eastAsia="Arial" w:hAnsi="Arial"/>
          <w:sz w:val="18"/>
          <w:szCs w:val="18"/>
          <w:color w:val="auto"/>
        </w:rPr>
      </w:pPr>
    </w:p>
    <w:p>
      <w:pPr>
        <w:ind w:left="880" w:right="680" w:hanging="432"/>
        <w:spacing w:after="0" w:line="277" w:lineRule="auto"/>
        <w:tabs>
          <w:tab w:leader="none" w:pos="8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and June 30, 2017, filed with the SEC on May 11, 2017 and August 11, 2017, respectively.</w:t>
      </w:r>
    </w:p>
    <w:p>
      <w:pPr>
        <w:spacing w:after="0" w:line="170" w:lineRule="exact"/>
        <w:rPr>
          <w:rFonts w:ascii="Arial" w:cs="Arial" w:eastAsia="Arial" w:hAnsi="Arial"/>
          <w:sz w:val="18"/>
          <w:szCs w:val="18"/>
          <w:color w:val="auto"/>
        </w:rPr>
      </w:pPr>
    </w:p>
    <w:p>
      <w:pPr>
        <w:ind w:left="860" w:hanging="41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25, 2017.</w:t>
      </w:r>
    </w:p>
    <w:p>
      <w:pPr>
        <w:spacing w:after="0" w:line="225" w:lineRule="exact"/>
        <w:rPr>
          <w:rFonts w:ascii="Arial" w:cs="Arial" w:eastAsia="Arial" w:hAnsi="Arial"/>
          <w:sz w:val="18"/>
          <w:szCs w:val="18"/>
          <w:color w:val="auto"/>
        </w:rPr>
      </w:pPr>
    </w:p>
    <w:p>
      <w:pPr>
        <w:ind w:left="880" w:right="80" w:hanging="432"/>
        <w:spacing w:after="0" w:line="277" w:lineRule="auto"/>
        <w:tabs>
          <w:tab w:leader="none" w:pos="8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and Amended Current Reports on Form 8-K/A filed with the SEC on February 14, 2017, May 2, 2017, June 9, 2017, June 15, 2017, June 20, 2017, June 21, 2017 and June 28, 2017.</w:t>
      </w:r>
    </w:p>
    <w:p>
      <w:pPr>
        <w:spacing w:after="0" w:line="170" w:lineRule="exact"/>
        <w:rPr>
          <w:rFonts w:ascii="Arial" w:cs="Arial" w:eastAsia="Arial" w:hAnsi="Arial"/>
          <w:sz w:val="18"/>
          <w:szCs w:val="18"/>
          <w:color w:val="auto"/>
        </w:rPr>
      </w:pPr>
    </w:p>
    <w:p>
      <w:pPr>
        <w:ind w:left="880" w:right="620" w:hanging="432"/>
        <w:spacing w:after="0" w:line="277" w:lineRule="auto"/>
        <w:tabs>
          <w:tab w:leader="none" w:pos="8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8, 2016, and any amendment or report filed with the SEC for the purpose of updating the description.</w:t>
      </w:r>
    </w:p>
    <w:p>
      <w:pPr>
        <w:spacing w:after="0" w:line="170"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request a free copy of any of the documents incorporated by reference in this prospectus supplement (other than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exhibits, unless they are specifically incorporated by reference in the documents) by writing or telephoning us at the following address: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 Arsenal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Exhibits to the filings will not be sent, however, unless those exhibits have specifically been incorporated by reference in this prospectus supplement.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ectPr>
          <w:pgSz w:w="11900" w:h="16838" w:orient="portrait"/>
          <w:cols w:equalWidth="0" w:num="1">
            <w:col w:w="11400"/>
          </w:cols>
          <w:pgMar w:left="240" w:top="337" w:right="259" w:bottom="36" w:gutter="0" w:footer="0" w:header="0"/>
        </w:sectPr>
      </w:pPr>
    </w:p>
    <w:bookmarkStart w:id="19" w:name="page20"/>
    <w:bookmarkEnd w:id="19"/>
    <w:p>
      <w:pPr>
        <w:spacing w:after="0" w:line="78"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w:t>
      </w:r>
    </w:p>
    <w:p>
      <w:pPr>
        <w:spacing w:after="0" w:line="17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 Our principal executive offices are located at 480 Arsenal Way, Watertown, MA 02472, and our telephone number is (617) 923-1400.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8520" w:type="dxa"/>
            <w:vAlign w:val="bottom"/>
          </w:tcPr>
          <w:p>
            <w:pPr>
              <w:jc w:val="center"/>
              <w:ind w:right="2890"/>
              <w:spacing w:after="0"/>
              <w:rPr>
                <w:sz w:val="20"/>
                <w:szCs w:val="20"/>
                <w:color w:val="auto"/>
              </w:rPr>
            </w:pPr>
            <w:r>
              <w:rPr>
                <w:rFonts w:ascii="Arial" w:cs="Arial" w:eastAsia="Arial" w:hAnsi="Arial"/>
                <w:sz w:val="18"/>
                <w:szCs w:val="18"/>
                <w:color w:val="auto"/>
                <w:w w:val="92"/>
              </w:rPr>
              <w:t>S-4</w:t>
            </w:r>
          </w:p>
        </w:tc>
      </w:tr>
      <w:tr>
        <w:trPr>
          <w:trHeight w:val="132"/>
        </w:trPr>
        <w:tc>
          <w:tcPr>
            <w:tcW w:w="2940" w:type="dxa"/>
            <w:vAlign w:val="bottom"/>
            <w:tcBorders>
              <w:bottom w:val="single" w:sz="8" w:color="808080"/>
            </w:tcBorders>
          </w:tcPr>
          <w:p>
            <w:pPr>
              <w:spacing w:after="0"/>
              <w:rPr>
                <w:sz w:val="11"/>
                <w:szCs w:val="11"/>
                <w:color w:val="auto"/>
              </w:rPr>
            </w:pPr>
          </w:p>
        </w:tc>
        <w:tc>
          <w:tcPr>
            <w:tcW w:w="8520" w:type="dxa"/>
            <w:vAlign w:val="bottom"/>
            <w:tcBorders>
              <w:bottom w:val="single" w:sz="8" w:color="808080"/>
            </w:tcBorders>
          </w:tcPr>
          <w:p>
            <w:pPr>
              <w:spacing w:after="0"/>
              <w:rPr>
                <w:sz w:val="11"/>
                <w:szCs w:val="11"/>
                <w:color w:val="auto"/>
              </w:rPr>
            </w:pPr>
          </w:p>
        </w:tc>
      </w:tr>
      <w:tr>
        <w:trPr>
          <w:trHeight w:val="780"/>
        </w:trPr>
        <w:tc>
          <w:tcPr>
            <w:tcW w:w="2940" w:type="dxa"/>
            <w:vAlign w:val="bottom"/>
          </w:tcPr>
          <w:p>
            <w:pPr>
              <w:spacing w:after="0"/>
              <w:rPr>
                <w:sz w:val="24"/>
                <w:szCs w:val="24"/>
                <w:color w:val="auto"/>
              </w:rPr>
            </w:pPr>
          </w:p>
        </w:tc>
        <w:tc>
          <w:tcPr>
            <w:tcW w:w="8520" w:type="dxa"/>
            <w:vAlign w:val="bottom"/>
          </w:tcPr>
          <w:p>
            <w:pPr>
              <w:jc w:val="center"/>
              <w:ind w:right="289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8520" w:type="dxa"/>
            <w:vAlign w:val="bottom"/>
          </w:tcPr>
          <w:p>
            <w:pPr>
              <w:ind w:left="500"/>
              <w:spacing w:after="0"/>
              <w:rPr>
                <w:sz w:val="20"/>
                <w:szCs w:val="20"/>
                <w:color w:val="auto"/>
              </w:rPr>
            </w:pPr>
            <w:r>
              <w:rPr>
                <w:rFonts w:ascii="Arial" w:cs="Arial" w:eastAsia="Arial" w:hAnsi="Arial"/>
                <w:sz w:val="18"/>
                <w:szCs w:val="18"/>
                <w:color w:val="auto"/>
              </w:rPr>
              <w:t>Shares of our common stock having an aggregate offering price of up to $50,000,000.</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Manner of offering</w:t>
            </w:r>
          </w:p>
        </w:tc>
        <w:tc>
          <w:tcPr>
            <w:tcW w:w="8520" w:type="dxa"/>
            <w:vAlign w:val="bottom"/>
          </w:tcPr>
          <w:p>
            <w:pPr>
              <w:ind w:left="500"/>
              <w:spacing w:after="0"/>
              <w:rPr>
                <w:sz w:val="20"/>
                <w:szCs w:val="20"/>
                <w:color w:val="auto"/>
              </w:rPr>
            </w:pPr>
            <w:r>
              <w:rPr>
                <w:rFonts w:ascii="Arial" w:cs="Arial" w:eastAsia="Arial" w:hAnsi="Arial"/>
                <w:sz w:val="18"/>
                <w:szCs w:val="18"/>
                <w:color w:val="auto"/>
              </w:rPr>
              <w:t>“At the market offering” that may be made from time to time on the NASDAQ Global Market or other</w:t>
            </w:r>
          </w:p>
        </w:tc>
      </w:tr>
      <w:tr>
        <w:trPr>
          <w:trHeight w:val="216"/>
        </w:trPr>
        <w:tc>
          <w:tcPr>
            <w:tcW w:w="2940" w:type="dxa"/>
            <w:vAlign w:val="bottom"/>
          </w:tcPr>
          <w:p>
            <w:pPr>
              <w:spacing w:after="0"/>
              <w:rPr>
                <w:sz w:val="18"/>
                <w:szCs w:val="18"/>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2"/>
              </w:rPr>
              <w:t>existing trading market for our common stock through our agent, Jefferies LLC. See the section entitled “Plan</w:t>
            </w:r>
          </w:p>
        </w:tc>
      </w:tr>
      <w:tr>
        <w:trPr>
          <w:trHeight w:val="230"/>
        </w:trPr>
        <w:tc>
          <w:tcPr>
            <w:tcW w:w="2940" w:type="dxa"/>
            <w:vAlign w:val="bottom"/>
          </w:tcPr>
          <w:p>
            <w:pPr>
              <w:spacing w:after="0"/>
              <w:rPr>
                <w:sz w:val="20"/>
                <w:szCs w:val="20"/>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of Distribution” on page S-10 of this prospectus supplement.</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Use of proceeds</w:t>
            </w:r>
          </w:p>
        </w:tc>
        <w:tc>
          <w:tcPr>
            <w:tcW w:w="8520" w:type="dxa"/>
            <w:vAlign w:val="bottom"/>
          </w:tcPr>
          <w:p>
            <w:pPr>
              <w:ind w:left="500"/>
              <w:spacing w:after="0"/>
              <w:rPr>
                <w:sz w:val="20"/>
                <w:szCs w:val="20"/>
                <w:color w:val="auto"/>
              </w:rPr>
            </w:pPr>
            <w:r>
              <w:rPr>
                <w:rFonts w:ascii="Arial" w:cs="Arial" w:eastAsia="Arial" w:hAnsi="Arial"/>
                <w:sz w:val="18"/>
                <w:szCs w:val="18"/>
                <w:color w:val="auto"/>
                <w:w w:val="91"/>
              </w:rPr>
              <w:t>We intend to use the net proceeds of this offering for general corporate purposes, which may include research</w:t>
            </w:r>
          </w:p>
        </w:tc>
      </w:tr>
      <w:tr>
        <w:trPr>
          <w:trHeight w:val="216"/>
        </w:trPr>
        <w:tc>
          <w:tcPr>
            <w:tcW w:w="2940" w:type="dxa"/>
            <w:vAlign w:val="bottom"/>
          </w:tcPr>
          <w:p>
            <w:pPr>
              <w:spacing w:after="0"/>
              <w:rPr>
                <w:sz w:val="18"/>
                <w:szCs w:val="18"/>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8"/>
              </w:rPr>
              <w:t>and development expenditures, acquisitions or in-licenses of complementary companies, medicines or</w:t>
            </w:r>
          </w:p>
        </w:tc>
      </w:tr>
      <w:tr>
        <w:trPr>
          <w:trHeight w:val="216"/>
        </w:trPr>
        <w:tc>
          <w:tcPr>
            <w:tcW w:w="2940" w:type="dxa"/>
            <w:vAlign w:val="bottom"/>
          </w:tcPr>
          <w:p>
            <w:pPr>
              <w:spacing w:after="0"/>
              <w:rPr>
                <w:sz w:val="18"/>
                <w:szCs w:val="18"/>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7"/>
              </w:rPr>
              <w:t>technologies, expenditures to build our initial development and commercial capabilities, repayment and</w:t>
            </w:r>
          </w:p>
        </w:tc>
      </w:tr>
      <w:tr>
        <w:trPr>
          <w:trHeight w:val="216"/>
        </w:trPr>
        <w:tc>
          <w:tcPr>
            <w:tcW w:w="2940" w:type="dxa"/>
            <w:vAlign w:val="bottom"/>
          </w:tcPr>
          <w:p>
            <w:pPr>
              <w:spacing w:after="0"/>
              <w:rPr>
                <w:sz w:val="18"/>
                <w:szCs w:val="18"/>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4"/>
              </w:rPr>
              <w:t>refinancing of debt, working capital and capital expenditures. See the section entitled “Use of Proceeds” on</w:t>
            </w:r>
          </w:p>
        </w:tc>
      </w:tr>
      <w:tr>
        <w:trPr>
          <w:trHeight w:val="230"/>
        </w:trPr>
        <w:tc>
          <w:tcPr>
            <w:tcW w:w="2940" w:type="dxa"/>
            <w:vAlign w:val="bottom"/>
          </w:tcPr>
          <w:p>
            <w:pPr>
              <w:spacing w:after="0"/>
              <w:rPr>
                <w:sz w:val="20"/>
                <w:szCs w:val="20"/>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page S-8 of this prospectus supplement.</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Risk factors</w:t>
            </w:r>
          </w:p>
        </w:tc>
        <w:tc>
          <w:tcPr>
            <w:tcW w:w="8520" w:type="dxa"/>
            <w:vAlign w:val="bottom"/>
          </w:tcPr>
          <w:p>
            <w:pPr>
              <w:ind w:left="500"/>
              <w:spacing w:after="0"/>
              <w:rPr>
                <w:sz w:val="20"/>
                <w:szCs w:val="20"/>
                <w:color w:val="auto"/>
              </w:rPr>
            </w:pPr>
            <w:r>
              <w:rPr>
                <w:rFonts w:ascii="Arial" w:cs="Arial" w:eastAsia="Arial" w:hAnsi="Arial"/>
                <w:sz w:val="18"/>
                <w:szCs w:val="18"/>
                <w:color w:val="auto"/>
                <w:w w:val="93"/>
              </w:rPr>
              <w:t>See “Risk Factors” beginning on page S-6 of this prospectus supplement and the other information included</w:t>
            </w:r>
          </w:p>
        </w:tc>
      </w:tr>
      <w:tr>
        <w:trPr>
          <w:trHeight w:val="216"/>
        </w:trPr>
        <w:tc>
          <w:tcPr>
            <w:tcW w:w="2940" w:type="dxa"/>
            <w:vAlign w:val="bottom"/>
          </w:tcPr>
          <w:p>
            <w:pPr>
              <w:spacing w:after="0"/>
              <w:rPr>
                <w:sz w:val="18"/>
                <w:szCs w:val="18"/>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1"/>
              </w:rPr>
              <w:t>in, or incorporated by reference into, this prospectus supplement for a discussion of certain factors you should</w:t>
            </w:r>
          </w:p>
        </w:tc>
      </w:tr>
      <w:tr>
        <w:trPr>
          <w:trHeight w:val="230"/>
        </w:trPr>
        <w:tc>
          <w:tcPr>
            <w:tcW w:w="2940" w:type="dxa"/>
            <w:vAlign w:val="bottom"/>
          </w:tcPr>
          <w:p>
            <w:pPr>
              <w:spacing w:after="0"/>
              <w:rPr>
                <w:sz w:val="20"/>
                <w:szCs w:val="20"/>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carefully consider before deciding to invest in shares of our common stock.</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8520" w:type="dxa"/>
            <w:vAlign w:val="bottom"/>
          </w:tcPr>
          <w:p>
            <w:pPr>
              <w:ind w:left="500"/>
              <w:spacing w:after="0"/>
              <w:rPr>
                <w:sz w:val="20"/>
                <w:szCs w:val="20"/>
                <w:color w:val="auto"/>
              </w:rPr>
            </w:pPr>
            <w:r>
              <w:rPr>
                <w:rFonts w:ascii="Arial" w:cs="Arial" w:eastAsia="Arial" w:hAnsi="Arial"/>
                <w:sz w:val="18"/>
                <w:szCs w:val="18"/>
                <w:color w:val="auto"/>
              </w:rPr>
              <w:t>SELB</w:t>
            </w:r>
          </w:p>
        </w:tc>
      </w:tr>
      <w:tr>
        <w:trPr>
          <w:trHeight w:val="432"/>
        </w:trPr>
        <w:tc>
          <w:tcPr>
            <w:tcW w:w="2940" w:type="dxa"/>
            <w:vAlign w:val="bottom"/>
          </w:tcPr>
          <w:p>
            <w:pPr>
              <w:spacing w:after="0"/>
              <w:rPr>
                <w:sz w:val="24"/>
                <w:szCs w:val="24"/>
                <w:color w:val="auto"/>
              </w:rPr>
            </w:pPr>
          </w:p>
        </w:tc>
        <w:tc>
          <w:tcPr>
            <w:tcW w:w="8520" w:type="dxa"/>
            <w:vAlign w:val="bottom"/>
          </w:tcPr>
          <w:p>
            <w:pPr>
              <w:jc w:val="center"/>
              <w:ind w:right="2890"/>
              <w:spacing w:after="0"/>
              <w:rPr>
                <w:sz w:val="20"/>
                <w:szCs w:val="20"/>
                <w:color w:val="auto"/>
              </w:rPr>
            </w:pPr>
            <w:r>
              <w:rPr>
                <w:rFonts w:ascii="Arial" w:cs="Arial" w:eastAsia="Arial" w:hAnsi="Arial"/>
                <w:sz w:val="18"/>
                <w:szCs w:val="18"/>
                <w:color w:val="auto"/>
                <w:w w:val="92"/>
              </w:rPr>
              <w:t>S-5</w:t>
            </w:r>
          </w:p>
        </w:tc>
      </w:tr>
      <w:tr>
        <w:trPr>
          <w:trHeight w:val="132"/>
        </w:trPr>
        <w:tc>
          <w:tcPr>
            <w:tcW w:w="2940" w:type="dxa"/>
            <w:vAlign w:val="bottom"/>
            <w:tcBorders>
              <w:bottom w:val="single" w:sz="8" w:color="808080"/>
            </w:tcBorders>
          </w:tcPr>
          <w:p>
            <w:pPr>
              <w:spacing w:after="0"/>
              <w:rPr>
                <w:sz w:val="11"/>
                <w:szCs w:val="11"/>
                <w:color w:val="auto"/>
              </w:rPr>
            </w:pPr>
          </w:p>
        </w:tc>
        <w:tc>
          <w:tcPr>
            <w:tcW w:w="8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-3365500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Investment in any securities offered pursuant to this prospectus supplement and the accompanying base prospectus involves risks. You should carefully consider the risk factors described below and in our Quarterly Report on Form 10-Q for the quarterly periods ended March 31, 2017 and June 30, 2017 incorporated by reference in this prospectus supplement, any amendment or update thereto reflected in subsequent filings with the SEC, including in our Annual Reports on Form 10-K and Quarterly Reports on Form 10-Q, and all other information contained or incorporated by reference in this prospectus supplement, as updated by our subsequent filings under the Exchange Act. The occurrence of any of these risks might cause you to lose all or part of your investment in the offered securities.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Relating to this Offering</w:t>
      </w:r>
    </w:p>
    <w:p>
      <w:pPr>
        <w:spacing w:after="0" w:line="229"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you.</w:t>
      </w:r>
    </w:p>
    <w:p>
      <w:pPr>
        <w:spacing w:after="0" w:line="101"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outstanding common stock prior to this offering. Assuming that an aggregate of 2,946,376 shares of our common stock are sold at a price of $16.97 per share, the last reported sale price of our common stock on the NASDAQ Global Market on August 10, 2017, for aggregate gross proceeds of approximately $50 million, and after deducting commissions and estimated offering expenses payable by us, new investors in this offering will incur immediate dilution of $11.91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which may include research and development expenditures, acquisitions or in-licenses of complementary companies, medicines or technologies, expenditures to build our initial development and commercial capabilities, repayment and refinancing of debt, working capital and capital expenditures. The failure by our management to apply these funds effectively could harm our business. 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ectPr>
          <w:pgSz w:w="11900" w:h="16916" w:orient="portrait"/>
          <w:cols w:equalWidth="0" w:num="1">
            <w:col w:w="11460"/>
          </w:cols>
          <w:pgMar w:left="240" w:top="125" w:right="19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This prospectus supplement, the accompanying base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base prospectus and the documents incorporated by reference herein and therein and any free writing prospectus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base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6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base prospectus and the documents incorporated by reference herein and therein and any free writing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respective dates of this prospectus supplement, the accompanying base prospectus and the documents incorporated by reference herein and therein and any free writing prospectus, as applicable, and are subject to a number of risks, uncertainties and assumptions, including those described under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We may issue and sell shares of our common stock having aggregate sales proceeds of up to $50,000,000 time to time. Because there is no minimum offering amount required as a condition to close this offering, the actual total public offering amount, commissions and proceeds to us, if any, are not determinable at this time.</w:t>
      </w:r>
    </w:p>
    <w:p>
      <w:pPr>
        <w:spacing w:after="0" w:line="181" w:lineRule="exact"/>
        <w:rPr>
          <w:sz w:val="20"/>
          <w:szCs w:val="20"/>
          <w:color w:val="auto"/>
        </w:rPr>
      </w:pPr>
    </w:p>
    <w:p>
      <w:pPr>
        <w:jc w:val="both"/>
        <w:ind w:right="780" w:firstLine="441"/>
        <w:spacing w:after="0" w:line="264" w:lineRule="auto"/>
        <w:rPr>
          <w:sz w:val="20"/>
          <w:szCs w:val="20"/>
          <w:color w:val="auto"/>
        </w:rPr>
      </w:pPr>
      <w:r>
        <w:rPr>
          <w:rFonts w:ascii="Arial" w:cs="Arial" w:eastAsia="Arial" w:hAnsi="Arial"/>
          <w:sz w:val="18"/>
          <w:szCs w:val="18"/>
          <w:color w:val="auto"/>
        </w:rPr>
        <w:t>We intend to use the net proceeds of this offering for general corporate purposes, which may include research and development expenditures, acquisitions or in-licenses of complementary companies, medicines or technologies, expenditures to build our initial development and commercial capabilities, repayment and refinancing of debt, working capital and capital expenditures.</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 with Oxford Finance LLC and Pacific Western Bank, as successor in interest to Square 1 Bank.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2017 was approximately $78.2 million, or approximately $3.54 per share of common stock based upon 22,056,147 shares outstanding. Net tangible book value per share is equal to our total tangible assets, less our total liabilities, divided by the total number of shares outstanding as of June 30, 2017.</w:t>
      </w:r>
    </w:p>
    <w:p>
      <w:pPr>
        <w:spacing w:after="0" w:line="154"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color w:val="auto"/>
        </w:rPr>
        <w:t>After giving effect to the sale of our common stock in the aggregate amount of $50 million at an assumed offering price of $16.97 per share, the last reported sale price of our common stock on the NASDAQ Global Market on August 10, 2017, and after deducting commissions and estimated offering</w:t>
      </w:r>
    </w:p>
    <w:p>
      <w:pPr>
        <w:sectPr>
          <w:pgSz w:w="11900" w:h="16838" w:orient="portrait"/>
          <w:cols w:equalWidth="0" w:num="1">
            <w:col w:w="11400"/>
          </w:cols>
          <w:pgMar w:left="240" w:top="341" w:right="259" w:bottom="0" w:gutter="0" w:footer="0" w:header="0"/>
        </w:sectPr>
      </w:pPr>
    </w:p>
    <w:bookmarkStart w:id="21" w:name="page22"/>
    <w:bookmarkEnd w:id="21"/>
    <w:p>
      <w:pPr>
        <w:jc w:val="both"/>
        <w:ind w:right="280"/>
        <w:spacing w:after="0" w:line="264" w:lineRule="auto"/>
        <w:rPr>
          <w:sz w:val="20"/>
          <w:szCs w:val="20"/>
          <w:color w:val="auto"/>
        </w:rPr>
      </w:pPr>
      <w:r>
        <w:rPr>
          <w:rFonts w:ascii="Arial" w:cs="Arial" w:eastAsia="Arial" w:hAnsi="Arial"/>
          <w:sz w:val="18"/>
          <w:szCs w:val="18"/>
          <w:color w:val="auto"/>
        </w:rPr>
        <w:t>expenses payable by us, our as adjusted net tangible book value as of June 30, 2017 would have been $126.6 million, or $5.06 per share of common stock. This represents an immediate increase in net tangible book value of $1.52 per share to our existing stockholders and an immediate dilution in net tangible book value of $11.91 per share to new investors in this offering.</w:t>
      </w:r>
    </w:p>
    <w:p>
      <w:pPr>
        <w:spacing w:after="0" w:line="18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$50 million is sold at the assumed offering price of $16.97 per share, the last reported sale price of our common stock on the NASDAQ Global Market on August 10, 2017. The shares sold in this offering, if any, will be sold from time to time at various prices.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5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June 30, 2017</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3.54</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the offering</w:t>
            </w:r>
          </w:p>
        </w:tc>
        <w:tc>
          <w:tcPr>
            <w:tcW w:w="58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22,056,147 shares of our common stock outstanding as of June 30, 2017. The number of shares outstanding as of June 30, 2017 excludes:</w:t>
      </w:r>
    </w:p>
    <w:p>
      <w:pPr>
        <w:spacing w:after="0" w:line="170" w:lineRule="exact"/>
        <w:rPr>
          <w:sz w:val="20"/>
          <w:szCs w:val="20"/>
          <w:color w:val="auto"/>
        </w:rPr>
      </w:pPr>
    </w:p>
    <w:p>
      <w:pPr>
        <w:ind w:left="880" w:right="180" w:hanging="432"/>
        <w:spacing w:after="0" w:line="277" w:lineRule="auto"/>
        <w:tabs>
          <w:tab w:leader="none" w:pos="8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2,143,734 shares of common stock issuable upon exercise of stock options outstanding as of June 30, 2017, at a weighted average exercise price of $8.69 per share;</w:t>
      </w:r>
    </w:p>
    <w:p>
      <w:pPr>
        <w:spacing w:after="0" w:line="170" w:lineRule="exact"/>
        <w:rPr>
          <w:rFonts w:ascii="Arial" w:cs="Arial" w:eastAsia="Arial" w:hAnsi="Arial"/>
          <w:sz w:val="18"/>
          <w:szCs w:val="18"/>
          <w:color w:val="auto"/>
        </w:rPr>
      </w:pPr>
    </w:p>
    <w:p>
      <w:pPr>
        <w:ind w:left="860" w:hanging="412"/>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1,627,734 shares of common stock reserved for future issuance under our 2016 incentive award plan as of June 30, 2017; and</w:t>
      </w:r>
    </w:p>
    <w:p>
      <w:pPr>
        <w:spacing w:after="0" w:line="225" w:lineRule="exact"/>
        <w:rPr>
          <w:rFonts w:ascii="Arial" w:cs="Arial" w:eastAsia="Arial" w:hAnsi="Arial"/>
          <w:sz w:val="18"/>
          <w:szCs w:val="18"/>
          <w:color w:val="auto"/>
        </w:rPr>
      </w:pPr>
    </w:p>
    <w:p>
      <w:pPr>
        <w:ind w:left="860" w:hanging="412"/>
        <w:spacing w:after="0"/>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176,432 shares of common stock issuable upon exercise of warrants outstanding as of June 30, 2017, at a weighted average exercise price of</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$17.32 per share.</w:t>
      </w:r>
    </w:p>
    <w:p>
      <w:pPr>
        <w:spacing w:after="0" w:line="21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foregoing table does not give effect to the exercise of any outstanding options or warrants. To the extent options and warrants are exercised, there may be further dilution to new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We have entered into a sales agreement with Jefferies under which we may issue and sell shares of our common stock from time to time through the third anniversary of the effective date of such agreement up to an aggregate sales price of $50,000,000 through Jefferies. The sales agreement is filed as Exhibit 1.2 to our registration statement on Form S-3 of which this prospectus supplement forms a part, and is incorporated by reference in this prospectus supplement. Sales of our common stock, if any, under this prospectus supplement will be made by any method that is deemed an “at the market offering” as defined in Rule 415(a)(4) under the Securities Act, including sales made directly on or through the NASDAQ Global Market or any other existing trading market for our common stock.</w:t>
      </w:r>
    </w:p>
    <w:p>
      <w:pPr>
        <w:spacing w:after="0" w:line="193"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When requested by us, Jefferies will offer the shares of common stock subject to the terms and conditions of the sales agreement, which may be on a daily basis for periods of time, or as we may otherwise agree with Jefferies. We will designate the maximum amount of shares of common stock to be sold through Jefferies when we request Jefferies to do so. Jefferies has agreed, subject to the terms and conditions of the sales agreement, to use its commercially reasonable efforts to execute our orders to sell, as our sales agent and on our behalf, shares of our common stock submitted to Jefferies from time to time by us, consistent with its normal sales and trading practices. We may instruct Jefferies not to place shares of common stock at or below a price designated by us. We or Jefferies may suspend the offering of shares of common stock under the sales agreement upon proper notice to the other party.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and Jefferies so agree, Jefferies may act as principal in connection with the placement of the securities offered hereby.</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will pay Jefferies a commission of up to 3.00% of the gross proceeds of any shares sold through it pursuant to this prospectus supplement, and reimburse Jefferies for up to $50,000 of its expenses, including fees and disbursements to its legal counsel. The estimated offering expenses payable by us, in addition to such commission and expenses, are approximately $200,000, which includes legal, accounting and printing costs and various other fees associated with registering the shares of common stock. The remaining sale proceeds, after deducting any other transaction fees, will equal our net proceeds from the sale of such shares.</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Jefferies will provide written confirmation to us following the close of trading on the NASDAQ Global Market each day on which shares of common stock are sold under the sales agreement. Each confirmation will include the number of shares sold on that day, the aggregate gross proceeds of such sales and the commission payable by us to Jefferies. Settlement for sales of common stock will occur, unless otherwise agreed, on the third business day following the date on which such sales were made or, with respect to sales on or after September 5, 2017, the second business day following the date on which such sales were made.</w:t>
      </w:r>
    </w:p>
    <w:p>
      <w:pPr>
        <w:spacing w:after="0" w:line="18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In connection with the sale of our common stock on our behalf, Jefferies will be deemed to be an “underwriter” within the meaning of the Securities Act and the compensation of Jefferies will be deemed to be underwriting commissions or discounts.</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We have agreed to indemnify Jefferies against certain liabilities, including liabilities under the Securities Act. We have also agreed to contribute to payments Jefferies may be required to make in respect of such liabilities.</w:t>
      </w:r>
    </w:p>
    <w:p>
      <w:pPr>
        <w:spacing w:after="0" w:line="170"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The offering of shares of common stock pursuant to the sales agreement will terminate upon the earliest of (i) the sale of all shares of common stock subject to the sales agreement and this prospectus supplement, (ii) the termination of the sales agreement according to its terms by either Jefferies or us and (iii) August 11, 2020.</w:t>
      </w:r>
    </w:p>
    <w:p>
      <w:pPr>
        <w:sectPr>
          <w:pgSz w:w="11900" w:h="16838" w:orient="portrait"/>
          <w:cols w:equalWidth="0" w:num="1">
            <w:col w:w="11420"/>
          </w:cols>
          <w:pgMar w:left="240" w:top="125" w:right="239" w:bottom="0" w:gutter="0" w:footer="0" w:header="0"/>
        </w:sectPr>
      </w:pPr>
    </w:p>
    <w:bookmarkStart w:id="22" w:name="page23"/>
    <w:bookmarkEnd w:id="22"/>
    <w:p>
      <w:pPr>
        <w:ind w:right="100" w:firstLine="441"/>
        <w:spacing w:after="0" w:line="312" w:lineRule="auto"/>
        <w:rPr>
          <w:sz w:val="20"/>
          <w:szCs w:val="20"/>
          <w:color w:val="auto"/>
        </w:rPr>
      </w:pPr>
      <w:r>
        <w:rPr>
          <w:rFonts w:ascii="Arial" w:cs="Arial" w:eastAsia="Arial" w:hAnsi="Arial"/>
          <w:sz w:val="16"/>
          <w:szCs w:val="16"/>
          <w:color w:val="auto"/>
        </w:rPr>
        <w:t>Jefferies has provided, and may in the future provide, various investment banking, commercial banking, financial advisory and other services to us and our affiliates for which services it has received, and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Selecta Biosciences, Inc. Cooley LLP, New York, New York, is counsel for Jefferies LLC in connection with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consolidated financial statements of Selecta Biosciences, Inc. incorporated by reference in Selecta Biosciences, Inc.’s Annual Report on Form 10-K for the year ended December 31, 2016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546735</wp:posOffset>
            </wp:positionV>
            <wp:extent cx="3087370" cy="866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8737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is an estimate, other than with respect to the SEC registration fee and FINRA filing fee, of the expenses (all of which are to be paid by the registrant) that we may incur in connection with the securities being registered hereby.</w:t>
      </w:r>
    </w:p>
    <w:p>
      <w:pPr>
        <w:sectPr>
          <w:pgSz w:w="11900" w:h="16838" w:orient="portrait"/>
          <w:cols w:equalWidth="0" w:num="1">
            <w:col w:w="11420"/>
          </w:cols>
          <w:pgMar w:left="240" w:top="125" w:right="239" w:bottom="32" w:gutter="0" w:footer="0" w:header="0"/>
        </w:sectPr>
      </w:pP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-121920</wp:posOffset>
            </wp:positionV>
            <wp:extent cx="434784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34784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34784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6"/>
          <w:szCs w:val="16"/>
          <w:color w:val="auto"/>
        </w:rPr>
        <w:t>Blue Sky, qualification fees and expenses</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34784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Trustee fees and expenses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Warrant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34784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5715</wp:posOffset>
            </wp:positionV>
            <wp:extent cx="434784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59" w:hanging="859"/>
        <w:spacing w:after="0"/>
        <w:tabs>
          <w:tab w:leader="none" w:pos="8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23,180</w:t>
      </w:r>
    </w:p>
    <w:p>
      <w:pPr>
        <w:spacing w:after="0" w:line="23" w:lineRule="exact"/>
        <w:rPr>
          <w:sz w:val="20"/>
          <w:szCs w:val="20"/>
          <w:color w:val="auto"/>
        </w:rPr>
      </w:pPr>
    </w:p>
    <w:p>
      <w:pPr>
        <w:ind w:left="859" w:hanging="859"/>
        <w:spacing w:after="0"/>
        <w:tabs>
          <w:tab w:leader="none" w:pos="8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30,500</w:t>
      </w:r>
    </w:p>
    <w:p>
      <w:pPr>
        <w:spacing w:after="0" w:line="9" w:lineRule="exact"/>
        <w:rPr>
          <w:sz w:val="20"/>
          <w:szCs w:val="20"/>
          <w:color w:val="auto"/>
        </w:rPr>
      </w:pPr>
    </w:p>
    <w:p>
      <w:pPr>
        <w:ind w:left="1199" w:hanging="1199"/>
        <w:spacing w:after="0"/>
        <w:tabs>
          <w:tab w:leader="none" w:pos="11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1199" w:hanging="1199"/>
        <w:spacing w:after="0"/>
        <w:tabs>
          <w:tab w:leader="none" w:pos="1199" w:val="left"/>
        </w:tabs>
        <w:numPr>
          <w:ilvl w:val="0"/>
          <w:numId w:val="35"/>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1199" w:hanging="1199"/>
        <w:spacing w:after="0"/>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1199" w:hanging="1199"/>
        <w:spacing w:after="0"/>
        <w:tabs>
          <w:tab w:leader="none" w:pos="11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1199" w:hanging="1199"/>
        <w:spacing w:after="0"/>
        <w:tabs>
          <w:tab w:leader="none" w:pos="11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1199" w:hanging="1199"/>
        <w:spacing w:after="0"/>
        <w:tabs>
          <w:tab w:leader="none" w:pos="11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1199" w:hanging="1199"/>
        <w:spacing w:after="0"/>
        <w:tabs>
          <w:tab w:leader="none" w:pos="11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color w:val="auto"/>
        </w:rPr>
      </w:pPr>
    </w:p>
    <w:p>
      <w:pPr>
        <w:ind w:left="1199" w:hanging="1199"/>
        <w:spacing w:after="0"/>
        <w:tabs>
          <w:tab w:leader="none" w:pos="11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(1)</w:t>
      </w:r>
    </w:p>
    <w:p>
      <w:pPr>
        <w:spacing w:after="0" w:line="224" w:lineRule="exact"/>
        <w:rPr>
          <w:sz w:val="20"/>
          <w:szCs w:val="20"/>
          <w:color w:val="auto"/>
        </w:rPr>
      </w:pPr>
    </w:p>
    <w:p>
      <w:pPr>
        <w:ind w:left="1199" w:hanging="1199"/>
        <w:spacing w:after="0"/>
        <w:tabs>
          <w:tab w:leader="none" w:pos="11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8578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8578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ectPr>
          <w:pgSz w:w="11900" w:h="16838" w:orient="portrait"/>
          <w:cols w:equalWidth="0" w:num="2">
            <w:col w:w="6621" w:space="720"/>
            <w:col w:w="4079"/>
          </w:cols>
          <w:pgMar w:left="240" w:top="125" w:right="239" w:bottom="32"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7"/>
          <w:szCs w:val="17"/>
          <w:color w:val="auto"/>
        </w:rPr>
        <w:t>(1)  These fees are calculated based on the securities offered and the number of issuances and accordingly cannot be estimated at this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29"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9"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Section 145 further provides that to the extent a director or officer of a corporation has been successful on the merits or otherwise in the defense of any action, suit or proceeding referred to in subsections (a) and (b) of Section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6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Our restated certificate of incorporation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5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81"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our restated certificate of incorporation, our amended and restated bylaws, any agreement, any vote of stockholders or disinterested directors or otherwise.</w:t>
      </w:r>
    </w:p>
    <w:p>
      <w:pPr>
        <w:spacing w:after="0" w:line="181"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24"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We have purchased and intend to maintain insurance on behalf of Selecta Biosciences and any person who is or was a director or officer against any loss arising from any claim asserted against him or her and incurred by him or her in that capacity, subject to certain exclusions and limits of the amount of coverage.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700" w:hanging="251"/>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125" w:right="279" w:bottom="0" w:gutter="0" w:footer="0" w:header="0"/>
        </w:sectPr>
      </w:pPr>
    </w:p>
    <w:bookmarkStart w:id="24" w:name="page25"/>
    <w:bookmarkEnd w:id="24"/>
    <w:p>
      <w:pPr>
        <w:ind w:left="1120" w:hanging="25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0"/>
        <w:spacing w:after="0"/>
        <w:tabs>
          <w:tab w:leader="none" w:pos="15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860" w:right="200" w:firstLine="450"/>
        <w:spacing w:after="0" w:line="272" w:lineRule="auto"/>
        <w:tabs>
          <w:tab w:leader="none" w:pos="1563" w:val="left"/>
        </w:tabs>
        <w:numPr>
          <w:ilvl w:val="1"/>
          <w:numId w:val="4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 and</w:t>
      </w:r>
    </w:p>
    <w:p>
      <w:pPr>
        <w:spacing w:after="0" w:line="177" w:lineRule="exact"/>
        <w:rPr>
          <w:rFonts w:ascii="Arial" w:cs="Arial" w:eastAsia="Arial" w:hAnsi="Arial"/>
          <w:sz w:val="17"/>
          <w:szCs w:val="17"/>
          <w:color w:val="auto"/>
        </w:rPr>
      </w:pPr>
    </w:p>
    <w:p>
      <w:pPr>
        <w:ind w:left="860" w:right="20" w:firstLine="450"/>
        <w:spacing w:after="0" w:line="277" w:lineRule="auto"/>
        <w:tabs>
          <w:tab w:leader="none" w:pos="16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20"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left="420" w:right="40" w:firstLine="449"/>
        <w:spacing w:after="0" w:line="264" w:lineRule="auto"/>
        <w:tabs>
          <w:tab w:leader="none" w:pos="11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20" w:right="580" w:firstLine="449"/>
        <w:spacing w:after="0" w:line="277" w:lineRule="auto"/>
        <w:tabs>
          <w:tab w:leader="none" w:pos="11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1120" w:hanging="251"/>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860" w:right="60" w:firstLine="450"/>
        <w:spacing w:after="0" w:line="277" w:lineRule="auto"/>
        <w:tabs>
          <w:tab w:leader="none" w:pos="15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600" w:hanging="290"/>
        <w:spacing w:after="0"/>
        <w:tabs>
          <w:tab w:leader="none" w:pos="16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86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right="260" w:firstLine="449"/>
        <w:spacing w:after="0" w:line="277" w:lineRule="auto"/>
        <w:tabs>
          <w:tab w:leader="none" w:pos="11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70" w:lineRule="exact"/>
        <w:rPr>
          <w:sz w:val="20"/>
          <w:szCs w:val="20"/>
          <w:color w:val="auto"/>
        </w:rPr>
      </w:pPr>
    </w:p>
    <w:p>
      <w:pPr>
        <w:ind w:left="860" w:right="80" w:firstLine="441"/>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520" w:hanging="210"/>
        <w:spacing w:after="0"/>
        <w:tabs>
          <w:tab w:leader="none" w:pos="15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860" w:right="160" w:firstLine="450"/>
        <w:spacing w:after="0" w:line="277" w:lineRule="auto"/>
        <w:tabs>
          <w:tab w:leader="none" w:pos="15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860" w:right="660" w:firstLine="450"/>
        <w:spacing w:after="0" w:line="277" w:lineRule="auto"/>
        <w:tabs>
          <w:tab w:leader="none" w:pos="161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600" w:hanging="290"/>
        <w:spacing w:after="0"/>
        <w:tabs>
          <w:tab w:leader="none" w:pos="16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rFonts w:ascii="Arial" w:cs="Arial" w:eastAsia="Arial" w:hAnsi="Arial"/>
          <w:sz w:val="18"/>
          <w:szCs w:val="18"/>
          <w:color w:val="auto"/>
        </w:rPr>
      </w:pPr>
    </w:p>
    <w:p>
      <w:pPr>
        <w:ind w:left="-20" w:right="160" w:firstLine="449"/>
        <w:spacing w:after="0" w:line="257" w:lineRule="auto"/>
        <w:tabs>
          <w:tab w:leader="none" w:pos="6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ectPr>
          <w:pgSz w:w="11900" w:h="16838" w:orient="portrait"/>
          <w:cols w:equalWidth="0" w:num="1">
            <w:col w:w="11380"/>
          </w:cols>
          <w:pgMar w:left="260" w:top="733" w:right="259" w:bottom="103" w:gutter="0" w:footer="0" w:header="0"/>
        </w:sectPr>
      </w:pPr>
    </w:p>
    <w:bookmarkStart w:id="25" w:name="page26"/>
    <w:bookmarkEnd w:id="25"/>
    <w:p>
      <w:pPr>
        <w:ind w:right="80" w:firstLine="449"/>
        <w:spacing w:after="0" w:line="254" w:lineRule="auto"/>
        <w:tabs>
          <w:tab w:leader="none" w:pos="6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660" w:hanging="211"/>
        <w:spacing w:after="0"/>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right="320" w:firstLine="8"/>
        <w:spacing w:after="0" w:line="261"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 Section 310 of the Trust Indenture Act (the “Act”) in accordance with the rules and regulations prescribed by the SEC under section 305(b)(2) of the Act.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Watertown, Massachusetts, on the 11th day of August, 2017.</w:t>
      </w:r>
    </w:p>
    <w:p>
      <w:pPr>
        <w:spacing w:after="0" w:line="39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Werner Cautreels, Ph.D.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Werner Cautreels, Ph.D. and David Siewers,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79"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4"/>
                <w:szCs w:val="14"/>
                <w:color w:val="auto"/>
              </w:rPr>
            </w:pPr>
          </w:p>
        </w:tc>
        <w:tc>
          <w:tcPr>
            <w:tcW w:w="42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140" w:type="dxa"/>
            <w:vAlign w:val="bottom"/>
          </w:tcPr>
          <w:p>
            <w:pPr>
              <w:spacing w:after="0"/>
              <w:rPr>
                <w:sz w:val="14"/>
                <w:szCs w:val="14"/>
                <w:color w:val="auto"/>
              </w:rPr>
            </w:pPr>
          </w:p>
        </w:tc>
      </w:tr>
      <w:tr>
        <w:trPr>
          <w:trHeight w:val="426"/>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Werner Cautreels, Ph.D.</w:t>
            </w:r>
          </w:p>
        </w:tc>
        <w:tc>
          <w:tcPr>
            <w:tcW w:w="478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c>
          <w:tcPr>
            <w:tcW w:w="140" w:type="dxa"/>
            <w:vAlign w:val="bottom"/>
          </w:tcPr>
          <w:p>
            <w:pPr>
              <w:spacing w:after="0"/>
              <w:rPr>
                <w:sz w:val="24"/>
                <w:szCs w:val="24"/>
                <w:color w:val="auto"/>
              </w:rPr>
            </w:pPr>
          </w:p>
        </w:tc>
      </w:tr>
      <w:tr>
        <w:trPr>
          <w:trHeight w:val="195"/>
        </w:trPr>
        <w:tc>
          <w:tcPr>
            <w:tcW w:w="3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2"/>
              </w:rPr>
              <w:t>Werner Cautreels, Ph.D.</w:t>
            </w:r>
          </w:p>
        </w:tc>
        <w:tc>
          <w:tcPr>
            <w:tcW w:w="300" w:type="dxa"/>
            <w:vAlign w:val="bottom"/>
          </w:tcPr>
          <w:p>
            <w:pPr>
              <w:spacing w:after="0"/>
              <w:rPr>
                <w:sz w:val="16"/>
                <w:szCs w:val="16"/>
                <w:color w:val="auto"/>
              </w:rPr>
            </w:pPr>
          </w:p>
        </w:tc>
        <w:tc>
          <w:tcPr>
            <w:tcW w:w="4480" w:type="dxa"/>
            <w:vAlign w:val="bottom"/>
            <w:gridSpan w:val="2"/>
          </w:tcPr>
          <w:p>
            <w:pPr>
              <w:ind w:left="580"/>
              <w:spacing w:after="0" w:line="195" w:lineRule="exact"/>
              <w:rPr>
                <w:sz w:val="20"/>
                <w:szCs w:val="20"/>
                <w:color w:val="auto"/>
              </w:rPr>
            </w:pPr>
            <w:r>
              <w:rPr>
                <w:rFonts w:ascii="Arial" w:cs="Arial" w:eastAsia="Arial" w:hAnsi="Arial"/>
                <w:sz w:val="18"/>
                <w:szCs w:val="18"/>
                <w:color w:val="auto"/>
              </w:rPr>
              <w:t>Chairman of the Board</w:t>
            </w:r>
          </w:p>
        </w:tc>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gridSpan w:val="2"/>
          </w:tcPr>
          <w:p>
            <w:pPr>
              <w:ind w:left="400"/>
              <w:spacing w:after="0"/>
              <w:rPr>
                <w:sz w:val="20"/>
                <w:szCs w:val="20"/>
                <w:color w:val="auto"/>
              </w:rPr>
            </w:pPr>
            <w:r>
              <w:rPr>
                <w:rFonts w:ascii="Arial" w:cs="Arial" w:eastAsia="Arial" w:hAnsi="Arial"/>
                <w:sz w:val="18"/>
                <w:szCs w:val="18"/>
                <w:i w:val="1"/>
                <w:iCs w:val="1"/>
                <w:color w:val="auto"/>
              </w:rPr>
              <w:t>(Principal Executive Officer)</w:t>
            </w: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Siewers</w:t>
            </w:r>
          </w:p>
        </w:tc>
        <w:tc>
          <w:tcPr>
            <w:tcW w:w="478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 and Treasurer</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c>
          <w:tcPr>
            <w:tcW w:w="140" w:type="dxa"/>
            <w:vAlign w:val="bottom"/>
          </w:tcPr>
          <w:p>
            <w:pPr>
              <w:spacing w:after="0"/>
              <w:rPr>
                <w:sz w:val="24"/>
                <w:szCs w:val="24"/>
                <w:color w:val="auto"/>
              </w:rPr>
            </w:pPr>
          </w:p>
        </w:tc>
      </w:tr>
      <w:tr>
        <w:trPr>
          <w:trHeight w:val="195"/>
        </w:trPr>
        <w:tc>
          <w:tcPr>
            <w:tcW w:w="3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0"/>
              </w:rPr>
              <w:t>David Siewers</w:t>
            </w:r>
          </w:p>
        </w:tc>
        <w:tc>
          <w:tcPr>
            <w:tcW w:w="300" w:type="dxa"/>
            <w:vAlign w:val="bottom"/>
          </w:tcPr>
          <w:p>
            <w:pPr>
              <w:spacing w:after="0"/>
              <w:rPr>
                <w:sz w:val="16"/>
                <w:szCs w:val="16"/>
                <w:color w:val="auto"/>
              </w:rPr>
            </w:pPr>
          </w:p>
        </w:tc>
        <w:tc>
          <w:tcPr>
            <w:tcW w:w="4480" w:type="dxa"/>
            <w:vAlign w:val="bottom"/>
            <w:gridSpan w:val="2"/>
          </w:tcPr>
          <w:p>
            <w:pPr>
              <w:ind w:left="140"/>
              <w:spacing w:after="0" w:line="195" w:lineRule="exact"/>
              <w:rPr>
                <w:sz w:val="20"/>
                <w:szCs w:val="20"/>
                <w:color w:val="auto"/>
              </w:rPr>
            </w:pPr>
            <w:r>
              <w:rPr>
                <w:rFonts w:ascii="Arial" w:cs="Arial" w:eastAsia="Arial" w:hAnsi="Arial"/>
                <w:sz w:val="18"/>
                <w:szCs w:val="18"/>
                <w:i w:val="1"/>
                <w:iCs w:val="1"/>
                <w:color w:val="auto"/>
              </w:rPr>
              <w:t>(Principal Accounting Officer and</w:t>
            </w:r>
          </w:p>
        </w:tc>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gridSpan w:val="2"/>
          </w:tcPr>
          <w:p>
            <w:pPr>
              <w:ind w:left="400"/>
              <w:spacing w:after="0"/>
              <w:rPr>
                <w:sz w:val="20"/>
                <w:szCs w:val="20"/>
                <w:color w:val="auto"/>
              </w:rPr>
            </w:pPr>
            <w:r>
              <w:rPr>
                <w:rFonts w:ascii="Arial" w:cs="Arial" w:eastAsia="Arial" w:hAnsi="Arial"/>
                <w:sz w:val="18"/>
                <w:szCs w:val="18"/>
                <w:i w:val="1"/>
                <w:iCs w:val="1"/>
                <w:color w:val="auto"/>
              </w:rPr>
              <w:t>Principal Financial Officer)</w:t>
            </w: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Barabe</w:t>
            </w:r>
          </w:p>
        </w:tc>
        <w:tc>
          <w:tcPr>
            <w:tcW w:w="47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c>
          <w:tcPr>
            <w:tcW w:w="140" w:type="dxa"/>
            <w:vAlign w:val="bottom"/>
          </w:tcPr>
          <w:p>
            <w:pPr>
              <w:spacing w:after="0"/>
              <w:rPr>
                <w:sz w:val="24"/>
                <w:szCs w:val="24"/>
                <w:color w:val="auto"/>
              </w:rPr>
            </w:pPr>
          </w:p>
        </w:tc>
      </w:tr>
      <w:tr>
        <w:trPr>
          <w:trHeight w:val="228"/>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2"/>
              </w:rPr>
              <w:t>Timothy Barabe</w:t>
            </w:r>
          </w:p>
        </w:tc>
        <w:tc>
          <w:tcPr>
            <w:tcW w:w="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Omid Farokhzad, M.D.</w:t>
            </w:r>
          </w:p>
        </w:tc>
        <w:tc>
          <w:tcPr>
            <w:tcW w:w="47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c>
          <w:tcPr>
            <w:tcW w:w="140" w:type="dxa"/>
            <w:vAlign w:val="bottom"/>
          </w:tcPr>
          <w:p>
            <w:pPr>
              <w:spacing w:after="0"/>
              <w:rPr>
                <w:sz w:val="24"/>
                <w:szCs w:val="24"/>
                <w:color w:val="auto"/>
              </w:rPr>
            </w:pPr>
          </w:p>
        </w:tc>
      </w:tr>
      <w:tr>
        <w:trPr>
          <w:trHeight w:val="228"/>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5"/>
              </w:rPr>
              <w:t>Omid Farokhzad, M.D.</w:t>
            </w:r>
          </w:p>
        </w:tc>
        <w:tc>
          <w:tcPr>
            <w:tcW w:w="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Barton Hutt</w:t>
            </w:r>
          </w:p>
        </w:tc>
        <w:tc>
          <w:tcPr>
            <w:tcW w:w="47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c>
          <w:tcPr>
            <w:tcW w:w="140" w:type="dxa"/>
            <w:vAlign w:val="bottom"/>
          </w:tcPr>
          <w:p>
            <w:pPr>
              <w:spacing w:after="0"/>
              <w:rPr>
                <w:sz w:val="24"/>
                <w:szCs w:val="24"/>
                <w:color w:val="auto"/>
              </w:rPr>
            </w:pPr>
          </w:p>
        </w:tc>
      </w:tr>
      <w:tr>
        <w:trPr>
          <w:trHeight w:val="228"/>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3"/>
              </w:rPr>
              <w:t>Peter Barton Hutt</w:t>
            </w:r>
          </w:p>
        </w:tc>
        <w:tc>
          <w:tcPr>
            <w:tcW w:w="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Amir Nashat, Ph.D.</w:t>
            </w:r>
          </w:p>
        </w:tc>
        <w:tc>
          <w:tcPr>
            <w:tcW w:w="47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c>
          <w:tcPr>
            <w:tcW w:w="140" w:type="dxa"/>
            <w:vAlign w:val="bottom"/>
          </w:tcPr>
          <w:p>
            <w:pPr>
              <w:spacing w:after="0"/>
              <w:rPr>
                <w:sz w:val="24"/>
                <w:szCs w:val="24"/>
                <w:color w:val="auto"/>
              </w:rPr>
            </w:pPr>
          </w:p>
        </w:tc>
      </w:tr>
      <w:tr>
        <w:trPr>
          <w:trHeight w:val="228"/>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2"/>
              </w:rPr>
              <w:t>Amir Nashat, Ph.D.</w:t>
            </w:r>
          </w:p>
        </w:tc>
        <w:tc>
          <w:tcPr>
            <w:tcW w:w="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0"/>
        </w:trPr>
        <w:tc>
          <w:tcPr>
            <w:tcW w:w="3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Aymeric Sallin</w:t>
            </w:r>
          </w:p>
        </w:tc>
        <w:tc>
          <w:tcPr>
            <w:tcW w:w="338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2480"/>
              <w:spacing w:after="0"/>
              <w:rPr>
                <w:sz w:val="20"/>
                <w:szCs w:val="20"/>
                <w:color w:val="auto"/>
              </w:rPr>
            </w:pPr>
            <w:r>
              <w:rPr>
                <w:rFonts w:ascii="Arial" w:cs="Arial" w:eastAsia="Arial" w:hAnsi="Arial"/>
                <w:sz w:val="18"/>
                <w:szCs w:val="18"/>
                <w:color w:val="auto"/>
                <w:w w:val="88"/>
              </w:rPr>
              <w:t>August 11, 2017</w:t>
            </w:r>
          </w:p>
        </w:tc>
      </w:tr>
      <w:tr>
        <w:trPr>
          <w:trHeight w:val="228"/>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1"/>
              </w:rPr>
              <w:t>Aymeric Sallin</w:t>
            </w:r>
          </w:p>
        </w:tc>
        <w:tc>
          <w:tcPr>
            <w:tcW w:w="338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1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Springer, Ph.D.</w:t>
            </w:r>
          </w:p>
        </w:tc>
        <w:tc>
          <w:tcPr>
            <w:tcW w:w="338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2480"/>
              <w:spacing w:after="0"/>
              <w:rPr>
                <w:sz w:val="20"/>
                <w:szCs w:val="20"/>
                <w:color w:val="auto"/>
              </w:rPr>
            </w:pPr>
            <w:r>
              <w:rPr>
                <w:rFonts w:ascii="Arial" w:cs="Arial" w:eastAsia="Arial" w:hAnsi="Arial"/>
                <w:sz w:val="18"/>
                <w:szCs w:val="18"/>
                <w:color w:val="auto"/>
                <w:w w:val="88"/>
              </w:rPr>
              <w:t>August 11, 2017</w:t>
            </w:r>
          </w:p>
        </w:tc>
      </w:tr>
      <w:tr>
        <w:trPr>
          <w:trHeight w:val="228"/>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2"/>
              </w:rPr>
              <w:t>Timothy Springer, Ph.D.</w:t>
            </w:r>
          </w:p>
        </w:tc>
        <w:tc>
          <w:tcPr>
            <w:tcW w:w="3380" w:type="dxa"/>
            <w:vAlign w:val="bottom"/>
          </w:tcPr>
          <w:p>
            <w:pPr>
              <w:spacing w:after="0"/>
              <w:rPr>
                <w:sz w:val="19"/>
                <w:szCs w:val="19"/>
                <w:color w:val="auto"/>
              </w:rPr>
            </w:pPr>
          </w:p>
        </w:tc>
        <w:tc>
          <w:tcPr>
            <w:tcW w:w="3660" w:type="dxa"/>
            <w:vAlign w:val="bottom"/>
          </w:tcPr>
          <w:p>
            <w:pPr>
              <w:spacing w:after="0"/>
              <w:rPr>
                <w:sz w:val="19"/>
                <w:szCs w:val="19"/>
                <w:color w:val="auto"/>
              </w:rPr>
            </w:pPr>
          </w:p>
        </w:tc>
      </w:tr>
    </w:tbl>
    <w:p>
      <w:pPr>
        <w:sectPr>
          <w:pgSz w:w="11900" w:h="16838" w:orient="portrait"/>
          <w:cols w:equalWidth="0" w:num="1">
            <w:col w:w="11460"/>
          </w:cols>
          <w:pgMar w:left="240" w:top="125" w:right="199" w:bottom="0" w:gutter="0" w:footer="0" w:header="0"/>
        </w:sectPr>
      </w:pPr>
    </w:p>
    <w:bookmarkStart w:id="26" w:name="page27"/>
    <w:bookmarkEnd w:id="26"/>
    <w:p>
      <w:pPr>
        <w:ind w:left="960"/>
        <w:spacing w:after="0"/>
        <w:tabs>
          <w:tab w:leader="none" w:pos="3480" w:val="left"/>
          <w:tab w:leader="none" w:pos="9040" w:val="left"/>
        </w:tabs>
        <w:rPr>
          <w:sz w:val="20"/>
          <w:szCs w:val="20"/>
          <w:color w:val="auto"/>
        </w:rPr>
      </w:pPr>
      <w:r>
        <w:rPr>
          <w:rFonts w:ascii="Arial" w:cs="Arial" w:eastAsia="Arial" w:hAnsi="Arial"/>
          <w:sz w:val="18"/>
          <w:szCs w:val="18"/>
          <w:color w:val="auto"/>
        </w:rPr>
        <w:t>/s/ Patrick Zenner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August 11, 2017</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Patrick Zenner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326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514"/>
        </w:trPr>
        <w:tc>
          <w:tcPr>
            <w:tcW w:w="1160" w:type="dxa"/>
            <w:vAlign w:val="bottom"/>
          </w:tcPr>
          <w:p>
            <w:pPr>
              <w:spacing w:after="0"/>
              <w:rPr>
                <w:sz w:val="20"/>
                <w:szCs w:val="20"/>
                <w:color w:val="auto"/>
              </w:rPr>
            </w:pPr>
            <w:r>
              <w:rPr>
                <w:rFonts w:ascii="Arial" w:cs="Arial" w:eastAsia="Arial" w:hAnsi="Arial"/>
                <w:sz w:val="18"/>
                <w:szCs w:val="18"/>
                <w:color w:val="auto"/>
              </w:rPr>
              <w:t>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dated as of August 11, 2017, between the Company and Jefferies LLC.</w:t>
            </w:r>
          </w:p>
        </w:tc>
        <w:tc>
          <w:tcPr>
            <w:tcW w:w="0" w:type="dxa"/>
            <w:vAlign w:val="bottom"/>
          </w:tcPr>
          <w:p>
            <w:pPr>
              <w:spacing w:after="0"/>
              <w:rPr>
                <w:sz w:val="1"/>
                <w:szCs w:val="1"/>
                <w:color w:val="auto"/>
              </w:rPr>
            </w:pPr>
          </w:p>
        </w:tc>
      </w:tr>
      <w:tr>
        <w:trPr>
          <w:trHeight w:val="336"/>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Restated Certificate of Incorporation of Selecta Biosciences, Inc., dated June 27, 2016 (incorporated by reference to Exhibit 3.1 of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(File No. 001-37798), filed with the SEC on June 29, 2016).</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Amended and Restated Bylaws of Selecta Biosciences, Inc. (incorporated by reference to Exhibit 3.2 of the Company’s Current Report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on Form 8-K (File No. 001-37798), filed with the SEC on June 29, 2016).</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Form of Specimen Certificate Representing Common Stock (incorporated by reference to Exhibit 4.2 of the Company’s Registration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Statement on Form S-1 (Reg. No. 333-211555), filed with the SEC on May 24, 2016).</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Indenture.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Note.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Statement Regarding the Computation of Ratio of Earnings to Fixed Charges and Ratio of Earnings to Combined Fixed Charges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Preferred Stock Dividends for the Years Ended December 31, 2014, 2015, and 2016 and the Six Months Ended June 30, 2017.</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Latham &amp; Watkins LLP (included in Exhibit 5.2).</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Powers of Attorney (incorporated by reference to the signature page hereto).</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Statement of Eligibility on Form T-1 under the Trust Indenture Act of 1939 of Debt Trustee (to be filed prior to any issuance of Debt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3620" w:firstLine="8"/>
        <w:spacing w:after="0" w:line="342" w:lineRule="auto"/>
        <w:tabs>
          <w:tab w:leader="none" w:pos="27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be filed by amendment or incorporated by reference in connection with the offering of the securities. ** To be filed in accordance with the requirements of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3"/>
          <w:szCs w:val="23"/>
          <w:b w:val="1"/>
          <w:bCs w:val="1"/>
          <w:color w:val="auto"/>
          <w:vertAlign w:val="superscript"/>
        </w:rPr>
        <w:t>SM</w:t>
      </w:r>
    </w:p>
    <w:p>
      <w:pPr>
        <w:spacing w:after="0" w:line="172"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August 11,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Selecta Biosciences,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the Maximum Program Amount (as defined herein)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right="440" w:firstLine="656"/>
        <w:spacing w:after="0" w:line="277" w:lineRule="auto"/>
        <w:tabs>
          <w:tab w:leader="none" w:pos="129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first-mentioned Person. The term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means the possession, direct or indirect, of the power to direct or cause the direction of the management and policies of a Person, whether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voting securities, by contract or otherwise.</w:t>
      </w:r>
    </w:p>
    <w:p>
      <w:pPr>
        <w:spacing w:after="0" w:line="180"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Period</w:t>
      </w:r>
      <w:r>
        <w:rPr>
          <w:rFonts w:ascii="Arial" w:cs="Arial" w:eastAsia="Arial" w:hAnsi="Arial"/>
          <w:sz w:val="18"/>
          <w:szCs w:val="18"/>
          <w:color w:val="auto"/>
        </w:rPr>
        <w:t xml:space="preserve">” means the period commencing on the date of this Agreement and expiring on the earliest to occur of (x) the date on which the Agent shall have placed the Maximum Program Amount pursuant to this Agreement, (y) the date this Agreement is terminated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(z) the third anniversary of the date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has the meaning set forth in the introductory paragraph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has the meaning set forth in Section 2(dd).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has the meaning set forth in Section 2(qq).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2(s)</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Floor Price</w:t>
      </w:r>
      <w:r>
        <w:rPr>
          <w:rFonts w:ascii="Arial" w:cs="Arial" w:eastAsia="Arial" w:hAnsi="Arial"/>
          <w:sz w:val="16"/>
          <w:szCs w:val="16"/>
          <w:color w:val="auto"/>
        </w:rPr>
        <w:t>” means the minimum price set by the Company in the Issuance Notice below which the Agent shall not sell Shares during the applicable Selling Period, which may be adjusted by the Company at any time during the Selling Period by delivering written notice of such change to the Agent and which in no event shall be less than $1.00 without the prior written consent of the Agent, which may be withheld in the Agent’s sole discretion.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Writing 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has the meaning set forth in Section 2(dd).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2(pp)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2(pp)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ectPr>
          <w:pgSz w:w="11900" w:h="16838" w:orient="portrait"/>
          <w:cols w:equalWidth="0" w:num="1">
            <w:col w:w="11420"/>
          </w:cols>
          <w:pgMar w:left="240" w:top="121" w:right="239" w:bottom="0" w:gutter="0" w:footer="0" w:header="0"/>
        </w:sectPr>
      </w:pPr>
    </w:p>
    <w:bookmarkStart w:id="28" w:name="page29"/>
    <w:bookmarkEnd w:id="28"/>
    <w:p>
      <w:pPr>
        <w:spacing w:after="0" w:line="3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2(bb).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Company Act</w:t>
      </w:r>
      <w:r>
        <w:rPr>
          <w:rFonts w:ascii="Arial" w:cs="Arial" w:eastAsia="Arial" w:hAnsi="Arial"/>
          <w:sz w:val="18"/>
          <w:szCs w:val="18"/>
          <w:color w:val="auto"/>
        </w:rPr>
        <w:t>” has the meaning set forth in Section 2(z).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2(o)</w:t>
      </w:r>
      <w:r>
        <w:rPr>
          <w:rFonts w:ascii="Arial" w:cs="Arial" w:eastAsia="Arial" w:hAnsi="Arial"/>
          <w:sz w:val="18"/>
          <w:szCs w:val="18"/>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$50,000,000.00.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has the meaning set forth in Section 2(ll).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Offering Amendment</w:t>
      </w:r>
      <w:r>
        <w:rPr>
          <w:rFonts w:ascii="Arial" w:cs="Arial" w:eastAsia="Arial" w:hAnsi="Arial"/>
          <w:sz w:val="18"/>
          <w:szCs w:val="18"/>
          <w:color w:val="auto"/>
        </w:rPr>
        <w:t>” means an amendment or supplement to the Registration Statement or Prospectus relating solely to the issuance or offering of securities other than the Common Shares.</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has the meaning set forth in Section 2(qq).</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2(ss)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Agencies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2(oo)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Proceedings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Date</w:t>
      </w:r>
      <w:r>
        <w:rPr>
          <w:rFonts w:ascii="Arial" w:cs="Arial" w:eastAsia="Arial" w:hAnsi="Arial"/>
          <w:sz w:val="18"/>
          <w:szCs w:val="18"/>
          <w:color w:val="auto"/>
        </w:rPr>
        <w:t xml:space="preserve">” has the meaning set forth in the introductory paragraph of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102</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4(u)</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462(b) Registration Statement</w:t>
      </w:r>
      <w:r>
        <w:rPr>
          <w:rFonts w:ascii="Arial" w:cs="Arial" w:eastAsia="Arial" w:hAnsi="Arial"/>
          <w:sz w:val="18"/>
          <w:szCs w:val="18"/>
          <w:color w:val="auto"/>
        </w:rPr>
        <w:t>” means any registration statement filed by the Company pursuant to Rule 462(b) under the Securities Act in connection with the offer and sale of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from the sale of any Shares.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Period</w:t>
      </w:r>
      <w:r>
        <w:rPr>
          <w:rFonts w:ascii="Arial" w:cs="Arial" w:eastAsia="Arial" w:hAnsi="Arial"/>
          <w:sz w:val="18"/>
          <w:szCs w:val="18"/>
          <w:color w:val="auto"/>
        </w:rPr>
        <w:t xml:space="preserve">” means the period of one (1) to twenty (20) consecutive Trading Days (as determined by the Company in the Company’s sole discretion and specified in the applicable Issuance Notice) including the Trading Day on which an Issuance Notice is delivered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xml:space="preserve">, if such notice is delivered prior to 3:00 p.m. (New York City time) and otherwise, following the Trading Day on which an Issuance Notice is delivered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80" w:lineRule="exact"/>
        <w:rPr>
          <w:sz w:val="20"/>
          <w:szCs w:val="20"/>
          <w:color w:val="auto"/>
        </w:rPr>
      </w:pPr>
    </w:p>
    <w:p>
      <w:pPr>
        <w:ind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Date</w:t>
      </w:r>
      <w:r>
        <w:rPr>
          <w:rFonts w:ascii="Arial" w:cs="Arial" w:eastAsia="Arial" w:hAnsi="Arial"/>
          <w:sz w:val="17"/>
          <w:szCs w:val="17"/>
          <w:color w:val="auto"/>
        </w:rPr>
        <w:t>” means the third business day, or, for each Trading Day on or after September 5, 2017, the second business day, following each Trading Day during the Selling Period on which Shares are sold pursuant to this Agreement, when the Company shall deliver to the Agent the amount of Shares sold on such Trading Day and the Agent shall deliver to the Company the Issuance Price received on such sales.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Common Shares issued or issuable pursuant to this Agreement.</w:t>
      </w:r>
    </w:p>
    <w:p>
      <w:pPr>
        <w:sectPr>
          <w:pgSz w:w="11900" w:h="16870" w:orient="portrait"/>
          <w:cols w:equalWidth="0" w:num="1">
            <w:col w:w="11360"/>
          </w:cols>
          <w:pgMar w:left="240" w:top="337" w:right="299" w:bottom="0" w:gutter="0" w:footer="0" w:header="0"/>
        </w:sectPr>
      </w:pPr>
    </w:p>
    <w:bookmarkStart w:id="29" w:name="page30"/>
    <w:bookmarkEnd w:id="29"/>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3(b)(v)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Event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each Settlement Date, (4)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firstLine="8"/>
        <w:spacing w:after="0" w:line="323"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Time of Sale (each of the times referenced above is referred to herein as a “</w:t>
      </w:r>
      <w:r>
        <w:rPr>
          <w:rFonts w:ascii="Arial" w:cs="Arial" w:eastAsia="Arial" w:hAnsi="Arial"/>
          <w:sz w:val="16"/>
          <w:szCs w:val="16"/>
          <w:b w:val="1"/>
          <w:bCs w:val="1"/>
          <w:color w:val="auto"/>
        </w:rPr>
        <w:t>Representation Date</w:t>
      </w:r>
      <w:r>
        <w:rPr>
          <w:rFonts w:ascii="Arial" w:cs="Arial" w:eastAsia="Arial" w:hAnsi="Arial"/>
          <w:sz w:val="16"/>
          <w:szCs w:val="16"/>
          <w:color w:val="auto"/>
        </w:rPr>
        <w:t>”), except as may be disclosed in the Time of Sale Information (including the Prospectus and any documents incorporated by reference therein and any supplements thereto) on or before a Representation Date:</w:t>
      </w:r>
    </w:p>
    <w:p>
      <w:pPr>
        <w:spacing w:after="0" w:line="138" w:lineRule="exact"/>
        <w:rPr>
          <w:rFonts w:ascii="Arial" w:cs="Arial" w:eastAsia="Arial" w:hAnsi="Arial"/>
          <w:sz w:val="16"/>
          <w:szCs w:val="16"/>
          <w:color w:val="auto"/>
        </w:rPr>
      </w:pPr>
    </w:p>
    <w:p>
      <w:pPr>
        <w:ind w:right="20" w:firstLine="656"/>
        <w:spacing w:after="0" w:line="291" w:lineRule="auto"/>
        <w:tabs>
          <w:tab w:leader="none" w:pos="1294"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prepare and file with the Commission a shelf registration statement on Form S-3 (or a successor registration statement on such form pertaining to the Shares to be sold pursuant to this Agreement) that contains a base prospectus relating to the issuance and sale of Shares under this Agreement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together with any prospectus supplement filed with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7"/>
          <w:szCs w:val="17"/>
          <w:b w:val="1"/>
          <w:bCs w:val="1"/>
          <w:color w:val="auto"/>
        </w:rPr>
        <w:t>Prospectus</w:t>
      </w:r>
      <w:r>
        <w:rPr>
          <w:rFonts w:ascii="Arial" w:cs="Arial" w:eastAsia="Arial" w:hAnsi="Arial"/>
          <w:sz w:val="17"/>
          <w:szCs w:val="17"/>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7"/>
          <w:szCs w:val="17"/>
          <w:b w:val="1"/>
          <w:bCs w:val="1"/>
          <w:color w:val="auto"/>
        </w:rPr>
        <w:t>Prospectus</w:t>
      </w:r>
      <w:r>
        <w:rPr>
          <w:rFonts w:ascii="Arial" w:cs="Arial" w:eastAsia="Arial" w:hAnsi="Arial"/>
          <w:sz w:val="17"/>
          <w:szCs w:val="17"/>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7"/>
          <w:szCs w:val="17"/>
          <w:b w:val="1"/>
          <w:bCs w:val="1"/>
          <w:color w:val="auto"/>
        </w:rPr>
        <w:t>Original Registration Statement</w:t>
      </w:r>
      <w:r>
        <w:rPr>
          <w:rFonts w:ascii="Arial" w:cs="Arial" w:eastAsia="Arial" w:hAnsi="Arial"/>
          <w:sz w:val="17"/>
          <w:szCs w:val="17"/>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IDEA.</w:t>
      </w:r>
    </w:p>
    <w:p>
      <w:pPr>
        <w:spacing w:after="0" w:line="18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the Company met or will meet the then-applicable requirements for use of Form S-3 under the Securities Act. During the Agency Period, each time the Company has filed or files an annual report on Form 10-K the Company will meet the then-applicable requirements for use of Form S-3 under the Securities Act, including, but not limited to, General Instruction I.B.1 thereto.</w:t>
      </w:r>
    </w:p>
    <w:p>
      <w:pPr>
        <w:spacing w:after="0" w:line="187" w:lineRule="exact"/>
        <w:rPr>
          <w:sz w:val="20"/>
          <w:szCs w:val="20"/>
          <w:color w:val="auto"/>
        </w:rPr>
      </w:pPr>
    </w:p>
    <w:p>
      <w:pPr>
        <w:ind w:right="200" w:firstLine="656"/>
        <w:spacing w:after="0" w:line="276" w:lineRule="auto"/>
        <w:tabs>
          <w:tab w:leader="none" w:pos="130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Original Registration Statement has been and any Rule 462(b) Registration Statement will have been or will be declared effective by the Commission under the Securities Act.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Prospectus when filed complied in all material respects with the Securities Act and, if filed by electronic transmission pursuant to Interactive Data Electronic Applications (“</w:t>
      </w:r>
      <w:r>
        <w:rPr>
          <w:rFonts w:ascii="Arial" w:cs="Arial" w:eastAsia="Arial" w:hAnsi="Arial"/>
          <w:sz w:val="17"/>
          <w:szCs w:val="17"/>
          <w:b w:val="1"/>
          <w:bCs w:val="1"/>
          <w:color w:val="auto"/>
        </w:rPr>
        <w:t>IDEA</w:t>
      </w:r>
      <w:r>
        <w:rPr>
          <w:rFonts w:ascii="Arial" w:cs="Arial" w:eastAsia="Arial" w:hAnsi="Arial"/>
          <w:sz w:val="17"/>
          <w:szCs w:val="17"/>
          <w:color w:val="auto"/>
        </w:rPr>
        <w:t>”) (except as may be permitted by Regulation S-T under the Securities Act), was identical to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copy thereof delivered to the Agent for use in connection with the issuance and sale of the Shares. Each of the Registration Statement, any</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Rule 462(b) Registration Statement and any post-effective amendment thereto, at the time it became effective and at each Representation Date, complied and will comply, as the case may be, in all material respects with the Securities Act and did not and will not, as the case may be,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considered together do not contain any untrue statement of a material fact or omit to state a material fact necessary to make the statements therein, in the light of the circumstances under which they were made, not misleading. The</w:t>
      </w:r>
    </w:p>
    <w:p>
      <w:pPr>
        <w:sectPr>
          <w:pgSz w:w="11900" w:h="16935" w:orient="portrait"/>
          <w:cols w:equalWidth="0" w:num="1">
            <w:col w:w="11380"/>
          </w:cols>
          <w:pgMar w:left="240" w:top="337" w:right="279" w:bottom="0" w:gutter="0" w:footer="0" w:header="0"/>
        </w:sectPr>
      </w:pPr>
    </w:p>
    <w:bookmarkStart w:id="30" w:name="page31"/>
    <w:bookmarkEnd w:id="30"/>
    <w:p>
      <w:pPr>
        <w:ind w:right="80"/>
        <w:spacing w:after="0" w:line="271" w:lineRule="auto"/>
        <w:rPr>
          <w:sz w:val="20"/>
          <w:szCs w:val="20"/>
          <w:color w:val="auto"/>
        </w:rPr>
      </w:pPr>
      <w:r>
        <w:rPr>
          <w:rFonts w:ascii="Arial" w:cs="Arial" w:eastAsia="Arial" w:hAnsi="Arial"/>
          <w:sz w:val="17"/>
          <w:szCs w:val="17"/>
          <w:color w:val="auto"/>
        </w:rPr>
        <w:t xml:space="preserve">Prospectus as of its date and at each Representation Date, does not and will not, as the case may be,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Free Writing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The Registration Statement and the offer and sale of the Shares as contemplated hereby meet the requirements of Rule 415 under the Securities Act and comply in all material respects with said Rule.</w:t>
      </w:r>
    </w:p>
    <w:p>
      <w:pPr>
        <w:spacing w:after="0" w:line="179" w:lineRule="exact"/>
        <w:rPr>
          <w:sz w:val="20"/>
          <w:szCs w:val="20"/>
          <w:color w:val="auto"/>
        </w:rPr>
      </w:pPr>
    </w:p>
    <w:p>
      <w:pPr>
        <w:ind w:firstLine="656"/>
        <w:spacing w:after="0" w:line="288" w:lineRule="auto"/>
        <w:tabs>
          <w:tab w:leader="none" w:pos="130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as the case may be, in all material respects with the requirements of Rule 433 under the Securities Act, including timely filing with the Commission or retention where required and legending pursuant to Rule 433 under the Securities Act,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as then amended and supplemented. Except for the Free Writing Prospectuses, if any, and electronic road shows related to the offering of Shares, if any, in each case, furnished to you before first use, the Company has not prepared, used or referred to, and will not, without your prior consent, prepare, use or refer to, any Free Writing Prospectus.</w:t>
      </w:r>
    </w:p>
    <w:p>
      <w:pPr>
        <w:spacing w:after="0" w:line="169" w:lineRule="exact"/>
        <w:rPr>
          <w:rFonts w:ascii="Arial" w:cs="Arial" w:eastAsia="Arial" w:hAnsi="Arial"/>
          <w:sz w:val="16"/>
          <w:szCs w:val="16"/>
          <w:color w:val="auto"/>
        </w:rPr>
      </w:pPr>
    </w:p>
    <w:p>
      <w:pPr>
        <w:ind w:right="80" w:firstLine="656"/>
        <w:spacing w:after="0" w:line="264"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0" w:lineRule="exact"/>
        <w:rPr>
          <w:sz w:val="20"/>
          <w:szCs w:val="20"/>
          <w:color w:val="auto"/>
        </w:rPr>
      </w:pPr>
    </w:p>
    <w:p>
      <w:pPr>
        <w:ind w:firstLine="656"/>
        <w:spacing w:after="0" w:line="255" w:lineRule="auto"/>
        <w:tabs>
          <w:tab w:leader="none" w:pos="130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related thereto complied or will comply, at the time of such filing or effectiveness, in all material respects with the requirements of the Exchange Act, and, when read together with the other information in the Prospectus, at the time the Registration Statement and any amendments thereto become effective and at each Representation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EGC Status</w:t>
      </w:r>
      <w:r>
        <w:rPr>
          <w:rFonts w:ascii="Arial" w:cs="Arial" w:eastAsia="Arial" w:hAnsi="Arial"/>
          <w:sz w:val="18"/>
          <w:szCs w:val="18"/>
          <w:color w:val="auto"/>
        </w:rPr>
        <w:t>. The Company qualifies as an emerging growth company, as defined in Section 2(a)(19) of the Securities Act.</w:t>
      </w:r>
    </w:p>
    <w:p>
      <w:pPr>
        <w:spacing w:after="0" w:line="225" w:lineRule="exact"/>
        <w:rPr>
          <w:rFonts w:ascii="Arial" w:cs="Arial" w:eastAsia="Arial" w:hAnsi="Arial"/>
          <w:sz w:val="18"/>
          <w:szCs w:val="18"/>
          <w:color w:val="auto"/>
        </w:rPr>
      </w:pPr>
    </w:p>
    <w:p>
      <w:pPr>
        <w:ind w:right="80" w:firstLine="656"/>
        <w:spacing w:after="0" w:line="264" w:lineRule="auto"/>
        <w:tabs>
          <w:tab w:leader="none" w:pos="131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The statistical and market-related data included in the Registration Statement and the Prospectus are based on or derived from sources that the Company believes to be reliable and accurate or represent the Company’s good faith estimates that are made on the basis of data derived from such sources.</w:t>
      </w:r>
    </w:p>
    <w:p>
      <w:pPr>
        <w:spacing w:after="0" w:line="181" w:lineRule="exact"/>
        <w:rPr>
          <w:rFonts w:ascii="Arial" w:cs="Arial" w:eastAsia="Arial" w:hAnsi="Arial"/>
          <w:sz w:val="18"/>
          <w:szCs w:val="18"/>
          <w:color w:val="auto"/>
        </w:rPr>
      </w:pPr>
    </w:p>
    <w:p>
      <w:pPr>
        <w:ind w:right="20" w:firstLine="656"/>
        <w:spacing w:after="0" w:line="286" w:lineRule="auto"/>
        <w:tabs>
          <w:tab w:leader="none" w:pos="1304"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 Deficiencies in or Changes to Internal Control Over Financial Reporting</w:t>
      </w:r>
      <w:r>
        <w:rPr>
          <w:rFonts w:ascii="Arial" w:cs="Arial" w:eastAsia="Arial" w:hAnsi="Arial"/>
          <w:sz w:val="16"/>
          <w:szCs w:val="16"/>
          <w:color w:val="auto"/>
        </w:rPr>
        <w:t>. The Company has established and maintains “disclosure controls and procedures” (as defined in Exchange Act Rules 13a-15(e) and 15d-15(e)), that (i) are designed to ensure that material information relating to the Company, including its consolidated subsidiaries, is made known to the Company’s principal executive officer and its principal financial officer by others within those entities; (ii) have been evaluated by management of the Company as required under the Exchange Act; and</w:t>
      </w:r>
    </w:p>
    <w:p>
      <w:pPr>
        <w:spacing w:after="0" w:line="1" w:lineRule="exact"/>
        <w:rPr>
          <w:rFonts w:ascii="Arial" w:cs="Arial" w:eastAsia="Arial" w:hAnsi="Arial"/>
          <w:sz w:val="16"/>
          <w:szCs w:val="16"/>
          <w:color w:val="auto"/>
        </w:rPr>
      </w:pPr>
    </w:p>
    <w:p>
      <w:pPr>
        <w:ind w:right="20" w:firstLine="8"/>
        <w:spacing w:after="0" w:line="288" w:lineRule="auto"/>
        <w:tabs>
          <w:tab w:leader="none" w:pos="3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are effective in all material respects to perform the functions for which they were established. Based on the most recent evaluation of its disclosure controls and procedures, except as disclosed to the Agent prior to the applicable Representation Date, the Company is not aware of (i) any significant deficiencies or material weaknesses in the design or operation of internal control over financial reporting that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Except as disclosed to the Agent prior to the applicable Representation Date, the Company is not aware of any significant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8" w:lineRule="exact"/>
        <w:rPr>
          <w:rFonts w:ascii="Arial" w:cs="Arial" w:eastAsia="Arial" w:hAnsi="Arial"/>
          <w:sz w:val="16"/>
          <w:szCs w:val="16"/>
          <w:color w:val="auto"/>
        </w:rPr>
      </w:pPr>
    </w:p>
    <w:p>
      <w:pPr>
        <w:ind w:right="640" w:firstLine="656"/>
        <w:spacing w:after="0" w:line="308" w:lineRule="auto"/>
        <w:tabs>
          <w:tab w:leader="none" w:pos="1318"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The Agreement</w:t>
      </w:r>
      <w:r>
        <w:rPr>
          <w:rFonts w:ascii="Arial" w:cs="Arial" w:eastAsia="Arial" w:hAnsi="Arial"/>
          <w:sz w:val="17"/>
          <w:szCs w:val="17"/>
          <w:color w:val="auto"/>
        </w:rPr>
        <w:t>. This Agreement has been duly authorized, executed and delivered by, and is a valid and binding agreement of, the Company, enforceable in accordance with its terms, except as rights to indemnification hereunder may be limited by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except as the enforcement hereof may be limited by bankruptcy, insolvency, reorganization, moratorium or other similar laws relating to or affecting the rights and remedies of creditors or by general equitable principles.</w:t>
      </w:r>
    </w:p>
    <w:p>
      <w:pPr>
        <w:spacing w:after="0" w:line="170" w:lineRule="exact"/>
        <w:rPr>
          <w:sz w:val="20"/>
          <w:szCs w:val="20"/>
          <w:color w:val="auto"/>
        </w:rPr>
      </w:pPr>
    </w:p>
    <w:p>
      <w:pPr>
        <w:ind w:right="20" w:firstLine="656"/>
        <w:spacing w:after="0" w:line="259" w:lineRule="auto"/>
        <w:tabs>
          <w:tab w:leader="none" w:pos="130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Authorization of the Shares</w:t>
      </w:r>
      <w:r>
        <w:rPr>
          <w:rFonts w:ascii="Arial" w:cs="Arial" w:eastAsia="Arial" w:hAnsi="Arial"/>
          <w:sz w:val="18"/>
          <w:szCs w:val="18"/>
          <w:color w:val="auto"/>
        </w:rPr>
        <w:t>. The Shares have been duly authorized for issuance and sale pursuant to this Agreement and, when issued and delivered by the Company pursuant to this Agreement against payment of the consideration therefor specified hereunder, will be validly issued, fully paid and nonassessable, and the issuance and sale of the Shares is not subject to any preemptive rights, rights of first refusal or other similar rights to subscribe for or purchase the Shares.</w:t>
      </w:r>
    </w:p>
    <w:p>
      <w:pPr>
        <w:spacing w:after="0" w:line="186" w:lineRule="exact"/>
        <w:rPr>
          <w:rFonts w:ascii="Arial" w:cs="Arial" w:eastAsia="Arial" w:hAnsi="Arial"/>
          <w:sz w:val="18"/>
          <w:szCs w:val="18"/>
          <w:color w:val="auto"/>
        </w:rPr>
      </w:pPr>
    </w:p>
    <w:p>
      <w:pPr>
        <w:jc w:val="both"/>
        <w:ind w:right="280" w:firstLine="656"/>
        <w:spacing w:after="0" w:line="264" w:lineRule="auto"/>
        <w:tabs>
          <w:tab w:leader="none" w:pos="130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of the Company registered for sale under the Registration Statement or included in the offering contemplated by this Agreement, except for such rights as have been duly waived.</w:t>
      </w:r>
    </w:p>
    <w:p>
      <w:pPr>
        <w:sectPr>
          <w:pgSz w:w="11900" w:h="16838" w:orient="portrait"/>
          <w:cols w:equalWidth="0" w:num="1">
            <w:col w:w="11400"/>
          </w:cols>
          <w:pgMar w:left="240" w:top="125" w:right="259" w:bottom="0" w:gutter="0" w:footer="0" w:header="0"/>
        </w:sectPr>
      </w:pPr>
    </w:p>
    <w:bookmarkStart w:id="31" w:name="page32"/>
    <w:bookmarkEnd w:id="31"/>
    <w:p>
      <w:pPr>
        <w:spacing w:after="0" w:line="92" w:lineRule="exact"/>
        <w:rPr>
          <w:sz w:val="20"/>
          <w:szCs w:val="20"/>
          <w:color w:val="auto"/>
        </w:rPr>
      </w:pPr>
    </w:p>
    <w:p>
      <w:pPr>
        <w:ind w:right="80" w:firstLine="656"/>
        <w:spacing w:after="0" w:line="264" w:lineRule="auto"/>
        <w:tabs>
          <w:tab w:leader="none" w:pos="131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whose report on the consolidated financial statements of the Company and the Subsidiaries is included in the Registration Statement and the Prospectus, are independent registered public accountants as required by the Securities Act and the rules of the Public Company Accounting Oversight Board.</w:t>
      </w:r>
    </w:p>
    <w:p>
      <w:pPr>
        <w:spacing w:after="0" w:line="181" w:lineRule="exact"/>
        <w:rPr>
          <w:rFonts w:ascii="Arial" w:cs="Arial" w:eastAsia="Arial" w:hAnsi="Arial"/>
          <w:sz w:val="18"/>
          <w:szCs w:val="18"/>
          <w:color w:val="auto"/>
        </w:rPr>
      </w:pPr>
    </w:p>
    <w:p>
      <w:pPr>
        <w:ind w:firstLine="656"/>
        <w:spacing w:after="0" w:line="273"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an authorized and outstanding capitalization as set forth in the sections of the Registration Statement and the Prospectus entitled “Capitalization” and “Description of Capital Stock” (subject to the issuance of Common Shares upon exercise of stock options and warrants disclosed as outstanding in the Registration Statement and the Prospectus and the grant of options under existing stock option plans described in the Registration Statement and the Prospectus); all of the issued and outstanding shares of capital stock of the Company, including the Common Shares, have been duly authorized and validly issued and are fully paid and non-assessable, have been issued in compliance with all applicable securities laws and were not issued in violation of any preemptive right, resale right, right of first refusal or similar right.</w:t>
      </w:r>
    </w:p>
    <w:p>
      <w:pPr>
        <w:spacing w:after="0" w:line="178" w:lineRule="exact"/>
        <w:rPr>
          <w:rFonts w:ascii="Arial" w:cs="Arial" w:eastAsia="Arial" w:hAnsi="Arial"/>
          <w:sz w:val="17"/>
          <w:szCs w:val="17"/>
          <w:color w:val="auto"/>
        </w:rPr>
      </w:pPr>
    </w:p>
    <w:p>
      <w:pPr>
        <w:ind w:right="180" w:firstLine="656"/>
        <w:spacing w:after="0" w:line="312" w:lineRule="auto"/>
        <w:tabs>
          <w:tab w:leader="none" w:pos="130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Good Standing of Company</w:t>
      </w:r>
      <w:r>
        <w:rPr>
          <w:rFonts w:ascii="Arial" w:cs="Arial" w:eastAsia="Arial" w:hAnsi="Arial"/>
          <w:sz w:val="16"/>
          <w:szCs w:val="16"/>
          <w:color w:val="auto"/>
        </w:rPr>
        <w:t>. 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and the Prospectus, and to execute and deliver this Agreement and to issue, sell and deliver the Shares as contemplated herein.</w:t>
      </w:r>
    </w:p>
    <w:p>
      <w:pPr>
        <w:spacing w:after="0" w:line="146" w:lineRule="exact"/>
        <w:rPr>
          <w:rFonts w:ascii="Arial" w:cs="Arial" w:eastAsia="Arial" w:hAnsi="Arial"/>
          <w:sz w:val="16"/>
          <w:szCs w:val="16"/>
          <w:color w:val="auto"/>
        </w:rPr>
      </w:pPr>
    </w:p>
    <w:p>
      <w:pPr>
        <w:ind w:right="140" w:firstLine="656"/>
        <w:spacing w:after="0" w:line="273" w:lineRule="auto"/>
        <w:tabs>
          <w:tab w:leader="none" w:pos="130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Foreign Qualification of Company</w:t>
      </w:r>
      <w:r>
        <w:rPr>
          <w:rFonts w:ascii="Arial" w:cs="Arial" w:eastAsia="Arial" w:hAnsi="Arial"/>
          <w:sz w:val="17"/>
          <w:szCs w:val="17"/>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taken as a whole, (ii) prevent or materially interfere with consummation of the transactions contemplated hereby or (iii) result in the delisting of the Common Shares from the Nasdaq Global Market (the occurrence of any such effect or any such prevention or interference or any such result described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 the foregoing clauses (i), (ii) and (iii) being herein referred to as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85" w:lineRule="auto"/>
        <w:tabs>
          <w:tab w:leader="none" w:pos="1304"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Good Standing and Foreign Qualification of Subsidiaries</w:t>
      </w:r>
      <w:r>
        <w:rPr>
          <w:rFonts w:ascii="Arial" w:cs="Arial" w:eastAsia="Arial" w:hAnsi="Arial"/>
          <w:sz w:val="16"/>
          <w:szCs w:val="16"/>
          <w:color w:val="auto"/>
        </w:rPr>
        <w:t>. The Company has no subsidiaries (as defined under the Securities Act) other than Selecta (RUS) Limited Liability Company and Selecta Biosciences Security Corporation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of the Company and each Subsidiary and all amendments thereto have been delivered to you (including by being made available through IDEA);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each “significant subsidiary” of the Company, as that term is defined in Rule 1-02(w) of Regulation S-X under the Securities Act, is listed in Exhibit 21.1 to the Company’s registration statement on Form S-1 (or otherwise in a subsequent filing available on IDEA).</w:t>
      </w:r>
    </w:p>
    <w:p>
      <w:pPr>
        <w:spacing w:after="0" w:line="175" w:lineRule="exact"/>
        <w:rPr>
          <w:rFonts w:ascii="Arial" w:cs="Arial" w:eastAsia="Arial" w:hAnsi="Arial"/>
          <w:sz w:val="16"/>
          <w:szCs w:val="16"/>
          <w:color w:val="auto"/>
        </w:rPr>
      </w:pPr>
    </w:p>
    <w:p>
      <w:pPr>
        <w:ind w:right="80" w:firstLine="656"/>
        <w:spacing w:after="0" w:line="277" w:lineRule="auto"/>
        <w:tabs>
          <w:tab w:leader="none" w:pos="130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Description of Capital Stock</w:t>
      </w:r>
      <w:r>
        <w:rPr>
          <w:rFonts w:ascii="Arial" w:cs="Arial" w:eastAsia="Arial" w:hAnsi="Arial"/>
          <w:sz w:val="18"/>
          <w:szCs w:val="18"/>
          <w:color w:val="auto"/>
        </w:rPr>
        <w:t>. The capital stock of the Company, including the Shares, conforms in all material respects to each description thereof, if any, contained in the Registration Statement and the Prospectus.</w:t>
      </w:r>
    </w:p>
    <w:p>
      <w:pPr>
        <w:spacing w:after="0" w:line="170" w:lineRule="exact"/>
        <w:rPr>
          <w:rFonts w:ascii="Arial" w:cs="Arial" w:eastAsia="Arial" w:hAnsi="Arial"/>
          <w:sz w:val="18"/>
          <w:szCs w:val="18"/>
          <w:color w:val="auto"/>
        </w:rPr>
      </w:pPr>
    </w:p>
    <w:p>
      <w:pPr>
        <w:ind w:firstLine="656"/>
        <w:spacing w:after="0" w:line="272" w:lineRule="auto"/>
        <w:tabs>
          <w:tab w:leader="none" w:pos="131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effected, or (C) any U.S. or Russian federal, state, local or foreign law, regulation or rule, or (D) any rule or regulation of any self-regulatory organization or other non-governmental regulatory authority having jurisdiction over the Company 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Subsidiaries (including, without limitation, the rules and regulations of the Nasdaq Global Market),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 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or Russian federal, state, local or foreign law, regulation or rule, or (D) any rule or regulation of any self-regulatory organization or other non-governmental regulatory authority having jurisdiction over the Company or the Shares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ectPr>
          <w:pgSz w:w="11900" w:h="16931" w:orient="portrait"/>
          <w:cols w:equalWidth="0" w:num="1">
            <w:col w:w="11400"/>
          </w:cols>
          <w:pgMar w:left="240" w:top="125" w:right="259" w:bottom="0" w:gutter="0" w:footer="0" w:header="0"/>
        </w:sectPr>
      </w:pPr>
    </w:p>
    <w:bookmarkStart w:id="32" w:name="page33"/>
    <w:bookmarkEnd w:id="32"/>
    <w:p>
      <w:pPr>
        <w:spacing w:after="0" w:line="105" w:lineRule="exact"/>
        <w:rPr>
          <w:sz w:val="20"/>
          <w:szCs w:val="20"/>
          <w:color w:val="auto"/>
        </w:rPr>
      </w:pPr>
    </w:p>
    <w:p>
      <w:pPr>
        <w:ind w:right="20" w:firstLine="656"/>
        <w:spacing w:after="0" w:line="269" w:lineRule="auto"/>
        <w:tabs>
          <w:tab w:leader="none" w:pos="1311"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No Further Authorizations or Approvals Required</w:t>
      </w:r>
      <w:r>
        <w:rPr>
          <w:rFonts w:ascii="Arial" w:cs="Arial" w:eastAsia="Arial" w:hAnsi="Arial"/>
          <w:sz w:val="17"/>
          <w:szCs w:val="17"/>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Shares or the consummation by the Company of the transactions contemplated hereby, other than (i) the registration of the Shares under the Securities Act ,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Agent, (iii) under the Conduct Rules of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(iv) any listing applications and related consents or any notices required by the Nasdaq Global Market in the ordinary course of the offering of the Shares or (v) filings with the Commission pursuant to Rule 424(b) under the Securities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No Preemptive or Similar Rights</w:t>
      </w:r>
      <w:r>
        <w:rPr>
          <w:rFonts w:ascii="Arial" w:cs="Arial" w:eastAsia="Arial" w:hAnsi="Arial"/>
          <w:sz w:val="16"/>
          <w:szCs w:val="16"/>
          <w:color w:val="auto"/>
        </w:rPr>
        <w:t>. Except as described in the Registration Statement and the Prospectus or as otherwise have been waived</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person has the right, contractual or otherwise, to cause the Company to issue or sell to it any Common Shares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of any other capital stock or other equity interests of the Company, (ii) no person has any preemptive rights, resale rights, rights of first refusal or other rights to purchase any Common Shares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Securities Act any Common Shares or shares of any other capital stock of or other equity interests in the Company or to include any such shares or interests in the Registration Statement or the offering contemplated thereby other than those that have been otherwise waived.</w:t>
      </w:r>
    </w:p>
    <w:p>
      <w:pPr>
        <w:spacing w:after="0" w:line="193" w:lineRule="exact"/>
        <w:rPr>
          <w:sz w:val="20"/>
          <w:szCs w:val="20"/>
          <w:color w:val="auto"/>
        </w:rPr>
      </w:pPr>
    </w:p>
    <w:p>
      <w:pPr>
        <w:ind w:right="100" w:firstLine="656"/>
        <w:spacing w:after="0" w:line="290" w:lineRule="auto"/>
        <w:tabs>
          <w:tab w:leader="none" w:pos="130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and the Prospectus or where such violation, default, revocation or adverse modification would not, individually or in the aggregate, reasonably be expected to have a Material Adverse Effect.</w:t>
      </w:r>
    </w:p>
    <w:p>
      <w:pPr>
        <w:spacing w:after="0" w:line="166" w:lineRule="exact"/>
        <w:rPr>
          <w:rFonts w:ascii="Arial" w:cs="Arial" w:eastAsia="Arial" w:hAnsi="Arial"/>
          <w:sz w:val="16"/>
          <w:szCs w:val="16"/>
          <w:color w:val="auto"/>
        </w:rPr>
      </w:pPr>
    </w:p>
    <w:p>
      <w:pPr>
        <w:ind w:right="300" w:firstLine="656"/>
        <w:spacing w:after="0" w:line="255" w:lineRule="auto"/>
        <w:tabs>
          <w:tab w:leader="none" w:pos="130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Disclosure of Proceedings</w:t>
      </w:r>
      <w:r>
        <w:rPr>
          <w:rFonts w:ascii="Arial" w:cs="Arial" w:eastAsia="Arial" w:hAnsi="Arial"/>
          <w:sz w:val="18"/>
          <w:szCs w:val="18"/>
          <w:color w:val="auto"/>
        </w:rPr>
        <w:t>. Except as described in the Registration Statement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93" w:lineRule="exact"/>
        <w:rPr>
          <w:rFonts w:ascii="Arial" w:cs="Arial" w:eastAsia="Arial" w:hAnsi="Arial"/>
          <w:sz w:val="18"/>
          <w:szCs w:val="18"/>
          <w:color w:val="auto"/>
        </w:rPr>
      </w:pPr>
    </w:p>
    <w:p>
      <w:pPr>
        <w:ind w:firstLine="656"/>
        <w:spacing w:after="0" w:line="254" w:lineRule="auto"/>
        <w:tabs>
          <w:tab w:leader="none" w:pos="131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included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Securities Act and the Exchange Act and in conformity with United States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applied on a consistent basis during the periods involved, and all adjustments necessary for a fair presentation of results for such periods have been made; all pro forma financial information included in the Registration Statement and the Prospectus presents fairly in all material respects the information shown therein, has been prepared in accordance with the provisions of the Securities Act and the Rules and Regulations with respect to pro forma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financial information, has been properly compiled on the pro forma bases described therein in accordance with the provisions of the Securities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or the Prospectus that are not included as required; the Company and the Subsidiaries do not have any material liabilities or obligations, direct or contingent (including any off-balance sheet obligations), that are not described in the Registration Statement and the Prospectus; and any disclosures contained in the Registration Statement and the Prospectus that constitute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69" w:lineRule="exact"/>
        <w:rPr>
          <w:sz w:val="20"/>
          <w:szCs w:val="20"/>
          <w:color w:val="auto"/>
        </w:rPr>
      </w:pPr>
    </w:p>
    <w:p>
      <w:pPr>
        <w:jc w:val="both"/>
        <w:ind w:firstLine="656"/>
        <w:spacing w:after="0" w:line="286" w:lineRule="auto"/>
        <w:tabs>
          <w:tab w:leader="none" w:pos="1304"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Stock Option Grants</w:t>
      </w:r>
      <w:r>
        <w:rPr>
          <w:rFonts w:ascii="Arial" w:cs="Arial" w:eastAsia="Arial" w:hAnsi="Arial"/>
          <w:sz w:val="16"/>
          <w:szCs w:val="16"/>
          <w:color w:val="auto"/>
        </w:rPr>
        <w:t>. Except as disclosed in the Registration Statement and the Prospectus, each stock option granted under any stock option plan of the Company or any Subsidiary (each, a “</w:t>
      </w:r>
      <w:r>
        <w:rPr>
          <w:rFonts w:ascii="Arial" w:cs="Arial" w:eastAsia="Arial" w:hAnsi="Arial"/>
          <w:sz w:val="16"/>
          <w:szCs w:val="16"/>
          <w:b w:val="1"/>
          <w:bCs w:val="1"/>
          <w:color w:val="auto"/>
        </w:rPr>
        <w:t>Stock Plan</w:t>
      </w:r>
      <w:r>
        <w:rPr>
          <w:rFonts w:ascii="Arial" w:cs="Arial" w:eastAsia="Arial" w:hAnsi="Arial"/>
          <w:sz w:val="16"/>
          <w:szCs w:val="16"/>
          <w:color w:val="auto"/>
        </w:rPr>
        <w:t>”) was granted with a per share exercise price no less than the fair market value per Common Share,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w:t>
      </w:r>
    </w:p>
    <w:p>
      <w:pPr>
        <w:spacing w:after="0" w:line="1" w:lineRule="exact"/>
        <w:rPr>
          <w:rFonts w:ascii="Arial" w:cs="Arial" w:eastAsia="Arial" w:hAnsi="Arial"/>
          <w:sz w:val="16"/>
          <w:szCs w:val="16"/>
          <w:color w:val="auto"/>
        </w:rPr>
      </w:pPr>
    </w:p>
    <w:p>
      <w:pPr>
        <w:jc w:val="both"/>
        <w:ind w:right="140"/>
        <w:spacing w:after="0" w:line="302" w:lineRule="auto"/>
        <w:rPr>
          <w:rFonts w:ascii="Arial" w:cs="Arial" w:eastAsia="Arial" w:hAnsi="Arial"/>
          <w:sz w:val="16"/>
          <w:szCs w:val="16"/>
          <w:color w:val="auto"/>
        </w:rPr>
      </w:pPr>
      <w:r>
        <w:rPr>
          <w:rFonts w:ascii="Arial" w:cs="Arial" w:eastAsia="Arial" w:hAnsi="Arial"/>
          <w:sz w:val="16"/>
          <w:szCs w:val="16"/>
          <w:color w:val="auto"/>
        </w:rPr>
        <w:t>Section 424(d)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no less than 110% of the fair market value per Common Share, on the grant date of such option, as determined by the Company’s board of directors, and no such grant involved any “back-dating,” “forward-dating” or similar practice with respect to the effective date of such grant; except as would not, individually or in the aggregate, reasonably be expected to have a Material Adverse</w:t>
      </w:r>
    </w:p>
    <w:p>
      <w:pPr>
        <w:sectPr>
          <w:pgSz w:w="11900" w:h="16944" w:orient="portrait"/>
          <w:cols w:equalWidth="0" w:num="1">
            <w:col w:w="11420"/>
          </w:cols>
          <w:pgMar w:left="240" w:top="341" w:right="239" w:bottom="0" w:gutter="0" w:footer="0" w:header="0"/>
        </w:sectPr>
      </w:pPr>
    </w:p>
    <w:bookmarkStart w:id="33" w:name="page34"/>
    <w:bookmarkEnd w:id="33"/>
    <w:p>
      <w:pPr>
        <w:spacing w:after="0" w:line="1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87" w:lineRule="exact"/>
        <w:rPr>
          <w:sz w:val="20"/>
          <w:szCs w:val="20"/>
          <w:color w:val="auto"/>
        </w:rPr>
      </w:pPr>
    </w:p>
    <w:p>
      <w:pPr>
        <w:ind w:right="120" w:firstLine="656"/>
        <w:spacing w:after="0" w:line="286" w:lineRule="auto"/>
        <w:tabs>
          <w:tab w:leader="none" w:pos="130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set forth or contemplated in, or subsequently incorporated by reference into, the Registration Statement or the Prospectus, subsequent to the respective dates as of which information is given in the Registration Statement and the Prospectus, there has not been (i) any material adverse change, or any development involving a prospective material adverse change, in the business, properties, management, financial condition or results of operations of the Company and the Subsidiaries taken as a whole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61"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which is material to the Company and the Subsidiaries taken as a whole, (iii) any obligation or liability, direct or contingent (including any off-balance sheet obligations), incurred by the Company or any Subsidiary, which is material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(as the same may be amended, restated or replaced), and as described in the Registration Statement and the Prospectus, the issuance of Common Shares upon exercise of stock options and warrants described as outstanding in the Registration Statement and the Prospectus, the grant in the ordinary course of business of awards under equity incentive plans described in the Registration Statement and the Prospectus and the repurchase by the Company or forfeiture of shares of common stock by the holder thereof pursuant to the terms of equity awards described as outstanding in the Registration Statement and the Prospectus) or</w:t>
      </w:r>
    </w:p>
    <w:p>
      <w:pPr>
        <w:spacing w:after="0" w:line="5"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dividend or distribution of any kind declared, paid or made on the capital stock of the Company or any Subsidiary.</w:t>
      </w:r>
    </w:p>
    <w:p>
      <w:pPr>
        <w:spacing w:after="0" w:line="210" w:lineRule="exact"/>
        <w:rPr>
          <w:rFonts w:ascii="Arial" w:cs="Arial" w:eastAsia="Arial" w:hAnsi="Arial"/>
          <w:sz w:val="18"/>
          <w:szCs w:val="18"/>
          <w:color w:val="auto"/>
        </w:rPr>
      </w:pPr>
    </w:p>
    <w:p>
      <w:pPr>
        <w:ind w:right="60" w:firstLine="656"/>
        <w:spacing w:after="0" w:line="259" w:lineRule="auto"/>
        <w:tabs>
          <w:tab w:leader="none" w:pos="130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Subsidiary is and, after giving effect to the offering and sale of the Shares and the application of the proceeds thereof, neither the Company nor any Subsidiary will be, an “investment company” or an entity “controlled” by an “investment company,” as such terms are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or a “passive foreign investment company” or a “controlled foreign corporation,” as such terms are defined in the Code.</w:t>
      </w:r>
    </w:p>
    <w:p>
      <w:pPr>
        <w:spacing w:after="0" w:line="187" w:lineRule="exact"/>
        <w:rPr>
          <w:sz w:val="20"/>
          <w:szCs w:val="20"/>
          <w:color w:val="auto"/>
        </w:rPr>
      </w:pPr>
    </w:p>
    <w:p>
      <w:pPr>
        <w:ind w:right="100" w:firstLine="656"/>
        <w:spacing w:after="0" w:line="270" w:lineRule="auto"/>
        <w:tabs>
          <w:tab w:leader="none" w:pos="127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the Subsidiaries own any real property; the Company and each of the Subsidiaries have good and marketable title to all tangible personal property described in the Registration Statement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81" w:lineRule="exact"/>
        <w:rPr>
          <w:rFonts w:ascii="Arial" w:cs="Arial" w:eastAsia="Arial" w:hAnsi="Arial"/>
          <w:sz w:val="17"/>
          <w:szCs w:val="17"/>
          <w:color w:val="auto"/>
        </w:rPr>
      </w:pPr>
    </w:p>
    <w:p>
      <w:pPr>
        <w:ind w:right="60" w:firstLine="656"/>
        <w:spacing w:after="0" w:line="271" w:lineRule="auto"/>
        <w:tabs>
          <w:tab w:leader="none" w:pos="129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disclosed in the Registration Statement and the Prospectus, the Company and the Subsidiaries own, or have obtained valid and enforceable licenses for, or other rights to use, the patent applications, patents, trademarks, trademark registrations, tradenames, service marks, copyrights, trade secrets and other unpatented and/or unpatentable proprietary information necessary for, or used in the conduct, or the proposed conduct, of the business of the Company and its Subsidiaries taken as a whole in the manner described in the Registration Statement and the Prospectus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as such failure to own or obtain rights would not result in a Material Adverse Effect; except as disclosed in the Registration Statement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and the Prospectus, in the current or proposed conduct of the businesses of the Company in the manner and to the extent described in the Registration Statement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6"/>
          <w:szCs w:val="16"/>
          <w:b w:val="1"/>
          <w:bCs w:val="1"/>
          <w:color w:val="auto"/>
        </w:rPr>
        <w:t>USPTO</w:t>
      </w:r>
      <w:r>
        <w:rPr>
          <w:rFonts w:ascii="Arial" w:cs="Arial" w:eastAsia="Arial" w:hAnsi="Arial"/>
          <w:sz w:val="16"/>
          <w:szCs w:val="16"/>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w:t>
      </w:r>
    </w:p>
    <w:p>
      <w:pPr>
        <w:spacing w:after="0" w:line="168" w:lineRule="exact"/>
        <w:rPr>
          <w:sz w:val="20"/>
          <w:szCs w:val="20"/>
          <w:color w:val="auto"/>
        </w:rPr>
      </w:pPr>
    </w:p>
    <w:p>
      <w:pPr>
        <w:jc w:val="both"/>
        <w:ind w:right="80" w:firstLine="656"/>
        <w:spacing w:after="0" w:line="312" w:lineRule="auto"/>
        <w:tabs>
          <w:tab w:leader="none" w:pos="130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Labor Matters</w:t>
      </w:r>
      <w:r>
        <w:rPr>
          <w:rFonts w:ascii="Arial" w:cs="Arial" w:eastAsia="Arial" w:hAnsi="Arial"/>
          <w:sz w:val="16"/>
          <w:szCs w:val="16"/>
          <w:color w:val="auto"/>
        </w:rPr>
        <w:t>.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w:t>
      </w:r>
    </w:p>
    <w:p>
      <w:pPr>
        <w:sectPr>
          <w:pgSz w:w="11900" w:h="16952" w:orient="portrait"/>
          <w:cols w:equalWidth="0" w:num="1">
            <w:col w:w="11420"/>
          </w:cols>
          <w:pgMar w:left="240" w:top="125" w:right="239" w:bottom="0" w:gutter="0" w:footer="0" w:header="0"/>
        </w:sectPr>
      </w:pPr>
    </w:p>
    <w:bookmarkStart w:id="34" w:name="page35"/>
    <w:bookmarkEnd w:id="34"/>
    <w:p>
      <w:pPr>
        <w:ind w:right="60"/>
        <w:spacing w:after="0" w:line="342" w:lineRule="auto"/>
        <w:rPr>
          <w:sz w:val="20"/>
          <w:szCs w:val="20"/>
          <w:color w:val="auto"/>
        </w:rPr>
      </w:pPr>
      <w:r>
        <w:rPr>
          <w:rFonts w:ascii="Arial" w:cs="Arial" w:eastAsia="Arial" w:hAnsi="Arial"/>
          <w:sz w:val="16"/>
          <w:szCs w:val="16"/>
          <w:color w:val="auto"/>
        </w:rPr>
        <w:t>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24" w:lineRule="exact"/>
        <w:rPr>
          <w:sz w:val="20"/>
          <w:szCs w:val="20"/>
          <w:color w:val="auto"/>
        </w:rPr>
      </w:pPr>
    </w:p>
    <w:p>
      <w:pPr>
        <w:ind w:right="440" w:firstLine="656"/>
        <w:spacing w:after="0" w:line="308" w:lineRule="auto"/>
        <w:tabs>
          <w:tab w:leader="none" w:pos="1299"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Environmental Matters</w:t>
      </w:r>
      <w:r>
        <w:rPr>
          <w:rFonts w:ascii="Arial" w:cs="Arial" w:eastAsia="Arial" w:hAnsi="Arial"/>
          <w:sz w:val="17"/>
          <w:szCs w:val="17"/>
          <w:color w:val="auto"/>
        </w:rPr>
        <w:t>. The Company and the Subsidiaries are in compliance with, and hold all permits, authorizations and approvals required under, Environmental Laws (as defined below), except to the extent that failure to so comply or to hold such permits,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“Hazardous Materials” means any material (including, without limitation, pollutants, contaminants, hazardous or toxic substances or wastes) that is regulated by or may give rise to liability under any Environmental Law).</w:t>
      </w:r>
    </w:p>
    <w:p>
      <w:pPr>
        <w:spacing w:after="0" w:line="169" w:lineRule="exact"/>
        <w:rPr>
          <w:sz w:val="20"/>
          <w:szCs w:val="20"/>
          <w:color w:val="auto"/>
        </w:rPr>
      </w:pPr>
    </w:p>
    <w:p>
      <w:pPr>
        <w:ind w:right="260" w:firstLine="656"/>
        <w:spacing w:after="0" w:line="302" w:lineRule="auto"/>
        <w:tabs>
          <w:tab w:leader="none" w:pos="130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Except as described in the Registration Statement and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54" w:lineRule="exact"/>
        <w:rPr>
          <w:rFonts w:ascii="Arial" w:cs="Arial" w:eastAsia="Arial" w:hAnsi="Arial"/>
          <w:sz w:val="16"/>
          <w:szCs w:val="16"/>
          <w:color w:val="auto"/>
        </w:rPr>
      </w:pPr>
    </w:p>
    <w:p>
      <w:pPr>
        <w:ind w:firstLine="656"/>
        <w:spacing w:after="0" w:line="255" w:lineRule="auto"/>
        <w:tabs>
          <w:tab w:leader="none" w:pos="129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Insurance Matters</w:t>
      </w:r>
      <w:r>
        <w:rPr>
          <w:rFonts w:ascii="Arial" w:cs="Arial" w:eastAsia="Arial" w:hAnsi="Arial"/>
          <w:sz w:val="18"/>
          <w:szCs w:val="18"/>
          <w:color w:val="auto"/>
        </w:rPr>
        <w:t>. 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its business; to the Company’s knowledge, all such insurance is fully in force on the date hereof;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89" w:lineRule="exact"/>
        <w:rPr>
          <w:rFonts w:ascii="Arial" w:cs="Arial" w:eastAsia="Arial" w:hAnsi="Arial"/>
          <w:sz w:val="18"/>
          <w:szCs w:val="18"/>
          <w:color w:val="auto"/>
        </w:rPr>
      </w:pPr>
    </w:p>
    <w:p>
      <w:pPr>
        <w:ind w:right="60" w:firstLine="656"/>
        <w:spacing w:after="0" w:line="259" w:lineRule="auto"/>
        <w:tabs>
          <w:tab w:leader="none" w:pos="132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Notices</w:t>
      </w:r>
      <w:r>
        <w:rPr>
          <w:rFonts w:ascii="Arial" w:cs="Arial" w:eastAsia="Arial" w:hAnsi="Arial"/>
          <w:sz w:val="18"/>
          <w:szCs w:val="18"/>
          <w:color w:val="auto"/>
        </w:rPr>
        <w:t>. Except as referred to or described in the Registration Statement or the Prospectus, neither the Company nor any Subsidiary has sent or received any communication regarding termination of, or intent not to renew, any of the contracts or agreements referred to or described in the Registration Statement or the Prospectus, and no such termination or non-renewal has been threatened by the Company or any Subsidiary or, to the Company’s knowledge, any counterparty to any such contract or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0" w:lineRule="auto"/>
        <w:tabs>
          <w:tab w:leader="none" w:pos="1299"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controls.</w:t>
      </w:r>
    </w:p>
    <w:p>
      <w:pPr>
        <w:spacing w:after="0" w:line="177" w:lineRule="exact"/>
        <w:rPr>
          <w:rFonts w:ascii="Arial" w:cs="Arial" w:eastAsia="Arial" w:hAnsi="Arial"/>
          <w:sz w:val="17"/>
          <w:szCs w:val="17"/>
          <w:color w:val="auto"/>
        </w:rPr>
      </w:pPr>
    </w:p>
    <w:p>
      <w:pPr>
        <w:ind w:right="80" w:firstLine="656"/>
        <w:spacing w:after="0" w:line="264" w:lineRule="auto"/>
        <w:tabs>
          <w:tab w:leader="none" w:pos="132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Sarbanes-Oxley Compliance</w:t>
      </w:r>
      <w:r>
        <w:rPr>
          <w:rFonts w:ascii="Arial" w:cs="Arial" w:eastAsia="Arial" w:hAnsi="Arial"/>
          <w:sz w:val="18"/>
          <w:szCs w:val="18"/>
          <w:color w:val="auto"/>
        </w:rPr>
        <w: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81" w:lineRule="exact"/>
        <w:rPr>
          <w:rFonts w:ascii="Arial" w:cs="Arial" w:eastAsia="Arial" w:hAnsi="Arial"/>
          <w:sz w:val="18"/>
          <w:szCs w:val="18"/>
          <w:color w:val="auto"/>
        </w:rPr>
      </w:pPr>
    </w:p>
    <w:p>
      <w:pPr>
        <w:ind w:right="100" w:firstLine="656"/>
        <w:spacing w:after="0" w:line="342" w:lineRule="auto"/>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Each “forward-looking statement” (within the meaning of Section 27A of the Securities Act or Section 21E of the Exchange Act) contained in the Registration Statement and the Prospectus has been made or reaffirmed with a reasonable basis and in good faith.</w:t>
      </w:r>
    </w:p>
    <w:p>
      <w:pPr>
        <w:spacing w:after="0" w:line="123" w:lineRule="exact"/>
        <w:rPr>
          <w:rFonts w:ascii="Arial" w:cs="Arial" w:eastAsia="Arial" w:hAnsi="Arial"/>
          <w:sz w:val="16"/>
          <w:szCs w:val="16"/>
          <w:color w:val="auto"/>
        </w:rPr>
      </w:pPr>
    </w:p>
    <w:p>
      <w:pPr>
        <w:ind w:right="20" w:firstLine="656"/>
        <w:spacing w:after="0" w:line="297" w:lineRule="auto"/>
        <w:tabs>
          <w:tab w:leader="none" w:pos="129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FCPA, etc</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158" w:lineRule="exact"/>
        <w:rPr>
          <w:rFonts w:ascii="Arial" w:cs="Arial" w:eastAsia="Arial" w:hAnsi="Arial"/>
          <w:sz w:val="16"/>
          <w:szCs w:val="16"/>
          <w:color w:val="auto"/>
        </w:rPr>
      </w:pPr>
    </w:p>
    <w:p>
      <w:pPr>
        <w:ind w:right="100" w:firstLine="656"/>
        <w:spacing w:after="0" w:line="273" w:lineRule="auto"/>
        <w:tabs>
          <w:tab w:leader="none" w:pos="1327"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ectPr>
          <w:pgSz w:w="11900" w:h="16838" w:orient="portrait"/>
          <w:cols w:equalWidth="0" w:num="1">
            <w:col w:w="11400"/>
          </w:cols>
          <w:pgMar w:left="240" w:top="125" w:right="259" w:bottom="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56"/>
        <w:spacing w:after="0" w:line="291" w:lineRule="auto"/>
        <w:tabs>
          <w:tab w:leader="none" w:pos="1291"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currently subject to or has been subject in the last three</w:t>
      </w:r>
    </w:p>
    <w:p>
      <w:pPr>
        <w:ind w:right="160" w:firstLine="8"/>
        <w:spacing w:after="0" w:line="253"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years to any sanctions administered or enforced by the Office of Foreign Assets Control of the U.S. Treasury Department, the United Nations Security Council, the European Union, Her Majesty’s Treasury or any other relevant sanctions authority and the Company will not directly or indirectly use the proceeds of the offering of the Shares contemplated hereby, or lend, contribute or otherwise make available such proceeds to any Subsidiary, joint venture partner or other person or entity for the purpose of financing the activities of any person currently subject to any sanctions administered or enforced by such authorities.</w:t>
      </w:r>
    </w:p>
    <w:p>
      <w:pPr>
        <w:spacing w:after="0" w:line="191" w:lineRule="exact"/>
        <w:rPr>
          <w:rFonts w:ascii="Arial" w:cs="Arial" w:eastAsia="Arial" w:hAnsi="Arial"/>
          <w:sz w:val="18"/>
          <w:szCs w:val="18"/>
          <w:color w:val="auto"/>
        </w:rPr>
      </w:pPr>
    </w:p>
    <w:p>
      <w:pPr>
        <w:ind w:right="60" w:firstLine="656"/>
        <w:spacing w:after="0" w:line="259" w:lineRule="auto"/>
        <w:tabs>
          <w:tab w:leader="none" w:pos="1299"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No Dividend Restrictions</w:t>
      </w:r>
      <w:r>
        <w:rPr>
          <w:rFonts w:ascii="Arial" w:cs="Arial" w:eastAsia="Arial" w:hAnsi="Arial"/>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and the Prospectus.</w:t>
      </w:r>
    </w:p>
    <w:p>
      <w:pPr>
        <w:spacing w:after="0" w:line="186" w:lineRule="exact"/>
        <w:rPr>
          <w:rFonts w:ascii="Arial" w:cs="Arial" w:eastAsia="Arial" w:hAnsi="Arial"/>
          <w:sz w:val="18"/>
          <w:szCs w:val="18"/>
          <w:color w:val="auto"/>
        </w:rPr>
      </w:pPr>
    </w:p>
    <w:p>
      <w:pPr>
        <w:ind w:right="40" w:firstLine="656"/>
        <w:spacing w:after="0" w:line="268" w:lineRule="auto"/>
        <w:tabs>
          <w:tab w:leader="none" w:pos="1299"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Health Regulatory Compliance</w:t>
      </w:r>
      <w:r>
        <w:rPr>
          <w:rFonts w:ascii="Arial" w:cs="Arial" w:eastAsia="Arial" w:hAnsi="Arial"/>
          <w:sz w:val="17"/>
          <w:szCs w:val="17"/>
          <w:color w:val="auto"/>
        </w:rPr>
        <w:t>. The preclinical and clinical studies conducted by or, to the Company’s knowledge, on behalf of the Company that are described in, or the results of which are referred to in, the Registration Statement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and the Prospectus; and except as disclosed in the Registration Statement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adverse modification of any clinical trials that are described or referred to in the Registration Statement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87" w:lineRule="exact"/>
        <w:rPr>
          <w:rFonts w:ascii="Arial" w:cs="Arial" w:eastAsia="Arial" w:hAnsi="Arial"/>
          <w:sz w:val="17"/>
          <w:szCs w:val="17"/>
          <w:color w:val="auto"/>
        </w:rPr>
      </w:pPr>
    </w:p>
    <w:p>
      <w:pPr>
        <w:ind w:right="100" w:firstLine="656"/>
        <w:spacing w:after="0" w:line="279" w:lineRule="auto"/>
        <w:tabs>
          <w:tab w:leader="none" w:pos="1299"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Compliance with Health Care Laws.</w:t>
      </w:r>
      <w:r>
        <w:rPr>
          <w:rFonts w:ascii="Arial" w:cs="Arial" w:eastAsia="Arial" w:hAnsi="Arial"/>
          <w:sz w:val="17"/>
          <w:szCs w:val="17"/>
          <w:color w:val="auto"/>
        </w:rPr>
        <w:t xml:space="preserve"> The Company and the Subsidiaries are, and since January 1, 2013 have been, in compliance with all applicable Health Care Laws except where failure to be in compliance would not be expected reasonably to have a Material Adverse Effect. For purposes of this Agreement, “</w:t>
      </w:r>
      <w:r>
        <w:rPr>
          <w:rFonts w:ascii="Arial" w:cs="Arial" w:eastAsia="Arial" w:hAnsi="Arial"/>
          <w:sz w:val="17"/>
          <w:szCs w:val="17"/>
          <w:b w:val="1"/>
          <w:bCs w:val="1"/>
          <w:color w:val="auto"/>
        </w:rPr>
        <w:t>Health Care Laws</w:t>
      </w:r>
      <w:r>
        <w:rPr>
          <w:rFonts w:ascii="Arial" w:cs="Arial" w:eastAsia="Arial" w:hAnsi="Arial"/>
          <w:sz w:val="17"/>
          <w:szCs w:val="17"/>
          <w:color w:val="auto"/>
        </w:rPr>
        <w:t>” means: (i) the Federal Food, Drug, and Cosmetic Act (21 U.S.C. §§ 301 et seq.), and the regulations promulgated thereunder; (ii) all applicable federal, state, local and foreign health care related fraud and abuse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w:t>
      </w:r>
    </w:p>
    <w:p>
      <w:pPr>
        <w:ind w:right="180" w:firstLine="8"/>
        <w:spacing w:after="0" w:line="281" w:lineRule="auto"/>
        <w:tabs>
          <w:tab w:leader="none" w:pos="2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1320d et seq.), the Civil Monetary Penalties Law (42 U.S.C. § 1320a-7a), the exclusion laws (42 U.S.C. § 1320a-7), the Medicare statute (Title XVIII of the Social Security Act), and the Medicaid statute (Title XIX of the Social Security Act) and the regulations promulgated pursuant to such statutes;</w:t>
      </w:r>
    </w:p>
    <w:p>
      <w:pPr>
        <w:spacing w:after="0" w:line="1"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175" w:lineRule="exact"/>
        <w:rPr>
          <w:rFonts w:ascii="Arial" w:cs="Arial" w:eastAsia="Arial" w:hAnsi="Arial"/>
          <w:sz w:val="16"/>
          <w:szCs w:val="16"/>
          <w:color w:val="auto"/>
        </w:rPr>
      </w:pPr>
    </w:p>
    <w:p>
      <w:pPr>
        <w:ind w:right="140" w:firstLine="656"/>
        <w:spacing w:after="0" w:line="272" w:lineRule="auto"/>
        <w:tabs>
          <w:tab w:leader="none" w:pos="1299"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ERISA Matters</w:t>
      </w:r>
      <w:r>
        <w:rPr>
          <w:rFonts w:ascii="Arial" w:cs="Arial" w:eastAsia="Arial" w:hAnsi="Arial"/>
          <w:sz w:val="17"/>
          <w:szCs w:val="17"/>
          <w:color w:val="auto"/>
        </w:rPr>
        <w:t>. 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“Controlled Group” (defined as any organization that is a member of a controlled group of corporations within the meaning of Section 414 of the Code, including its subsidiaries, would have liability (each a “</w:t>
      </w:r>
      <w:r>
        <w:rPr>
          <w:rFonts w:ascii="Arial" w:cs="Arial" w:eastAsia="Arial" w:hAnsi="Arial"/>
          <w:sz w:val="17"/>
          <w:szCs w:val="17"/>
          <w:b w:val="1"/>
          <w:bCs w:val="1"/>
          <w:color w:val="auto"/>
        </w:rPr>
        <w:t>Plan</w:t>
      </w:r>
      <w:r>
        <w:rPr>
          <w:rFonts w:ascii="Arial" w:cs="Arial" w:eastAsia="Arial" w:hAnsi="Arial"/>
          <w:sz w:val="17"/>
          <w:szCs w:val="17"/>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80" w:gutter="0" w:footer="0" w:header="0"/>
        </w:sectPr>
      </w:pPr>
    </w:p>
    <w:bookmarkStart w:id="36" w:name="page37"/>
    <w:bookmarkEnd w:id="36"/>
    <w:p>
      <w:pPr>
        <w:ind w:right="80"/>
        <w:spacing w:after="0" w:line="257" w:lineRule="auto"/>
        <w:rPr>
          <w:sz w:val="20"/>
          <w:szCs w:val="20"/>
          <w:color w:val="auto"/>
        </w:rPr>
      </w:pPr>
      <w:r>
        <w:rPr>
          <w:rFonts w:ascii="Arial" w:cs="Arial" w:eastAsia="Arial" w:hAnsi="Arial"/>
          <w:sz w:val="18"/>
          <w:szCs w:val="18"/>
          <w:color w:val="auto"/>
        </w:rPr>
        <w:t>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188" w:lineRule="exact"/>
        <w:rPr>
          <w:sz w:val="20"/>
          <w:szCs w:val="20"/>
          <w:color w:val="auto"/>
        </w:rPr>
      </w:pPr>
    </w:p>
    <w:p>
      <w:pPr>
        <w:ind w:right="40" w:firstLine="656"/>
        <w:spacing w:after="0" w:line="259" w:lineRule="auto"/>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of the Exchange Act and are listed on the Nasdaq Global Market, and the Company has taken no action designed to, or likely to have the effect of, terminating the registration of the Common Shares under the Exchange Act or delisting the Common Shares from the Nasdaq Global Market, nor has the Company received any notification that the Commission or the Nasdaq Global Market is contemplating terminating such registration or listing.</w:t>
      </w:r>
    </w:p>
    <w:p>
      <w:pPr>
        <w:spacing w:after="0" w:line="186" w:lineRule="exact"/>
        <w:rPr>
          <w:rFonts w:ascii="Arial" w:cs="Arial" w:eastAsia="Arial" w:hAnsi="Arial"/>
          <w:sz w:val="18"/>
          <w:szCs w:val="18"/>
          <w:color w:val="auto"/>
        </w:rPr>
      </w:pPr>
    </w:p>
    <w:p>
      <w:pPr>
        <w:ind w:right="20" w:firstLine="656"/>
        <w:spacing w:after="0" w:line="255" w:lineRule="auto"/>
        <w:tabs>
          <w:tab w:leader="none" w:pos="131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 Compliance with Regulation M</w:t>
      </w:r>
      <w:r>
        <w:rPr>
          <w:rFonts w:ascii="Arial" w:cs="Arial" w:eastAsia="Arial" w:hAnsi="Arial"/>
          <w:sz w:val="18"/>
          <w:szCs w:val="18"/>
          <w:color w:val="auto"/>
        </w:rPr>
        <w:t>. The Company has not taken, directly or indirectly, any action designed to or that might be reasonably expected to cause or result in stabilization or manipulation of the price of the Common Shares or any other “reference security” (as defined in Rule 100 of Regulation M under the 1934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Shares or otherwise, and has taken no action which would directly or indirectly violate Regulation M. The Company acknowledges that the Agent may engage in passive market making transactions in the Shares on the Nasdaq Global Market in accordance with Regulation M. The Common Shares are “actively traded securities” (as defined in Regulation M).</w:t>
      </w:r>
    </w:p>
    <w:p>
      <w:pPr>
        <w:spacing w:after="0" w:line="193" w:lineRule="exact"/>
        <w:rPr>
          <w:rFonts w:ascii="Arial" w:cs="Arial" w:eastAsia="Arial" w:hAnsi="Arial"/>
          <w:sz w:val="18"/>
          <w:szCs w:val="18"/>
          <w:color w:val="auto"/>
        </w:rPr>
      </w:pPr>
    </w:p>
    <w:p>
      <w:pPr>
        <w:ind w:right="100" w:firstLine="656"/>
        <w:spacing w:after="0" w:line="264"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To the Company’s knowledge, neither the Company nor, to the Company’s knowledge, any of its Affiliates directly, or indirectly through one or more intermediaries, controls, or is controlled by, or is under common control with, or is a person associated with any member firm of FINRA.</w:t>
      </w:r>
    </w:p>
    <w:p>
      <w:pPr>
        <w:spacing w:after="0" w:line="181" w:lineRule="exact"/>
        <w:rPr>
          <w:rFonts w:ascii="Arial" w:cs="Arial" w:eastAsia="Arial" w:hAnsi="Arial"/>
          <w:sz w:val="18"/>
          <w:szCs w:val="18"/>
          <w:color w:val="auto"/>
        </w:rPr>
      </w:pPr>
    </w:p>
    <w:p>
      <w:pPr>
        <w:ind w:right="320" w:firstLine="656"/>
        <w:spacing w:after="0" w:line="264" w:lineRule="auto"/>
        <w:tabs>
          <w:tab w:leader="none" w:pos="129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Registration Statement and the Prospectus, there is no broker, finder or other party that is entitled to receive from the Company any brokerage or finder’s fee or other fee or commission as a result of any transactions contemplated by this Agreement.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1"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ind w:right="120" w:firstLine="656"/>
        <w:spacing w:after="0" w:line="259" w:lineRule="auto"/>
        <w:tabs>
          <w:tab w:leader="none" w:pos="12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20" w:firstLine="645"/>
        <w:spacing w:after="0" w:line="288" w:lineRule="auto"/>
        <w:tabs>
          <w:tab w:leader="none" w:pos="1568"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(I) the sum of</w:t>
      </w:r>
    </w:p>
    <w:p>
      <w:pPr>
        <w:ind w:left="660" w:right="40" w:hanging="4"/>
        <w:spacing w:after="0" w:line="252" w:lineRule="auto"/>
        <w:tabs>
          <w:tab w:leader="none" w:pos="9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aggregate Sales Price of the requested Issuance Amount, plus (y) the aggregate Sales Price of all Shares issued under all previous Issuance Notices effected pursuant to this Agreement, would exceed the Maximum Program Amount; and (B) prior to delivery of any Issuance Notice, the Selling Period for any previous Issuance Notice shall have expired or been terminated. An Issuance Notice shall be considered delivered on the Trading Day that it is received by e-mail to the persons so identified in writing by the Agent and confirmed by the Company by telephone (including a voicemail message to the persons so identified), with the understanding that, with adequate prior written notice, the Agent may modify the list of such persons from time to time.</w:t>
      </w:r>
    </w:p>
    <w:p>
      <w:pPr>
        <w:spacing w:after="0" w:line="194" w:lineRule="exact"/>
        <w:rPr>
          <w:rFonts w:ascii="Arial" w:cs="Arial" w:eastAsia="Arial" w:hAnsi="Arial"/>
          <w:sz w:val="18"/>
          <w:szCs w:val="18"/>
          <w:color w:val="auto"/>
        </w:rPr>
      </w:pPr>
    </w:p>
    <w:p>
      <w:pPr>
        <w:ind w:left="660" w:right="20" w:firstLine="645"/>
        <w:spacing w:after="0" w:line="297" w:lineRule="auto"/>
        <w:tabs>
          <w:tab w:leader="none" w:pos="1987"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58" w:lineRule="exact"/>
        <w:rPr>
          <w:rFonts w:ascii="Arial" w:cs="Arial" w:eastAsia="Arial" w:hAnsi="Arial"/>
          <w:sz w:val="16"/>
          <w:szCs w:val="16"/>
          <w:color w:val="auto"/>
        </w:rPr>
      </w:pPr>
    </w:p>
    <w:p>
      <w:pPr>
        <w:ind w:left="660" w:right="80" w:firstLine="645"/>
        <w:spacing w:after="0" w:line="276" w:lineRule="auto"/>
        <w:tabs>
          <w:tab w:leader="none" w:pos="1997"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Method of Offer and Sale</w:t>
      </w:r>
      <w:r>
        <w:rPr>
          <w:rFonts w:ascii="Arial" w:cs="Arial" w:eastAsia="Arial" w:hAnsi="Arial"/>
          <w:sz w:val="17"/>
          <w:szCs w:val="17"/>
          <w:color w:val="auto"/>
        </w:rPr>
        <w:t>. The Shares may be offered and sold by any method or payment permitted by law deemed to be an “at the market” offering as defined in Rule 415(a)(4) under the Securities Act, including sales made directly on the Principal Market or any other existing trading market of the Common Shares. Nothing in this Agreement shall be deemed to require either party to agree to the method of offer and sale specified in the preceding sentence, and the method of placement of any Shares by the Agent shall be at the Agent’s discretion. If expressly authorized by the Company in an Issuance Notice, Agent may also sell Shares in negotiated transactions.</w:t>
      </w:r>
    </w:p>
    <w:p>
      <w:pPr>
        <w:spacing w:after="0" w:line="172" w:lineRule="exact"/>
        <w:rPr>
          <w:rFonts w:ascii="Arial" w:cs="Arial" w:eastAsia="Arial" w:hAnsi="Arial"/>
          <w:sz w:val="17"/>
          <w:szCs w:val="17"/>
          <w:color w:val="auto"/>
        </w:rPr>
      </w:pPr>
    </w:p>
    <w:p>
      <w:pPr>
        <w:ind w:left="660" w:right="80" w:firstLine="645"/>
        <w:spacing w:after="0" w:line="277" w:lineRule="auto"/>
        <w:tabs>
          <w:tab w:leader="none" w:pos="1973"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Confirmation to the Company</w:t>
      </w:r>
      <w:r>
        <w:rPr>
          <w:rFonts w:ascii="Arial" w:cs="Arial" w:eastAsia="Arial" w:hAnsi="Arial"/>
          <w:sz w:val="18"/>
          <w:szCs w:val="18"/>
          <w:color w:val="auto"/>
        </w:rPr>
        <w:t>. If acting as sales agent hereunder, the Agent will provide written confirmation to the Company no later than the opening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37" w:name="page38"/>
    <w:bookmarkEnd w:id="37"/>
    <w:p>
      <w:pPr>
        <w:spacing w:after="0" w:line="3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Trading Day next following the Trading Day on which it has placed Shares hereunder setting forth the number of shares sold on such Trading Day, the corresponding Sales Price and the Issuance Price payable to the Company in respect thereof.</w:t>
      </w:r>
    </w:p>
    <w:p>
      <w:pPr>
        <w:spacing w:after="0" w:line="170" w:lineRule="exact"/>
        <w:rPr>
          <w:sz w:val="20"/>
          <w:szCs w:val="20"/>
          <w:color w:val="auto"/>
        </w:rPr>
      </w:pPr>
    </w:p>
    <w:p>
      <w:pPr>
        <w:ind w:left="660" w:firstLine="645"/>
        <w:spacing w:after="0" w:line="254" w:lineRule="auto"/>
        <w:tabs>
          <w:tab w:leader="none" w:pos="2013"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w:t>
      </w:r>
      <w:r>
        <w:rPr>
          <w:rFonts w:ascii="Arial" w:cs="Arial" w:eastAsia="Arial" w:hAnsi="Arial"/>
          <w:sz w:val="18"/>
          <w:szCs w:val="18"/>
          <w:color w:val="auto"/>
        </w:rPr>
        <w:t xml:space="preserve"> </w:t>
      </w:r>
      <w:r>
        <w:rPr>
          <w:rFonts w:ascii="Arial" w:cs="Arial" w:eastAsia="Arial" w:hAnsi="Arial"/>
          <w:sz w:val="18"/>
          <w:szCs w:val="18"/>
          <w:b w:val="1"/>
          <w:bCs w:val="1"/>
          <w:color w:val="auto"/>
        </w:rPr>
        <w:t>Sale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right="40" w:firstLine="645"/>
        <w:spacing w:after="0" w:line="287" w:lineRule="auto"/>
        <w:tabs>
          <w:tab w:leader="none" w:pos="2018"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Selling Period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660" w:right="160" w:firstLine="645"/>
        <w:spacing w:after="0" w:line="259" w:lineRule="auto"/>
        <w:tabs>
          <w:tab w:leader="none" w:pos="2023"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and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ind w:left="660" w:right="400" w:hanging="4"/>
        <w:spacing w:after="0" w:line="308" w:lineRule="auto"/>
        <w:tabs>
          <w:tab w:leader="none" w:pos="138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xml:space="preserve"> Notwithstanding any other provision of this Agreement, the Company and the Agent agree that the Company shall not deliver any Issuance Notice to the Agent, and the Agent shall not be obligated to place any Shares,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any period in which the Company believes it is in possession of material non-public information.</w:t>
      </w:r>
    </w:p>
    <w:p>
      <w:pPr>
        <w:spacing w:after="0" w:line="225" w:lineRule="exact"/>
        <w:rPr>
          <w:sz w:val="20"/>
          <w:szCs w:val="20"/>
          <w:color w:val="auto"/>
        </w:rPr>
      </w:pPr>
    </w:p>
    <w:p>
      <w:pPr>
        <w:ind w:right="500" w:firstLine="656"/>
        <w:spacing w:after="0" w:line="264" w:lineRule="auto"/>
        <w:tabs>
          <w:tab w:leader="none" w:pos="133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181" w:lineRule="exact"/>
        <w:rPr>
          <w:rFonts w:ascii="Arial" w:cs="Arial" w:eastAsia="Arial" w:hAnsi="Arial"/>
          <w:sz w:val="18"/>
          <w:szCs w:val="18"/>
          <w:color w:val="auto"/>
        </w:rPr>
      </w:pPr>
    </w:p>
    <w:p>
      <w:pPr>
        <w:ind w:firstLine="656"/>
        <w:spacing w:after="0" w:line="285" w:lineRule="auto"/>
        <w:tabs>
          <w:tab w:leader="none" w:pos="134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“Blue Sky Survey” or memorandum and a “Canadian wrapper,” and any supplements thereto, advising the Agent of such qualifications, registrations, determinations and exemptions, (vii) the reasonable fees and disbursements of the Agent’s counsel, including the filing fees incident to, and the reasonable and disbursement fees and expenses of counsel for the Agent in connection with, FINRA review, if any, and approval of the Agent’s participation in the offering and distribution of the Shares,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(ix) the fees and expenses associated with listing the Shares on the Nasdaq Global Market. The fees and disbursements of the Agent, including but not limited to the fees and disbursements of the Agent’s counsel pursuant to subsections (vi), (vii) and (viii), above shall not exceed $50,000,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that the fees and disbursements of Agent pursuant to subsections (vi) and (vii) above shall not exceed $20,000, in the aggregate.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656"/>
        <w:spacing w:after="0" w:line="291" w:lineRule="auto"/>
        <w:tabs>
          <w:tab w:leader="none" w:pos="1331"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w:t>
      </w:r>
    </w:p>
    <w:p>
      <w:pPr>
        <w:ind w:left="280" w:hanging="272"/>
        <w:spacing w:after="0"/>
        <w:tabs>
          <w:tab w:leader="none" w:pos="2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either (A) include in its quarterly reports on Form 10-Q and its annual reports on Form 10-K, a summary detailing, for the relevant reporting period,</w:t>
      </w:r>
    </w:p>
    <w:p>
      <w:pPr>
        <w:sectPr>
          <w:pgSz w:w="11900" w:h="16877" w:orient="portrait"/>
          <w:cols w:equalWidth="0" w:num="1">
            <w:col w:w="11420"/>
          </w:cols>
          <w:pgMar w:left="240" w:top="125" w:right="239" w:bottom="0" w:gutter="0" w:footer="0" w:header="0"/>
        </w:sectPr>
      </w:pPr>
    </w:p>
    <w:bookmarkStart w:id="38" w:name="page39"/>
    <w:bookmarkEnd w:id="38"/>
    <w:p>
      <w:pPr>
        <w:spacing w:after="0" w:line="114" w:lineRule="exact"/>
        <w:rPr>
          <w:sz w:val="20"/>
          <w:szCs w:val="20"/>
          <w:color w:val="auto"/>
        </w:rPr>
      </w:pPr>
    </w:p>
    <w:p>
      <w:pPr>
        <w:ind w:right="40" w:firstLine="8"/>
        <w:spacing w:after="0" w:line="279"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number of Shares sold through the Agent pursuant to this Agreement and (2) the net proceeds received by the Company from such sales or (B) prepare a prospectus supplement or in such other filing permitted by the Securities Act or Exchange Act (each an “</w:t>
      </w:r>
      <w:r>
        <w:rPr>
          <w:rFonts w:ascii="Arial" w:cs="Arial" w:eastAsia="Arial" w:hAnsi="Arial"/>
          <w:sz w:val="17"/>
          <w:szCs w:val="17"/>
          <w:b w:val="1"/>
          <w:bCs w:val="1"/>
          <w:color w:val="auto"/>
        </w:rPr>
        <w:t>Interim Prospectus Supplement”)</w:t>
      </w:r>
      <w:r>
        <w:rPr>
          <w:rFonts w:ascii="Arial" w:cs="Arial" w:eastAsia="Arial" w:hAnsi="Arial"/>
          <w:sz w:val="17"/>
          <w:szCs w:val="17"/>
          <w:color w:val="auto"/>
        </w:rPr>
        <w:t xml:space="preserve"> with such summary information and, at least once a quarter and subject to this </w:t>
      </w:r>
      <w:r>
        <w:rPr>
          <w:rFonts w:ascii="Arial" w:cs="Arial" w:eastAsia="Arial" w:hAnsi="Arial"/>
          <w:sz w:val="17"/>
          <w:szCs w:val="17"/>
          <w:u w:val="single" w:color="auto"/>
          <w:color w:val="auto"/>
        </w:rPr>
        <w:t>Section 4</w:t>
      </w:r>
      <w:r>
        <w:rPr>
          <w:rFonts w:ascii="Arial" w:cs="Arial" w:eastAsia="Arial" w:hAnsi="Arial"/>
          <w:sz w:val="17"/>
          <w:szCs w:val="17"/>
          <w:color w:val="auto"/>
        </w:rPr>
        <w:t>, file such Interim Prospectus Supplement pursuant to Rule 424(b) under the Securities Act (and within the time periods required by Rule 424(b) and Rule 430B under the Securities Act)).</w:t>
      </w:r>
    </w:p>
    <w:p>
      <w:pPr>
        <w:spacing w:after="0" w:line="171" w:lineRule="exact"/>
        <w:rPr>
          <w:rFonts w:ascii="Arial" w:cs="Arial" w:eastAsia="Arial" w:hAnsi="Arial"/>
          <w:sz w:val="17"/>
          <w:szCs w:val="17"/>
          <w:color w:val="auto"/>
        </w:rPr>
      </w:pPr>
    </w:p>
    <w:p>
      <w:pPr>
        <w:ind w:firstLine="656"/>
        <w:spacing w:after="0" w:line="283" w:lineRule="auto"/>
        <w:tabs>
          <w:tab w:leader="none" w:pos="1341"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433 were received in a timely manner by the Commission.</w:t>
      </w:r>
    </w:p>
    <w:p>
      <w:pPr>
        <w:spacing w:after="0" w:line="210" w:lineRule="exact"/>
        <w:rPr>
          <w:rFonts w:ascii="Arial" w:cs="Arial" w:eastAsia="Arial" w:hAnsi="Arial"/>
          <w:sz w:val="16"/>
          <w:szCs w:val="16"/>
          <w:color w:val="auto"/>
        </w:rPr>
      </w:pPr>
    </w:p>
    <w:p>
      <w:pPr>
        <w:ind w:right="40" w:firstLine="656"/>
        <w:spacing w:after="0" w:line="270" w:lineRule="auto"/>
        <w:tabs>
          <w:tab w:leader="none" w:pos="1331"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3(b) and 3(c))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such amendment or supplement shall constitute a waiver of any of the Company’s obligations under Sections 3(b) or (c).</w:t>
      </w:r>
    </w:p>
    <w:p>
      <w:pPr>
        <w:spacing w:after="0" w:line="225" w:lineRule="exact"/>
        <w:rPr>
          <w:sz w:val="20"/>
          <w:szCs w:val="20"/>
          <w:color w:val="auto"/>
        </w:rPr>
      </w:pPr>
    </w:p>
    <w:p>
      <w:pPr>
        <w:ind w:right="100" w:firstLine="656"/>
        <w:spacing w:after="0" w:line="285" w:lineRule="auto"/>
        <w:tabs>
          <w:tab w:leader="none" w:pos="134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Agent’s Review of Proposed Amendments and Supplements</w:t>
      </w:r>
      <w:r>
        <w:rPr>
          <w:rFonts w:ascii="Arial" w:cs="Arial" w:eastAsia="Arial" w:hAnsi="Arial"/>
          <w:sz w:val="16"/>
          <w:szCs w:val="16"/>
          <w:color w:val="auto"/>
        </w:rPr>
        <w:t>. During any period in which an Issuance Notice is pending, prior to effecting any amendment or supplement to the Registration Statement (including any registration statement filed under Rule 462(b) under the Securities Act) or the Prospectus (excluding any amendment or supplement through incorporation of any report filed under the Exchange Act) that affects the offer and sale of the Shares as contemplated by this Agreement, the Company shall furnish to the Agent for review, a reasonable amount of time prior to the proposed time of filing or use thereof, a copy of each such proposed amendment or supplement, and file with the Commission within the applicable period specified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424(b) under the Securities Act any prospectus required to be filed pursuant to such Rule.</w:t>
      </w:r>
    </w:p>
    <w:p>
      <w:pPr>
        <w:spacing w:after="0" w:line="210" w:lineRule="exact"/>
        <w:rPr>
          <w:rFonts w:ascii="Arial" w:cs="Arial" w:eastAsia="Arial" w:hAnsi="Arial"/>
          <w:sz w:val="16"/>
          <w:szCs w:val="16"/>
          <w:color w:val="auto"/>
        </w:rPr>
      </w:pPr>
    </w:p>
    <w:p>
      <w:pPr>
        <w:ind w:firstLine="656"/>
        <w:spacing w:after="0" w:line="259" w:lineRule="auto"/>
        <w:tabs>
          <w:tab w:leader="none" w:pos="133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268" w:lineRule="auto"/>
        <w:tabs>
          <w:tab w:leader="none" w:pos="135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free writing prospectus and the Company shall not file, use or refer to any such amended or supplemented free writing prospectus without the Agent’s consent.</w:t>
      </w:r>
    </w:p>
    <w:p>
      <w:pPr>
        <w:spacing w:after="0" w:line="170" w:lineRule="exact"/>
        <w:rPr>
          <w:sz w:val="20"/>
          <w:szCs w:val="20"/>
          <w:color w:val="auto"/>
        </w:rPr>
      </w:pPr>
    </w:p>
    <w:p>
      <w:pPr>
        <w:jc w:val="both"/>
        <w:ind w:right="40" w:firstLine="656"/>
        <w:spacing w:after="0" w:line="264" w:lineRule="auto"/>
        <w:tabs>
          <w:tab w:leader="none" w:pos="134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to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1" w:lineRule="exact"/>
        <w:rPr>
          <w:rFonts w:ascii="Arial" w:cs="Arial" w:eastAsia="Arial" w:hAnsi="Arial"/>
          <w:sz w:val="18"/>
          <w:szCs w:val="18"/>
          <w:color w:val="auto"/>
        </w:rPr>
      </w:pPr>
    </w:p>
    <w:p>
      <w:pPr>
        <w:ind w:firstLine="656"/>
        <w:spacing w:after="0" w:line="312" w:lineRule="auto"/>
        <w:tabs>
          <w:tab w:leader="none" w:pos="134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w:t>
      </w:r>
    </w:p>
    <w:p>
      <w:pPr>
        <w:sectPr>
          <w:pgSz w:w="11900" w:h="16952" w:orient="portrait"/>
          <w:cols w:equalWidth="0" w:num="1">
            <w:col w:w="11420"/>
          </w:cols>
          <w:pgMar w:left="240" w:top="125" w:right="239" w:bottom="0" w:gutter="0" w:footer="0" w:header="0"/>
        </w:sectPr>
      </w:pPr>
    </w:p>
    <w:bookmarkStart w:id="39" w:name="page40"/>
    <w:bookmarkEnd w:id="39"/>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Selling Period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during such same period the Agent is required to deliver a prospectus in respect of transactions in the Shares, the Company shall promptly prepare and file with the Commission such an amendment or supplement.</w:t>
      </w:r>
    </w:p>
    <w:p>
      <w:pPr>
        <w:spacing w:after="0" w:line="175" w:lineRule="exact"/>
        <w:rPr>
          <w:sz w:val="20"/>
          <w:szCs w:val="20"/>
          <w:color w:val="auto"/>
        </w:rPr>
      </w:pPr>
    </w:p>
    <w:p>
      <w:pPr>
        <w:ind w:right="60" w:firstLine="656"/>
        <w:spacing w:after="0" w:line="272" w:lineRule="auto"/>
        <w:tabs>
          <w:tab w:leader="none" w:pos="134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of any order suspending such qualification, registration or exemption, the Company shall use its best efforts to obtain the withdrawal thereof as soon as practicable.</w:t>
      </w:r>
    </w:p>
    <w:p>
      <w:pPr>
        <w:spacing w:after="0" w:line="170" w:lineRule="exact"/>
        <w:rPr>
          <w:sz w:val="20"/>
          <w:szCs w:val="20"/>
          <w:color w:val="auto"/>
        </w:rPr>
      </w:pPr>
    </w:p>
    <w:p>
      <w:pPr>
        <w:jc w:val="both"/>
        <w:ind w:right="400" w:firstLine="656"/>
        <w:spacing w:after="0" w:line="312" w:lineRule="auto"/>
        <w:tabs>
          <w:tab w:leader="none" w:pos="134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(12) months beginning with the first fiscal quarter of the Company occurring after the date of this Agreement which shall satisfy the provisions of Section 11(a) of the Securities Act and Rule 158 under the Securities Act.</w:t>
      </w:r>
    </w:p>
    <w:p>
      <w:pPr>
        <w:spacing w:after="0" w:line="146" w:lineRule="exact"/>
        <w:rPr>
          <w:rFonts w:ascii="Arial" w:cs="Arial" w:eastAsia="Arial" w:hAnsi="Arial"/>
          <w:sz w:val="16"/>
          <w:szCs w:val="16"/>
          <w:color w:val="auto"/>
        </w:rPr>
      </w:pPr>
    </w:p>
    <w:p>
      <w:pPr>
        <w:ind w:right="400" w:firstLine="656"/>
        <w:spacing w:after="0" w:line="264" w:lineRule="auto"/>
        <w:tabs>
          <w:tab w:leader="none" w:pos="134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Nasdaq Global Market and (b) the Company will reserve and keep available at all times, free of preemptive rights, Shares for the purpose of enabling the Company to satisfy its obligations pursuant to an outstanding Issuance Notice under this Agreement.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right="180" w:firstLine="656"/>
        <w:spacing w:after="0" w:line="259" w:lineRule="auto"/>
        <w:tabs>
          <w:tab w:leader="none" w:pos="134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ind w:firstLine="656"/>
        <w:spacing w:after="0" w:line="291" w:lineRule="auto"/>
        <w:tabs>
          <w:tab w:leader="none" w:pos="134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7" w:lineRule="exact"/>
        <w:rPr>
          <w:rFonts w:ascii="Arial" w:cs="Arial" w:eastAsia="Arial" w:hAnsi="Arial"/>
          <w:sz w:val="16"/>
          <w:szCs w:val="16"/>
          <w:color w:val="auto"/>
        </w:rPr>
      </w:pPr>
    </w:p>
    <w:p>
      <w:pPr>
        <w:ind w:right="460" w:firstLine="656"/>
        <w:spacing w:after="0" w:line="277" w:lineRule="auto"/>
        <w:tabs>
          <w:tab w:leader="none" w:pos="134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sz w:val="20"/>
          <w:szCs w:val="20"/>
          <w:color w:val="auto"/>
        </w:rPr>
      </w:pPr>
    </w:p>
    <w:p>
      <w:pPr>
        <w:jc w:val="both"/>
        <w:ind w:right="80" w:firstLine="1305"/>
        <w:spacing w:after="0" w:line="312" w:lineRule="auto"/>
        <w:tabs>
          <w:tab w:leader="none" w:pos="19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64" w:lineRule="auto"/>
        <w:tabs>
          <w:tab w:leader="none" w:pos="198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1" w:lineRule="exact"/>
        <w:rPr>
          <w:rFonts w:ascii="Arial" w:cs="Arial" w:eastAsia="Arial" w:hAnsi="Arial"/>
          <w:sz w:val="18"/>
          <w:szCs w:val="18"/>
          <w:color w:val="auto"/>
        </w:rPr>
      </w:pPr>
    </w:p>
    <w:p>
      <w:pPr>
        <w:ind w:right="20" w:firstLine="1305"/>
        <w:spacing w:after="0" w:line="289" w:lineRule="auto"/>
        <w:tabs>
          <w:tab w:leader="none" w:pos="1986"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including those required to be performed pursuant to</w:t>
      </w:r>
    </w:p>
    <w:p>
      <w:pPr>
        <w:sectPr>
          <w:pgSz w:w="11900" w:h="16932" w:orient="portrait"/>
          <w:cols w:equalWidth="0" w:num="1">
            <w:col w:w="11420"/>
          </w:cols>
          <w:pgMar w:left="240" w:top="125" w:right="239" w:bottom="0" w:gutter="0" w:footer="0" w:header="0"/>
        </w:sectPr>
      </w:pPr>
    </w:p>
    <w:bookmarkStart w:id="40" w:name="page41"/>
    <w:bookmarkEnd w:id="40"/>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and (C) containing any other certification that the Agent shall reasonably request. The requirement to provide a certificate under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shall be automatically waived with no further action of the Agent or Company for any Triggering Event Date occurring at a time when no Issuance Notice is pending or a suspension is in effect, which automatic waiver shall continue until the date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dated as of the date that the instructions for the sale of Shares are issued.</w:t>
      </w:r>
    </w:p>
    <w:p>
      <w:pPr>
        <w:spacing w:after="0" w:line="192" w:lineRule="exact"/>
        <w:rPr>
          <w:sz w:val="20"/>
          <w:szCs w:val="20"/>
          <w:color w:val="auto"/>
        </w:rPr>
      </w:pPr>
    </w:p>
    <w:p>
      <w:pPr>
        <w:ind w:firstLine="656"/>
        <w:spacing w:after="0" w:line="270" w:lineRule="auto"/>
        <w:tabs>
          <w:tab w:leader="none" w:pos="134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date of the first Issuance Notice and within five (5) Trading Days of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to be furnished, at the request of the Agent, a negative assurances letter and the written legal opinion of Latham &amp; Watkins LLP, counsel to the Company, or other counsel reasonably satisfactory to the Agent,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be required to furnish no more than one opinion hereunder per calendar quarter.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such prior opinion shall be deemed to relate to the Registration Statement and the Prospectus as amended or supplemented as of such Triggering Event Date).</w:t>
      </w:r>
    </w:p>
    <w:p>
      <w:pPr>
        <w:spacing w:after="0" w:line="176" w:lineRule="exact"/>
        <w:rPr>
          <w:sz w:val="20"/>
          <w:szCs w:val="20"/>
          <w:color w:val="auto"/>
        </w:rPr>
      </w:pPr>
    </w:p>
    <w:p>
      <w:pPr>
        <w:ind w:right="60" w:firstLine="656"/>
        <w:spacing w:after="0" w:line="289" w:lineRule="auto"/>
        <w:tabs>
          <w:tab w:leader="none" w:pos="1341"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xml:space="preserve">. On or prior to the date of the first Issuance Notice and within five (5) Trading Days of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customary for registered equity offerings and reasonably satisfactory to the Agent and substantially similar in form and scope to comfort letters previously provided by the Company’s auditors to underwriters in connection with registered equity offerings;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comfort letter will only be required on the Triggering Event Date specified to the extent that it contains financial statements filed with the Commission under the Exchange Act and incorporated or deemed to be incorporated by reference into a Prospectus. The Company shall be required to furnish no more than one comfort letter hereunder per calendar quarter.</w:t>
      </w:r>
    </w:p>
    <w:p>
      <w:pPr>
        <w:spacing w:after="0" w:line="166" w:lineRule="exact"/>
        <w:rPr>
          <w:rFonts w:ascii="Arial" w:cs="Arial" w:eastAsia="Arial" w:hAnsi="Arial"/>
          <w:sz w:val="16"/>
          <w:szCs w:val="16"/>
          <w:color w:val="auto"/>
        </w:rPr>
      </w:pPr>
    </w:p>
    <w:p>
      <w:pPr>
        <w:ind w:right="100" w:firstLine="656"/>
        <w:spacing w:after="0" w:line="284" w:lineRule="auto"/>
        <w:tabs>
          <w:tab w:leader="none" w:pos="1368"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(A) On or prior to the date of the first Issuance Notice,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4" w:lineRule="exact"/>
        <w:rPr>
          <w:rFonts w:ascii="Arial" w:cs="Arial" w:eastAsia="Arial" w:hAnsi="Arial"/>
          <w:sz w:val="16"/>
          <w:szCs w:val="16"/>
          <w:color w:val="auto"/>
        </w:rPr>
      </w:pPr>
    </w:p>
    <w:p>
      <w:pPr>
        <w:ind w:right="60" w:firstLine="8"/>
        <w:spacing w:after="0" w:line="271" w:lineRule="auto"/>
        <w:tabs>
          <w:tab w:leader="none" w:pos="2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On or prior to the date of the first Issuance Notice and within five (5) Trading Days of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furnish the Agent, at the request of the Agent, a certificate executed by the Secretary of the Company, signing in such capacity, dated the date of delivery certifying certain intellectual property matters in the form previously agreed between the Company and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be required to furnish no more than one such certificate hereunder in any twelve (12) month period.</w:t>
      </w:r>
    </w:p>
    <w:p>
      <w:pPr>
        <w:spacing w:after="0" w:line="178" w:lineRule="exact"/>
        <w:rPr>
          <w:rFonts w:ascii="Arial" w:cs="Arial" w:eastAsia="Arial" w:hAnsi="Arial"/>
          <w:sz w:val="17"/>
          <w:szCs w:val="17"/>
          <w:color w:val="auto"/>
        </w:rPr>
      </w:pPr>
    </w:p>
    <w:p>
      <w:pPr>
        <w:ind w:right="20" w:firstLine="656"/>
        <w:spacing w:after="0" w:line="342" w:lineRule="auto"/>
        <w:tabs>
          <w:tab w:leader="none" w:pos="1378"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right="100" w:firstLine="656"/>
        <w:spacing w:after="0" w:line="342" w:lineRule="auto"/>
        <w:tabs>
          <w:tab w:leader="none" w:pos="1358"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ind w:right="80" w:firstLine="656"/>
        <w:spacing w:after="0" w:line="277" w:lineRule="auto"/>
        <w:tabs>
          <w:tab w:leader="none" w:pos="1353"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w:t>
      </w:r>
    </w:p>
    <w:p>
      <w:pPr>
        <w:spacing w:after="0" w:line="173" w:lineRule="exact"/>
        <w:rPr>
          <w:sz w:val="20"/>
          <w:szCs w:val="20"/>
          <w:color w:val="auto"/>
        </w:rPr>
      </w:pPr>
    </w:p>
    <w:p>
      <w:pPr>
        <w:ind w:firstLine="656"/>
        <w:spacing w:after="0" w:line="284" w:lineRule="auto"/>
        <w:tabs>
          <w:tab w:leader="none" w:pos="1353"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date on which any Issuance Notice is delivered to the Agent hereunder and ending on the earlier of (x) the Settlement Date with respect to Shares sold pursuant to such Issuance Notice and (y) the suspension by the Company of such Selling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restriction will not apply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w:t>
      </w:r>
    </w:p>
    <w:p>
      <w:pPr>
        <w:spacing w:after="0" w:line="1" w:lineRule="exact"/>
        <w:rPr>
          <w:rFonts w:ascii="Arial" w:cs="Arial" w:eastAsia="Arial" w:hAnsi="Arial"/>
          <w:sz w:val="16"/>
          <w:szCs w:val="16"/>
          <w:color w:val="auto"/>
        </w:rPr>
      </w:pPr>
    </w:p>
    <w:p>
      <w:pPr>
        <w:ind w:right="240" w:firstLine="8"/>
        <w:spacing w:after="0" w:line="323" w:lineRule="auto"/>
        <w:tabs>
          <w:tab w:leader="none" w:pos="2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issuance or sale of Common Shares pursuant to any dividend reinvestment plan that the Company may adopt from time to time, (iii) issuance or sale of Common Shares issuable upon exchange, conversion or redemption of securities or the exercise or vesting of warrants, options or other rights in effect or</w:t>
      </w:r>
    </w:p>
    <w:p>
      <w:pPr>
        <w:sectPr>
          <w:pgSz w:w="11900" w:h="16961" w:orient="portrait"/>
          <w:cols w:equalWidth="0" w:num="1">
            <w:col w:w="11400"/>
          </w:cols>
          <w:pgMar w:left="240" w:top="125" w:right="259" w:bottom="0" w:gutter="0" w:footer="0" w:header="0"/>
        </w:sectPr>
      </w:pPr>
    </w:p>
    <w:bookmarkStart w:id="41" w:name="page42"/>
    <w:bookmarkEnd w:id="41"/>
    <w:p>
      <w:pPr>
        <w:spacing w:after="0" w:line="1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outstanding or disclosed in filings by the Company available on IDEA or otherwise in writing to the Agent, (iv) issuance or sale of Common Shares or securities convertible into or exchangeable for Common Shares in connection with mergers, acquisitions, other business combinations, joint ventures, collaborations or strategic arrangements occurring after the date of this Agreement, (v) modification of any outstanding options, warrants of any rights to purchase or acquire Common Shares, (vi) issuance or sale of Common Shares, or securities convertible into or exercisable for Common Shares, offered and sold in a privately negotiated transaction to vendors, customers, strategic partners or potential strategic partners conducted in a manner so as not to be integrated with the offering of Common Shares hereby and (vii) for the avoidance of doubt, non-public discussions or negotiations with respect to any of the foregoing.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ind w:right="80" w:firstLine="656"/>
        <w:spacing w:after="0" w:line="259" w:lineRule="auto"/>
        <w:tabs>
          <w:tab w:leader="none" w:pos="133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Right of the Company to Deliver an Issuance Notice and the Obligation of the Agent to Sell Shares During the Selling Period(s)</w:t>
      </w:r>
      <w:r>
        <w:rPr>
          <w:rFonts w:ascii="Arial" w:cs="Arial" w:eastAsia="Arial" w:hAnsi="Arial"/>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Selling Period is subject to the satisfaction, on each Trading Day during the Selling Period, of each of the following conditions:</w:t>
      </w:r>
    </w:p>
    <w:p>
      <w:pPr>
        <w:spacing w:after="0" w:line="186" w:lineRule="exact"/>
        <w:rPr>
          <w:rFonts w:ascii="Arial" w:cs="Arial" w:eastAsia="Arial" w:hAnsi="Arial"/>
          <w:sz w:val="18"/>
          <w:szCs w:val="18"/>
          <w:color w:val="auto"/>
        </w:rPr>
      </w:pPr>
    </w:p>
    <w:p>
      <w:pPr>
        <w:ind w:left="660" w:right="180" w:firstLine="645"/>
        <w:spacing w:after="0" w:line="264" w:lineRule="auto"/>
        <w:tabs>
          <w:tab w:leader="none" w:pos="201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The Company shall have performed,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 xml:space="preserve">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4(r)</w:t>
      </w:r>
      <w:r>
        <w:rPr>
          <w:rFonts w:ascii="Arial" w:cs="Arial" w:eastAsia="Arial" w:hAnsi="Arial"/>
          <w:sz w:val="17"/>
          <w:szCs w:val="17"/>
          <w:color w:val="auto"/>
        </w:rPr>
        <w:t>.</w:t>
      </w:r>
    </w:p>
    <w:p>
      <w:pPr>
        <w:spacing w:after="0" w:line="147" w:lineRule="exact"/>
        <w:rPr>
          <w:sz w:val="20"/>
          <w:szCs w:val="20"/>
          <w:color w:val="auto"/>
        </w:rPr>
      </w:pPr>
    </w:p>
    <w:p>
      <w:pPr>
        <w:ind w:left="660" w:right="100" w:firstLine="645"/>
        <w:spacing w:after="0" w:line="257" w:lineRule="auto"/>
        <w:tabs>
          <w:tab w:leader="none" w:pos="202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8" w:lineRule="exact"/>
        <w:rPr>
          <w:rFonts w:ascii="Arial" w:cs="Arial" w:eastAsia="Arial" w:hAnsi="Arial"/>
          <w:sz w:val="18"/>
          <w:szCs w:val="18"/>
          <w:color w:val="auto"/>
        </w:rPr>
      </w:pPr>
    </w:p>
    <w:p>
      <w:pPr>
        <w:ind w:left="660" w:firstLine="645"/>
        <w:spacing w:after="0" w:line="255" w:lineRule="auto"/>
        <w:tabs>
          <w:tab w:leader="none" w:pos="202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 there shall not have occurred any Material Adverse Change that, in the judgment of the Agent,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Rule 436(g)(2) under the Securities Act.</w:t>
      </w:r>
    </w:p>
    <w:p>
      <w:pPr>
        <w:spacing w:after="0" w:line="193" w:lineRule="exact"/>
        <w:rPr>
          <w:rFonts w:ascii="Arial" w:cs="Arial" w:eastAsia="Arial" w:hAnsi="Arial"/>
          <w:sz w:val="18"/>
          <w:szCs w:val="18"/>
          <w:color w:val="auto"/>
        </w:rPr>
      </w:pPr>
    </w:p>
    <w:p>
      <w:pPr>
        <w:ind w:left="660" w:firstLine="645"/>
        <w:spacing w:after="0" w:line="269" w:lineRule="auto"/>
        <w:tabs>
          <w:tab w:leader="none" w:pos="201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(ii) a general banking moratorium shall have been declared by U.S.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any such case, in the judgment of the Agent is material and adverse and makes it impractical and inadvisable to market the Shares in the manner and on the terms described in the Prospectus or to enforce contracts for the sale of securities;</w:t>
      </w:r>
    </w:p>
    <w:p>
      <w:pPr>
        <w:spacing w:after="0" w:line="179" w:lineRule="exact"/>
        <w:rPr>
          <w:rFonts w:ascii="Arial" w:cs="Arial" w:eastAsia="Arial" w:hAnsi="Arial"/>
          <w:sz w:val="17"/>
          <w:szCs w:val="17"/>
          <w:color w:val="auto"/>
        </w:rPr>
      </w:pPr>
    </w:p>
    <w:p>
      <w:pPr>
        <w:ind w:left="660" w:right="220" w:firstLine="645"/>
        <w:spacing w:after="0" w:line="264" w:lineRule="auto"/>
        <w:tabs>
          <w:tab w:leader="none" w:pos="201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1" w:lineRule="exact"/>
        <w:rPr>
          <w:sz w:val="20"/>
          <w:szCs w:val="20"/>
          <w:color w:val="auto"/>
        </w:rPr>
      </w:pPr>
    </w:p>
    <w:p>
      <w:pPr>
        <w:ind w:left="660" w:right="80" w:firstLine="645"/>
        <w:spacing w:after="0" w:line="259" w:lineRule="auto"/>
        <w:tabs>
          <w:tab w:leader="none" w:pos="201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ind w:right="20" w:firstLine="656"/>
        <w:spacing w:after="0" w:line="297" w:lineRule="auto"/>
        <w:tabs>
          <w:tab w:leader="none" w:pos="133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w:t>
      </w:r>
    </w:p>
    <w:p>
      <w:pPr>
        <w:sectPr>
          <w:pgSz w:w="11900" w:h="16941" w:orient="portrait"/>
          <w:cols w:equalWidth="0" w:num="1">
            <w:col w:w="11420"/>
          </w:cols>
          <w:pgMar w:left="240" w:top="125" w:right="239" w:bottom="0" w:gutter="0" w:footer="0" w:header="0"/>
        </w:sectPr>
      </w:pPr>
    </w:p>
    <w:bookmarkStart w:id="42" w:name="page43"/>
    <w:bookmarkEnd w:id="42"/>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5" w:lineRule="auto"/>
        <w:tabs>
          <w:tab w:leader="none" w:pos="134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final paragraph under the caption “Plan of Distribution” in the Prospectus, and to reimburse the Company and each such director, officer and controlling person for any and all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70" w:lineRule="exact"/>
        <w:rPr>
          <w:rFonts w:ascii="Arial" w:cs="Arial" w:eastAsia="Arial" w:hAnsi="Arial"/>
          <w:sz w:val="16"/>
          <w:szCs w:val="16"/>
          <w:color w:val="auto"/>
        </w:rPr>
      </w:pPr>
    </w:p>
    <w:p>
      <w:pPr>
        <w:ind w:right="20" w:firstLine="656"/>
        <w:spacing w:after="0" w:line="253" w:lineRule="auto"/>
        <w:tabs>
          <w:tab w:leader="none" w:pos="133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Notifications and Other Indemnification Procedures</w:t>
      </w:r>
      <w:r>
        <w:rPr>
          <w:rFonts w:ascii="Arial" w:cs="Arial" w:eastAsia="Arial" w:hAnsi="Arial"/>
          <w:sz w:val="18"/>
          <w:szCs w:val="18"/>
          <w:color w:val="auto"/>
        </w:rPr>
        <w:t xml:space="preserve">. Promptly after receipt by an indemnified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notice of the commencement of any action, such indemnified party will, if a claim in respect thereof is to be made against an indemnifying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8"/>
          <w:szCs w:val="18"/>
          <w:i w:val="1"/>
          <w:iCs w:val="1"/>
          <w:color w:val="auto"/>
        </w:rPr>
        <w:t>provided, however</w:t>
      </w:r>
      <w:r>
        <w:rPr>
          <w:rFonts w:ascii="Arial" w:cs="Arial" w:eastAsia="Arial" w:hAnsi="Arial"/>
          <w:sz w:val="18"/>
          <w:szCs w:val="18"/>
          <w:color w:val="auto"/>
        </w:rPr>
        <w:t>, if the defendants in any such action include both the indemnified party and the indemnifying party and the indemnified party shall have reasonably concluded that a conflict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LLC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or the Company (in the case of counsel for the indemnified parties referred to in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72" w:lineRule="exact"/>
        <w:rPr>
          <w:sz w:val="20"/>
          <w:szCs w:val="20"/>
          <w:color w:val="auto"/>
        </w:rPr>
      </w:pPr>
    </w:p>
    <w:p>
      <w:pPr>
        <w:ind w:right="80" w:firstLine="656"/>
        <w:spacing w:after="0" w:line="291" w:lineRule="auto"/>
        <w:tabs>
          <w:tab w:leader="none" w:pos="1341"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w:t>
      </w:r>
    </w:p>
    <w:p>
      <w:pPr>
        <w:sectPr>
          <w:pgSz w:w="11900" w:h="16932" w:orient="portrait"/>
          <w:cols w:equalWidth="0" w:num="1">
            <w:col w:w="11400"/>
          </w:cols>
          <w:pgMar w:left="240" w:top="125" w:right="259" w:bottom="0" w:gutter="0" w:footer="0" w:header="0"/>
        </w:sectPr>
      </w:pPr>
    </w:p>
    <w:bookmarkStart w:id="43" w:name="page44"/>
    <w:bookmarkEnd w:id="43"/>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7" w:lineRule="exact"/>
        <w:rPr>
          <w:sz w:val="20"/>
          <w:szCs w:val="20"/>
          <w:color w:val="auto"/>
        </w:rPr>
      </w:pPr>
    </w:p>
    <w:p>
      <w:pPr>
        <w:jc w:val="both"/>
        <w:ind w:right="240" w:firstLine="656"/>
        <w:spacing w:after="0" w:line="264" w:lineRule="auto"/>
        <w:tabs>
          <w:tab w:leader="none" w:pos="133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w:t>
      </w:r>
    </w:p>
    <w:p>
      <w:pPr>
        <w:ind w:firstLine="8"/>
        <w:spacing w:after="0" w:line="287" w:lineRule="auto"/>
        <w:tabs>
          <w:tab w:leader="none" w:pos="26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3"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6(e)</w:t>
      </w:r>
      <w:r>
        <w:rPr>
          <w:rFonts w:ascii="Arial" w:cs="Arial" w:eastAsia="Arial" w:hAnsi="Arial"/>
          <w:sz w:val="17"/>
          <w:szCs w:val="17"/>
          <w:color w:val="auto"/>
        </w:rPr>
        <w:t>.</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right="180" w:firstLine="656"/>
        <w:spacing w:after="0" w:line="277" w:lineRule="auto"/>
        <w:tabs>
          <w:tab w:leader="none" w:pos="133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656"/>
        <w:spacing w:after="0" w:line="276" w:lineRule="auto"/>
        <w:tabs>
          <w:tab w:leader="none" w:pos="134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Termination; Survival Following Termination</w:t>
      </w:r>
      <w:r>
        <w:rPr>
          <w:rFonts w:ascii="Arial" w:cs="Arial" w:eastAsia="Arial" w:hAnsi="Arial"/>
          <w:sz w:val="17"/>
          <w:szCs w:val="17"/>
          <w:color w:val="auto"/>
        </w:rPr>
        <w:t xml:space="preserve">. (i) Either party may terminate this Agreement prior to the end of the Agency Period, by giving written notice as required by this Agreement, upon one Trading Day’s notice to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72" w:lineRule="exact"/>
        <w:rPr>
          <w:rFonts w:ascii="Arial" w:cs="Arial" w:eastAsia="Arial" w:hAnsi="Arial"/>
          <w:sz w:val="17"/>
          <w:szCs w:val="17"/>
          <w:color w:val="auto"/>
        </w:rPr>
      </w:pPr>
    </w:p>
    <w:p>
      <w:pPr>
        <w:ind w:left="660" w:firstLine="645"/>
        <w:spacing w:after="0" w:line="257" w:lineRule="auto"/>
        <w:tabs>
          <w:tab w:leader="none" w:pos="202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ind w:right="20" w:firstLine="656"/>
        <w:spacing w:after="0" w:line="287" w:lineRule="auto"/>
        <w:tabs>
          <w:tab w:leader="none" w:pos="133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ectPr>
          <w:pgSz w:w="11900" w:h="16926" w:orient="portrait"/>
          <w:cols w:equalWidth="0" w:num="1">
            <w:col w:w="11400"/>
          </w:cols>
          <w:pgMar w:left="240" w:top="125" w:right="259" w:bottom="0" w:gutter="0" w:footer="0" w:header="0"/>
        </w:sectPr>
      </w:pPr>
    </w:p>
    <w:bookmarkStart w:id="44" w:name="page45"/>
    <w:bookmarkEnd w:id="44"/>
    <w:p>
      <w:pPr>
        <w:spacing w:after="0" w:line="106" w:lineRule="exact"/>
        <w:rPr>
          <w:sz w:val="20"/>
          <w:szCs w:val="20"/>
          <w:color w:val="auto"/>
        </w:rPr>
      </w:pPr>
    </w:p>
    <w:p>
      <w:pPr>
        <w:ind w:right="80" w:firstLine="656"/>
        <w:spacing w:after="0" w:line="277" w:lineRule="auto"/>
        <w:tabs>
          <w:tab w:leader="none" w:pos="134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The Company acknowledges and agrees that (i) the transactions contemplated by this Agreement, including the determination of any fees,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sz w:val="20"/>
          <w:szCs w:val="20"/>
          <w:color w:val="auto"/>
        </w:rPr>
      </w:pPr>
    </w:p>
    <w:p>
      <w:pPr>
        <w:ind w:firstLine="656"/>
        <w:spacing w:after="0" w:line="293" w:lineRule="auto"/>
        <w:tabs>
          <w:tab w:leader="none" w:pos="1331"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4" w:lineRule="exact"/>
        <w:rPr>
          <w:rFonts w:ascii="Arial" w:cs="Arial" w:eastAsia="Arial" w:hAnsi="Arial"/>
          <w:sz w:val="16"/>
          <w:szCs w:val="16"/>
          <w:color w:val="auto"/>
        </w:rPr>
      </w:pPr>
    </w:p>
    <w:p>
      <w:pPr>
        <w:ind w:left="1340" w:hanging="684"/>
        <w:spacing w:after="0"/>
        <w:tabs>
          <w:tab w:leader="none" w:pos="134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shall be in writing and shall be mailed, hand delivered or telecopied and confirmed to the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10036-7798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(212) 479-6275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Daniel I. Goldberg and Joshua A. Kaufman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David Abraham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Peter N. Handrinos and Brandon J. Bortner.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ind w:firstLine="656"/>
        <w:spacing w:after="0" w:line="312" w:lineRule="auto"/>
        <w:tabs>
          <w:tab w:leader="none" w:pos="133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Shares as such from the Agent merely by reason of such purchase.</w:t>
      </w:r>
    </w:p>
    <w:p>
      <w:pPr>
        <w:spacing w:after="0" w:line="146" w:lineRule="exact"/>
        <w:rPr>
          <w:rFonts w:ascii="Arial" w:cs="Arial" w:eastAsia="Arial" w:hAnsi="Arial"/>
          <w:sz w:val="16"/>
          <w:szCs w:val="16"/>
          <w:color w:val="auto"/>
        </w:rPr>
      </w:pPr>
    </w:p>
    <w:p>
      <w:pPr>
        <w:ind w:right="80" w:firstLine="656"/>
        <w:spacing w:after="0" w:line="259" w:lineRule="auto"/>
        <w:tabs>
          <w:tab w:leader="none" w:pos="135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ind w:right="60" w:firstLine="656"/>
        <w:spacing w:after="0" w:line="302" w:lineRule="auto"/>
        <w:tabs>
          <w:tab w:leader="none" w:pos="134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w:t>
      </w:r>
    </w:p>
    <w:p>
      <w:pPr>
        <w:sectPr>
          <w:pgSz w:w="11900" w:h="16945" w:orient="portrait"/>
          <w:cols w:equalWidth="0" w:num="1">
            <w:col w:w="11420"/>
          </w:cols>
          <w:pgMar w:left="240" w:top="341" w:right="239" w:bottom="0" w:gutter="0" w:footer="0" w:header="0"/>
        </w:sectPr>
      </w:pPr>
    </w:p>
    <w:bookmarkStart w:id="45" w:name="page46"/>
    <w:bookmarkEnd w:id="45"/>
    <w:p>
      <w:pPr>
        <w:ind w:right="80"/>
        <w:spacing w:after="0" w:line="274" w:lineRule="auto"/>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8" w:lineRule="exact"/>
        <w:rPr>
          <w:sz w:val="20"/>
          <w:szCs w:val="20"/>
          <w:color w:val="auto"/>
        </w:rPr>
      </w:pPr>
    </w:p>
    <w:p>
      <w:pPr>
        <w:ind w:right="240" w:firstLine="656"/>
        <w:spacing w:after="0" w:line="277" w:lineRule="auto"/>
        <w:tabs>
          <w:tab w:leader="none" w:pos="134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Agreement constitutes the entire agreement of the parties to this Agreement and supersedes all prior written or oral and all contemporaneous oral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Werner Cautreels, Ph.D.</w:t>
      </w:r>
    </w:p>
    <w:p>
      <w:pPr>
        <w:spacing w:after="0" w:line="23"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Werner Cautreels, Ph.D.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Dustin Tynes</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Dustin Tynes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color w:val="auto"/>
        </w:rPr>
        <w:t>Reference is made to the Open Market Sale Agreement between Selecta Biosciences,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August 11, 2017. The Company confirms that all conditions to the delivery of this Issuance Notice are satisfied as of the date 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ectPr>
          <w:pgSz w:w="11900" w:h="16838" w:orient="portrait"/>
          <w:cols w:equalWidth="0" w:num="1">
            <w:col w:w="11420"/>
          </w:cols>
          <w:pgMar w:left="240" w:top="121" w:right="23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Last Date of Selling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T+3 settlement (or, with respect to sales on or after September 5, 2017, T+2 settlement):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240" w:top="341" w:right="899" w:bottom="1440" w:gutter="0" w:footer="0" w:header="0"/>
        </w:sectPr>
      </w:pPr>
    </w:p>
    <w:bookmarkStart w:id="47" w:name="page48"/>
    <w:bookmarkEnd w:id="47"/>
    <w:p>
      <w:pPr>
        <w:ind w:left="10580"/>
        <w:spacing w:after="0"/>
        <w:rPr>
          <w:sz w:val="20"/>
          <w:szCs w:val="20"/>
          <w:color w:val="auto"/>
        </w:rPr>
      </w:pPr>
      <w:r>
        <w:rPr>
          <w:rFonts w:ascii="Arial" w:cs="Arial" w:eastAsia="Arial" w:hAnsi="Arial"/>
          <w:sz w:val="17"/>
          <w:szCs w:val="17"/>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tbl>
      <w:tblPr>
        <w:tblLayout w:type="fixed"/>
        <w:tblInd w:w="490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Dated as of</w:t>
            </w:r>
          </w:p>
        </w:tc>
        <w:tc>
          <w:tcPr>
            <w:tcW w:w="54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920" w:hanging="469"/>
        <w:spacing w:after="0"/>
        <w:tabs>
          <w:tab w:leader="none" w:pos="59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1"/>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1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8120" w:type="dxa"/>
            <w:vAlign w:val="bottom"/>
          </w:tcPr>
          <w:p>
            <w:pPr>
              <w:ind w:left="60"/>
              <w:spacing w:after="0"/>
              <w:rPr>
                <w:sz w:val="20"/>
                <w:szCs w:val="20"/>
                <w:color w:val="auto"/>
              </w:rPr>
            </w:pPr>
            <w:r>
              <w:rPr>
                <w:rFonts w:ascii="Arial" w:cs="Arial" w:eastAsia="Arial" w:hAnsi="Arial"/>
                <w:sz w:val="18"/>
                <w:szCs w:val="18"/>
                <w:color w:val="auto"/>
              </w:rPr>
              <w:t>Other Definitions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8120" w:type="dxa"/>
            <w:vAlign w:val="bottom"/>
          </w:tcPr>
          <w:p>
            <w:pPr>
              <w:ind w:left="60"/>
              <w:spacing w:after="0"/>
              <w:rPr>
                <w:sz w:val="20"/>
                <w:szCs w:val="20"/>
                <w:color w:val="auto"/>
              </w:rPr>
            </w:pPr>
            <w:r>
              <w:rPr>
                <w:rFonts w:ascii="Arial" w:cs="Arial" w:eastAsia="Arial" w:hAnsi="Arial"/>
                <w:sz w:val="18"/>
                <w:szCs w:val="18"/>
                <w:color w:val="auto"/>
              </w:rPr>
              <w:t>Incorporation by Reference of Trust Indenture Act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1.4.</w:t>
            </w:r>
          </w:p>
        </w:tc>
        <w:tc>
          <w:tcPr>
            <w:tcW w:w="812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120" w:type="dxa"/>
            <w:vAlign w:val="bottom"/>
          </w:tcPr>
          <w:p>
            <w:pPr>
              <w:ind w:left="60"/>
              <w:spacing w:after="0"/>
              <w:rPr>
                <w:sz w:val="20"/>
                <w:szCs w:val="20"/>
                <w:color w:val="auto"/>
              </w:rPr>
            </w:pPr>
            <w:r>
              <w:rPr>
                <w:rFonts w:ascii="Arial" w:cs="Arial" w:eastAsia="Arial" w:hAnsi="Arial"/>
                <w:sz w:val="18"/>
                <w:szCs w:val="18"/>
                <w:color w:val="auto"/>
              </w:rPr>
              <w:t>Issuable in Series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8120" w:type="dxa"/>
            <w:vAlign w:val="bottom"/>
          </w:tcPr>
          <w:p>
            <w:pPr>
              <w:ind w:left="60"/>
              <w:spacing w:after="0"/>
              <w:rPr>
                <w:sz w:val="20"/>
                <w:szCs w:val="20"/>
                <w:color w:val="auto"/>
              </w:rPr>
            </w:pPr>
            <w:r>
              <w:rPr>
                <w:rFonts w:ascii="Arial" w:cs="Arial" w:eastAsia="Arial" w:hAnsi="Arial"/>
                <w:sz w:val="18"/>
                <w:szCs w:val="18"/>
                <w:color w:val="auto"/>
              </w:rPr>
              <w:t>Establishment of Terms of Series of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120" w:type="dxa"/>
            <w:vAlign w:val="bottom"/>
          </w:tcPr>
          <w:p>
            <w:pPr>
              <w:ind w:left="60"/>
              <w:spacing w:after="0"/>
              <w:rPr>
                <w:sz w:val="20"/>
                <w:szCs w:val="20"/>
                <w:color w:val="auto"/>
              </w:rPr>
            </w:pPr>
            <w:r>
              <w:rPr>
                <w:rFonts w:ascii="Arial" w:cs="Arial" w:eastAsia="Arial" w:hAnsi="Arial"/>
                <w:sz w:val="18"/>
                <w:szCs w:val="18"/>
                <w:color w:val="auto"/>
              </w:rPr>
              <w:t>Execution and Authentication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8120" w:type="dxa"/>
            <w:vAlign w:val="bottom"/>
          </w:tcPr>
          <w:p>
            <w:pPr>
              <w:ind w:left="60"/>
              <w:spacing w:after="0"/>
              <w:rPr>
                <w:sz w:val="20"/>
                <w:szCs w:val="20"/>
                <w:color w:val="auto"/>
              </w:rPr>
            </w:pPr>
            <w:r>
              <w:rPr>
                <w:rFonts w:ascii="Arial" w:cs="Arial" w:eastAsia="Arial" w:hAnsi="Arial"/>
                <w:sz w:val="18"/>
                <w:szCs w:val="18"/>
                <w:color w:val="auto"/>
              </w:rPr>
              <w:t>Registrar and Paying Agent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120" w:type="dxa"/>
            <w:vAlign w:val="bottom"/>
          </w:tcPr>
          <w:p>
            <w:pPr>
              <w:ind w:left="60"/>
              <w:spacing w:after="0"/>
              <w:rPr>
                <w:sz w:val="20"/>
                <w:szCs w:val="20"/>
                <w:color w:val="auto"/>
              </w:rPr>
            </w:pPr>
            <w:r>
              <w:rPr>
                <w:rFonts w:ascii="Arial" w:cs="Arial" w:eastAsia="Arial" w:hAnsi="Arial"/>
                <w:sz w:val="18"/>
                <w:szCs w:val="18"/>
                <w:color w:val="auto"/>
              </w:rPr>
              <w:t>Paying Agent to Hold Money in Trust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2.6.</w:t>
            </w:r>
          </w:p>
        </w:tc>
        <w:tc>
          <w:tcPr>
            <w:tcW w:w="8120" w:type="dxa"/>
            <w:vAlign w:val="bottom"/>
          </w:tcPr>
          <w:p>
            <w:pPr>
              <w:ind w:left="60"/>
              <w:spacing w:after="0"/>
              <w:rPr>
                <w:sz w:val="20"/>
                <w:szCs w:val="20"/>
                <w:color w:val="auto"/>
              </w:rPr>
            </w:pPr>
            <w:r>
              <w:rPr>
                <w:rFonts w:ascii="Arial" w:cs="Arial" w:eastAsia="Arial" w:hAnsi="Arial"/>
                <w:sz w:val="18"/>
                <w:szCs w:val="18"/>
                <w:color w:val="auto"/>
              </w:rPr>
              <w:t>Securityholder Lists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2.7.</w:t>
            </w:r>
          </w:p>
        </w:tc>
        <w:tc>
          <w:tcPr>
            <w:tcW w:w="8120" w:type="dxa"/>
            <w:vAlign w:val="bottom"/>
          </w:tcPr>
          <w:p>
            <w:pPr>
              <w:ind w:left="60"/>
              <w:spacing w:after="0"/>
              <w:rPr>
                <w:sz w:val="20"/>
                <w:szCs w:val="20"/>
                <w:color w:val="auto"/>
              </w:rPr>
            </w:pPr>
            <w:r>
              <w:rPr>
                <w:rFonts w:ascii="Arial" w:cs="Arial" w:eastAsia="Arial" w:hAnsi="Arial"/>
                <w:sz w:val="18"/>
                <w:szCs w:val="18"/>
                <w:color w:val="auto"/>
              </w:rPr>
              <w:t>Transfer and Exchange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2.8.</w:t>
            </w:r>
          </w:p>
        </w:tc>
        <w:tc>
          <w:tcPr>
            <w:tcW w:w="8120" w:type="dxa"/>
            <w:vAlign w:val="bottom"/>
          </w:tcPr>
          <w:p>
            <w:pPr>
              <w:ind w:left="60"/>
              <w:spacing w:after="0"/>
              <w:rPr>
                <w:sz w:val="20"/>
                <w:szCs w:val="20"/>
                <w:color w:val="auto"/>
              </w:rPr>
            </w:pPr>
            <w:r>
              <w:rPr>
                <w:rFonts w:ascii="Arial" w:cs="Arial" w:eastAsia="Arial" w:hAnsi="Arial"/>
                <w:sz w:val="18"/>
                <w:szCs w:val="18"/>
                <w:color w:val="auto"/>
              </w:rPr>
              <w:t>Mutilated, Destroyed, Lost and Stolen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2.9.</w:t>
            </w:r>
          </w:p>
        </w:tc>
        <w:tc>
          <w:tcPr>
            <w:tcW w:w="8120" w:type="dxa"/>
            <w:vAlign w:val="bottom"/>
          </w:tcPr>
          <w:p>
            <w:pPr>
              <w:ind w:left="60"/>
              <w:spacing w:after="0"/>
              <w:rPr>
                <w:sz w:val="20"/>
                <w:szCs w:val="20"/>
                <w:color w:val="auto"/>
              </w:rPr>
            </w:pPr>
            <w:r>
              <w:rPr>
                <w:rFonts w:ascii="Arial" w:cs="Arial" w:eastAsia="Arial" w:hAnsi="Arial"/>
                <w:sz w:val="18"/>
                <w:szCs w:val="18"/>
                <w:color w:val="auto"/>
              </w:rPr>
              <w:t>Outstanding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2.10.</w:t>
            </w:r>
          </w:p>
        </w:tc>
        <w:tc>
          <w:tcPr>
            <w:tcW w:w="8120" w:type="dxa"/>
            <w:vAlign w:val="bottom"/>
          </w:tcPr>
          <w:p>
            <w:pPr>
              <w:ind w:left="60"/>
              <w:spacing w:after="0"/>
              <w:rPr>
                <w:sz w:val="20"/>
                <w:szCs w:val="20"/>
                <w:color w:val="auto"/>
              </w:rPr>
            </w:pPr>
            <w:r>
              <w:rPr>
                <w:rFonts w:ascii="Arial" w:cs="Arial" w:eastAsia="Arial" w:hAnsi="Arial"/>
                <w:sz w:val="18"/>
                <w:szCs w:val="18"/>
                <w:color w:val="auto"/>
              </w:rPr>
              <w:t>Treasury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2.11.</w:t>
            </w:r>
          </w:p>
        </w:tc>
        <w:tc>
          <w:tcPr>
            <w:tcW w:w="8120" w:type="dxa"/>
            <w:vAlign w:val="bottom"/>
          </w:tcPr>
          <w:p>
            <w:pPr>
              <w:ind w:left="60"/>
              <w:spacing w:after="0"/>
              <w:rPr>
                <w:sz w:val="20"/>
                <w:szCs w:val="20"/>
                <w:color w:val="auto"/>
              </w:rPr>
            </w:pPr>
            <w:r>
              <w:rPr>
                <w:rFonts w:ascii="Arial" w:cs="Arial" w:eastAsia="Arial" w:hAnsi="Arial"/>
                <w:sz w:val="18"/>
                <w:szCs w:val="18"/>
                <w:color w:val="auto"/>
              </w:rPr>
              <w:t>Temporary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2.12.</w:t>
            </w:r>
          </w:p>
        </w:tc>
        <w:tc>
          <w:tcPr>
            <w:tcW w:w="812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2.13.</w:t>
            </w:r>
          </w:p>
        </w:tc>
        <w:tc>
          <w:tcPr>
            <w:tcW w:w="8120" w:type="dxa"/>
            <w:vAlign w:val="bottom"/>
          </w:tcPr>
          <w:p>
            <w:pPr>
              <w:ind w:left="60"/>
              <w:spacing w:after="0"/>
              <w:rPr>
                <w:sz w:val="20"/>
                <w:szCs w:val="20"/>
                <w:color w:val="auto"/>
              </w:rPr>
            </w:pPr>
            <w:r>
              <w:rPr>
                <w:rFonts w:ascii="Arial" w:cs="Arial" w:eastAsia="Arial" w:hAnsi="Arial"/>
                <w:sz w:val="18"/>
                <w:szCs w:val="18"/>
                <w:color w:val="auto"/>
              </w:rPr>
              <w:t>Defaulted Interest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2.14.</w:t>
            </w:r>
          </w:p>
        </w:tc>
        <w:tc>
          <w:tcPr>
            <w:tcW w:w="8120" w:type="dxa"/>
            <w:vAlign w:val="bottom"/>
          </w:tcPr>
          <w:p>
            <w:pPr>
              <w:ind w:left="60"/>
              <w:spacing w:after="0"/>
              <w:rPr>
                <w:sz w:val="20"/>
                <w:szCs w:val="20"/>
                <w:color w:val="auto"/>
              </w:rPr>
            </w:pPr>
            <w:r>
              <w:rPr>
                <w:rFonts w:ascii="Arial" w:cs="Arial" w:eastAsia="Arial" w:hAnsi="Arial"/>
                <w:sz w:val="18"/>
                <w:szCs w:val="18"/>
                <w:color w:val="auto"/>
              </w:rPr>
              <w:t>Global Securities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2.15.</w:t>
            </w:r>
          </w:p>
        </w:tc>
        <w:tc>
          <w:tcPr>
            <w:tcW w:w="8120" w:type="dxa"/>
            <w:vAlign w:val="bottom"/>
          </w:tcPr>
          <w:p>
            <w:pPr>
              <w:ind w:left="60"/>
              <w:spacing w:after="0"/>
              <w:rPr>
                <w:sz w:val="20"/>
                <w:szCs w:val="20"/>
                <w:color w:val="auto"/>
              </w:rPr>
            </w:pPr>
            <w:r>
              <w:rPr>
                <w:rFonts w:ascii="Arial" w:cs="Arial" w:eastAsia="Arial" w:hAnsi="Arial"/>
                <w:sz w:val="18"/>
                <w:szCs w:val="18"/>
                <w:color w:val="auto"/>
              </w:rPr>
              <w:t>CUSIP Numbers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w w:val="99"/>
              </w:rPr>
              <w:t>ARTICLE III. REDEMPTION</w:t>
            </w:r>
          </w:p>
        </w:tc>
        <w:tc>
          <w:tcPr>
            <w:tcW w:w="81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8120" w:type="dxa"/>
            <w:vAlign w:val="bottom"/>
          </w:tcPr>
          <w:p>
            <w:pPr>
              <w:ind w:left="60"/>
              <w:spacing w:after="0"/>
              <w:rPr>
                <w:sz w:val="20"/>
                <w:szCs w:val="20"/>
                <w:color w:val="auto"/>
              </w:rPr>
            </w:pPr>
            <w:r>
              <w:rPr>
                <w:rFonts w:ascii="Arial" w:cs="Arial" w:eastAsia="Arial" w:hAnsi="Arial"/>
                <w:sz w:val="18"/>
                <w:szCs w:val="18"/>
                <w:color w:val="auto"/>
              </w:rPr>
              <w:t>Notice to Trustee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8120" w:type="dxa"/>
            <w:vAlign w:val="bottom"/>
          </w:tcPr>
          <w:p>
            <w:pPr>
              <w:ind w:left="60"/>
              <w:spacing w:after="0"/>
              <w:rPr>
                <w:sz w:val="20"/>
                <w:szCs w:val="20"/>
                <w:color w:val="auto"/>
              </w:rPr>
            </w:pPr>
            <w:r>
              <w:rPr>
                <w:rFonts w:ascii="Arial" w:cs="Arial" w:eastAsia="Arial" w:hAnsi="Arial"/>
                <w:sz w:val="18"/>
                <w:szCs w:val="18"/>
                <w:color w:val="auto"/>
              </w:rPr>
              <w:t>Selection of Securities to be Redeemed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3.3.</w:t>
            </w:r>
          </w:p>
        </w:tc>
        <w:tc>
          <w:tcPr>
            <w:tcW w:w="8120" w:type="dxa"/>
            <w:vAlign w:val="bottom"/>
          </w:tcPr>
          <w:p>
            <w:pPr>
              <w:ind w:left="60"/>
              <w:spacing w:after="0"/>
              <w:rPr>
                <w:sz w:val="20"/>
                <w:szCs w:val="20"/>
                <w:color w:val="auto"/>
              </w:rPr>
            </w:pPr>
            <w:r>
              <w:rPr>
                <w:rFonts w:ascii="Arial" w:cs="Arial" w:eastAsia="Arial" w:hAnsi="Arial"/>
                <w:sz w:val="18"/>
                <w:szCs w:val="18"/>
                <w:color w:val="auto"/>
              </w:rPr>
              <w:t>Notice of Redemption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8120" w:type="dxa"/>
            <w:vAlign w:val="bottom"/>
          </w:tcPr>
          <w:p>
            <w:pPr>
              <w:ind w:left="60"/>
              <w:spacing w:after="0"/>
              <w:rPr>
                <w:sz w:val="20"/>
                <w:szCs w:val="20"/>
                <w:color w:val="auto"/>
              </w:rPr>
            </w:pPr>
            <w:r>
              <w:rPr>
                <w:rFonts w:ascii="Arial" w:cs="Arial" w:eastAsia="Arial" w:hAnsi="Arial"/>
                <w:sz w:val="18"/>
                <w:szCs w:val="18"/>
                <w:color w:val="auto"/>
              </w:rPr>
              <w:t>Effect of Notice of Redemption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8120" w:type="dxa"/>
            <w:vAlign w:val="bottom"/>
          </w:tcPr>
          <w:p>
            <w:pPr>
              <w:ind w:left="60"/>
              <w:spacing w:after="0"/>
              <w:rPr>
                <w:sz w:val="20"/>
                <w:szCs w:val="20"/>
                <w:color w:val="auto"/>
              </w:rPr>
            </w:pPr>
            <w:r>
              <w:rPr>
                <w:rFonts w:ascii="Arial" w:cs="Arial" w:eastAsia="Arial" w:hAnsi="Arial"/>
                <w:sz w:val="18"/>
                <w:szCs w:val="18"/>
                <w:color w:val="auto"/>
              </w:rPr>
              <w:t>Deposit of Redemption Price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8120" w:type="dxa"/>
            <w:vAlign w:val="bottom"/>
          </w:tcPr>
          <w:p>
            <w:pPr>
              <w:ind w:left="60"/>
              <w:spacing w:after="0"/>
              <w:rPr>
                <w:sz w:val="20"/>
                <w:szCs w:val="20"/>
                <w:color w:val="auto"/>
              </w:rPr>
            </w:pPr>
            <w:r>
              <w:rPr>
                <w:rFonts w:ascii="Arial" w:cs="Arial" w:eastAsia="Arial" w:hAnsi="Arial"/>
                <w:sz w:val="18"/>
                <w:szCs w:val="18"/>
                <w:color w:val="auto"/>
              </w:rPr>
              <w:t>Securities Redeemed in Part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ARTICLE IV. COVENANTS</w:t>
            </w:r>
          </w:p>
        </w:tc>
        <w:tc>
          <w:tcPr>
            <w:tcW w:w="81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8120" w:type="dxa"/>
            <w:vAlign w:val="bottom"/>
          </w:tcPr>
          <w:p>
            <w:pPr>
              <w:ind w:left="60"/>
              <w:spacing w:after="0"/>
              <w:rPr>
                <w:sz w:val="20"/>
                <w:szCs w:val="20"/>
                <w:color w:val="auto"/>
              </w:rPr>
            </w:pPr>
            <w:r>
              <w:rPr>
                <w:rFonts w:ascii="Arial" w:cs="Arial" w:eastAsia="Arial" w:hAnsi="Arial"/>
                <w:sz w:val="18"/>
                <w:szCs w:val="18"/>
                <w:color w:val="auto"/>
              </w:rPr>
              <w:t>Payment of Principal and Interest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8120" w:type="dxa"/>
            <w:vAlign w:val="bottom"/>
          </w:tcPr>
          <w:p>
            <w:pPr>
              <w:ind w:left="60"/>
              <w:spacing w:after="0"/>
              <w:rPr>
                <w:sz w:val="20"/>
                <w:szCs w:val="20"/>
                <w:color w:val="auto"/>
              </w:rPr>
            </w:pPr>
            <w:r>
              <w:rPr>
                <w:rFonts w:ascii="Arial" w:cs="Arial" w:eastAsia="Arial" w:hAnsi="Arial"/>
                <w:sz w:val="18"/>
                <w:szCs w:val="18"/>
                <w:color w:val="auto"/>
              </w:rPr>
              <w:t>SEC Reports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8120" w:type="dxa"/>
            <w:vAlign w:val="bottom"/>
          </w:tcPr>
          <w:p>
            <w:pPr>
              <w:ind w:left="60"/>
              <w:spacing w:after="0"/>
              <w:rPr>
                <w:sz w:val="20"/>
                <w:szCs w:val="20"/>
                <w:color w:val="auto"/>
              </w:rPr>
            </w:pPr>
            <w:r>
              <w:rPr>
                <w:rFonts w:ascii="Arial" w:cs="Arial" w:eastAsia="Arial" w:hAnsi="Arial"/>
                <w:sz w:val="18"/>
                <w:szCs w:val="18"/>
                <w:color w:val="auto"/>
              </w:rPr>
              <w:t>Compliance Certificate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8120" w:type="dxa"/>
            <w:vAlign w:val="bottom"/>
          </w:tcPr>
          <w:p>
            <w:pPr>
              <w:ind w:left="60"/>
              <w:spacing w:after="0"/>
              <w:rPr>
                <w:sz w:val="20"/>
                <w:szCs w:val="20"/>
                <w:color w:val="auto"/>
              </w:rPr>
            </w:pPr>
            <w:r>
              <w:rPr>
                <w:rFonts w:ascii="Arial" w:cs="Arial" w:eastAsia="Arial" w:hAnsi="Arial"/>
                <w:sz w:val="18"/>
                <w:szCs w:val="18"/>
                <w:color w:val="auto"/>
              </w:rPr>
              <w:t>Stay, Extension and Usury Laws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w w:val="98"/>
              </w:rPr>
              <w:t>ARTICLE V. SUCCESSORS</w:t>
            </w:r>
          </w:p>
        </w:tc>
        <w:tc>
          <w:tcPr>
            <w:tcW w:w="81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28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8120" w:type="dxa"/>
            <w:vAlign w:val="bottom"/>
          </w:tcPr>
          <w:p>
            <w:pPr>
              <w:ind w:left="60"/>
              <w:spacing w:after="0"/>
              <w:rPr>
                <w:sz w:val="20"/>
                <w:szCs w:val="20"/>
                <w:color w:val="auto"/>
              </w:rPr>
            </w:pPr>
            <w:r>
              <w:rPr>
                <w:rFonts w:ascii="Arial" w:cs="Arial" w:eastAsia="Arial" w:hAnsi="Arial"/>
                <w:sz w:val="18"/>
                <w:szCs w:val="18"/>
                <w:color w:val="auto"/>
              </w:rPr>
              <w:t>When Company May Merge, Etc.</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8120" w:type="dxa"/>
            <w:vAlign w:val="bottom"/>
          </w:tcPr>
          <w:p>
            <w:pPr>
              <w:ind w:left="60"/>
              <w:spacing w:after="0"/>
              <w:rPr>
                <w:sz w:val="20"/>
                <w:szCs w:val="20"/>
                <w:color w:val="auto"/>
              </w:rPr>
            </w:pPr>
            <w:r>
              <w:rPr>
                <w:rFonts w:ascii="Arial" w:cs="Arial" w:eastAsia="Arial" w:hAnsi="Arial"/>
                <w:sz w:val="18"/>
                <w:szCs w:val="18"/>
                <w:color w:val="auto"/>
              </w:rPr>
              <w:t>Successor Corporation Substituted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8"/>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812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2280" w:type="dxa"/>
            <w:vAlign w:val="bottom"/>
          </w:tcPr>
          <w:p>
            <w:pPr>
              <w:spacing w:after="0"/>
              <w:rPr>
                <w:sz w:val="24"/>
                <w:szCs w:val="24"/>
                <w:color w:val="auto"/>
              </w:rPr>
            </w:pPr>
          </w:p>
        </w:tc>
        <w:tc>
          <w:tcPr>
            <w:tcW w:w="8120" w:type="dxa"/>
            <w:vAlign w:val="bottom"/>
          </w:tcPr>
          <w:p>
            <w:pPr>
              <w:ind w:left="3400"/>
              <w:spacing w:after="0"/>
              <w:rPr>
                <w:sz w:val="20"/>
                <w:szCs w:val="20"/>
                <w:color w:val="auto"/>
              </w:rPr>
            </w:pPr>
            <w:r>
              <w:rPr>
                <w:rFonts w:ascii="Arial" w:cs="Arial" w:eastAsia="Arial" w:hAnsi="Arial"/>
                <w:sz w:val="18"/>
                <w:szCs w:val="18"/>
                <w:color w:val="auto"/>
              </w:rPr>
              <w:t>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280" w:type="dxa"/>
            <w:vAlign w:val="bottom"/>
            <w:tcBorders>
              <w:bottom w:val="single" w:sz="8" w:color="808080"/>
            </w:tcBorders>
          </w:tcPr>
          <w:p>
            <w:pPr>
              <w:spacing w:after="0"/>
              <w:rPr>
                <w:sz w:val="11"/>
                <w:szCs w:val="11"/>
                <w:color w:val="auto"/>
              </w:rPr>
            </w:pPr>
          </w:p>
        </w:tc>
        <w:tc>
          <w:tcPr>
            <w:tcW w:w="8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gridSpan w:val="2"/>
          </w:tcPr>
          <w:p>
            <w:pPr>
              <w:spacing w:after="0"/>
              <w:rPr>
                <w:sz w:val="11"/>
                <w:szCs w:val="11"/>
                <w:color w:val="auto"/>
              </w:rPr>
            </w:pPr>
          </w:p>
        </w:tc>
      </w:tr>
      <w:tr>
        <w:trPr>
          <w:trHeight w:val="766"/>
        </w:trPr>
        <w:tc>
          <w:tcPr>
            <w:tcW w:w="228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8120" w:type="dxa"/>
            <w:vAlign w:val="bottom"/>
          </w:tcPr>
          <w:p>
            <w:pPr>
              <w:ind w:left="60"/>
              <w:spacing w:after="0"/>
              <w:rPr>
                <w:sz w:val="20"/>
                <w:szCs w:val="20"/>
                <w:color w:val="auto"/>
              </w:rPr>
            </w:pPr>
            <w:r>
              <w:rPr>
                <w:rFonts w:ascii="Arial" w:cs="Arial" w:eastAsia="Arial" w:hAnsi="Arial"/>
                <w:sz w:val="18"/>
                <w:szCs w:val="18"/>
                <w:color w:val="auto"/>
              </w:rPr>
              <w:t>Acceleration of Maturity; Rescission and Annulment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2280" w:type="dxa"/>
            <w:vAlign w:val="bottom"/>
          </w:tcPr>
          <w:p>
            <w:pPr>
              <w:ind w:left="660"/>
              <w:spacing w:after="0"/>
              <w:rPr>
                <w:sz w:val="20"/>
                <w:szCs w:val="20"/>
                <w:color w:val="auto"/>
              </w:rPr>
            </w:pPr>
            <w:r>
              <w:rPr>
                <w:rFonts w:ascii="Arial" w:cs="Arial" w:eastAsia="Arial" w:hAnsi="Arial"/>
                <w:sz w:val="18"/>
                <w:szCs w:val="18"/>
                <w:color w:val="auto"/>
              </w:rPr>
              <w:t>Section 6.3.</w:t>
            </w:r>
          </w:p>
        </w:tc>
        <w:tc>
          <w:tcPr>
            <w:tcW w:w="8120" w:type="dxa"/>
            <w:vAlign w:val="bottom"/>
          </w:tcPr>
          <w:p>
            <w:pPr>
              <w:ind w:left="60"/>
              <w:spacing w:after="0"/>
              <w:rPr>
                <w:sz w:val="20"/>
                <w:szCs w:val="20"/>
                <w:color w:val="auto"/>
              </w:rPr>
            </w:pPr>
            <w:r>
              <w:rPr>
                <w:rFonts w:ascii="Arial" w:cs="Arial" w:eastAsia="Arial" w:hAnsi="Arial"/>
                <w:sz w:val="18"/>
                <w:szCs w:val="18"/>
                <w:color w:val="auto"/>
              </w:rPr>
              <w:t>Collection of Indebtedness and Suits for Enforcement by Trustee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700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6.5.</w:t>
            </w:r>
          </w:p>
        </w:tc>
        <w:tc>
          <w:tcPr>
            <w:tcW w:w="7000" w:type="dxa"/>
            <w:vAlign w:val="bottom"/>
          </w:tcPr>
          <w:p>
            <w:pPr>
              <w:ind w:left="200"/>
              <w:spacing w:after="0"/>
              <w:rPr>
                <w:sz w:val="20"/>
                <w:szCs w:val="20"/>
                <w:color w:val="auto"/>
              </w:rPr>
            </w:pPr>
            <w:r>
              <w:rPr>
                <w:rFonts w:ascii="Arial" w:cs="Arial" w:eastAsia="Arial" w:hAnsi="Arial"/>
                <w:sz w:val="18"/>
                <w:szCs w:val="18"/>
                <w:color w:val="auto"/>
              </w:rPr>
              <w:t>Trustee May Enforce Claims Without Possession of Securities</w:t>
            </w: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6.6.</w:t>
            </w:r>
          </w:p>
        </w:tc>
        <w:tc>
          <w:tcPr>
            <w:tcW w:w="7000" w:type="dxa"/>
            <w:vAlign w:val="bottom"/>
          </w:tcPr>
          <w:p>
            <w:pPr>
              <w:ind w:left="200"/>
              <w:spacing w:after="0"/>
              <w:rPr>
                <w:sz w:val="20"/>
                <w:szCs w:val="20"/>
                <w:color w:val="auto"/>
              </w:rPr>
            </w:pPr>
            <w:r>
              <w:rPr>
                <w:rFonts w:ascii="Arial" w:cs="Arial" w:eastAsia="Arial" w:hAnsi="Arial"/>
                <w:sz w:val="18"/>
                <w:szCs w:val="18"/>
                <w:color w:val="auto"/>
              </w:rPr>
              <w:t>Application of Money Collected</w:t>
            </w:r>
          </w:p>
        </w:tc>
        <w:tc>
          <w:tcPr>
            <w:tcW w:w="2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6.7.</w:t>
            </w:r>
          </w:p>
        </w:tc>
        <w:tc>
          <w:tcPr>
            <w:tcW w:w="700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2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6.8.</w:t>
            </w:r>
          </w:p>
        </w:tc>
        <w:tc>
          <w:tcPr>
            <w:tcW w:w="7000" w:type="dxa"/>
            <w:vAlign w:val="bottom"/>
          </w:tcPr>
          <w:p>
            <w:pPr>
              <w:ind w:left="20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6.9.</w:t>
            </w:r>
          </w:p>
        </w:tc>
        <w:tc>
          <w:tcPr>
            <w:tcW w:w="7000" w:type="dxa"/>
            <w:vAlign w:val="bottom"/>
          </w:tcPr>
          <w:p>
            <w:pPr>
              <w:ind w:left="200"/>
              <w:spacing w:after="0"/>
              <w:rPr>
                <w:sz w:val="20"/>
                <w:szCs w:val="20"/>
                <w:color w:val="auto"/>
              </w:rPr>
            </w:pPr>
            <w:r>
              <w:rPr>
                <w:rFonts w:ascii="Arial" w:cs="Arial" w:eastAsia="Arial" w:hAnsi="Arial"/>
                <w:sz w:val="18"/>
                <w:szCs w:val="18"/>
                <w:color w:val="auto"/>
              </w:rPr>
              <w:t>Restoration of Rights and 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6.10.</w:t>
            </w:r>
          </w:p>
        </w:tc>
        <w:tc>
          <w:tcPr>
            <w:tcW w:w="7000" w:type="dxa"/>
            <w:vAlign w:val="bottom"/>
          </w:tcPr>
          <w:p>
            <w:pPr>
              <w:ind w:left="200"/>
              <w:spacing w:after="0"/>
              <w:rPr>
                <w:sz w:val="20"/>
                <w:szCs w:val="20"/>
                <w:color w:val="auto"/>
              </w:rPr>
            </w:pPr>
            <w:r>
              <w:rPr>
                <w:rFonts w:ascii="Arial" w:cs="Arial" w:eastAsia="Arial" w:hAnsi="Arial"/>
                <w:sz w:val="18"/>
                <w:szCs w:val="18"/>
                <w:color w:val="auto"/>
              </w:rPr>
              <w:t>Rights and Remedies Cumulative</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6.11.</w:t>
            </w:r>
          </w:p>
        </w:tc>
        <w:tc>
          <w:tcPr>
            <w:tcW w:w="7000" w:type="dxa"/>
            <w:vAlign w:val="bottom"/>
          </w:tcPr>
          <w:p>
            <w:pPr>
              <w:ind w:left="200"/>
              <w:spacing w:after="0"/>
              <w:rPr>
                <w:sz w:val="20"/>
                <w:szCs w:val="20"/>
                <w:color w:val="auto"/>
              </w:rPr>
            </w:pPr>
            <w:r>
              <w:rPr>
                <w:rFonts w:ascii="Arial" w:cs="Arial" w:eastAsia="Arial" w:hAnsi="Arial"/>
                <w:sz w:val="18"/>
                <w:szCs w:val="18"/>
                <w:color w:val="auto"/>
              </w:rPr>
              <w:t>Delay or Omission Not 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6.12.</w:t>
            </w:r>
          </w:p>
        </w:tc>
        <w:tc>
          <w:tcPr>
            <w:tcW w:w="7000" w:type="dxa"/>
            <w:vAlign w:val="bottom"/>
          </w:tcPr>
          <w:p>
            <w:pPr>
              <w:ind w:left="200"/>
              <w:spacing w:after="0"/>
              <w:rPr>
                <w:sz w:val="20"/>
                <w:szCs w:val="20"/>
                <w:color w:val="auto"/>
              </w:rPr>
            </w:pPr>
            <w:r>
              <w:rPr>
                <w:rFonts w:ascii="Arial" w:cs="Arial" w:eastAsia="Arial" w:hAnsi="Arial"/>
                <w:sz w:val="18"/>
                <w:szCs w:val="18"/>
                <w:color w:val="auto"/>
              </w:rPr>
              <w:t>Control by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6.13.</w:t>
            </w:r>
          </w:p>
        </w:tc>
        <w:tc>
          <w:tcPr>
            <w:tcW w:w="7000" w:type="dxa"/>
            <w:vAlign w:val="bottom"/>
          </w:tcPr>
          <w:p>
            <w:pPr>
              <w:ind w:left="200"/>
              <w:spacing w:after="0"/>
              <w:rPr>
                <w:sz w:val="20"/>
                <w:szCs w:val="20"/>
                <w:color w:val="auto"/>
              </w:rPr>
            </w:pPr>
            <w:r>
              <w:rPr>
                <w:rFonts w:ascii="Arial" w:cs="Arial" w:eastAsia="Arial" w:hAnsi="Arial"/>
                <w:sz w:val="18"/>
                <w:szCs w:val="18"/>
                <w:color w:val="auto"/>
              </w:rPr>
              <w:t>Waiver of Past Defaults</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6.14.</w:t>
            </w:r>
          </w:p>
        </w:tc>
        <w:tc>
          <w:tcPr>
            <w:tcW w:w="700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2140" w:type="dxa"/>
            <w:vAlign w:val="bottom"/>
          </w:tcPr>
          <w:p>
            <w:pPr>
              <w:spacing w:after="0"/>
              <w:rPr>
                <w:sz w:val="20"/>
                <w:szCs w:val="20"/>
                <w:color w:val="auto"/>
              </w:rPr>
            </w:pPr>
            <w:r>
              <w:rPr>
                <w:rFonts w:ascii="Arial" w:cs="Arial" w:eastAsia="Arial" w:hAnsi="Arial"/>
                <w:sz w:val="18"/>
                <w:szCs w:val="18"/>
                <w:color w:val="auto"/>
              </w:rPr>
              <w:t>ARTICLE VII. TRUSTEE</w:t>
            </w:r>
          </w:p>
        </w:tc>
        <w:tc>
          <w:tcPr>
            <w:tcW w:w="70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700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7000" w:type="dxa"/>
            <w:vAlign w:val="bottom"/>
          </w:tcPr>
          <w:p>
            <w:pPr>
              <w:ind w:left="200"/>
              <w:spacing w:after="0"/>
              <w:rPr>
                <w:sz w:val="20"/>
                <w:szCs w:val="20"/>
                <w:color w:val="auto"/>
              </w:rPr>
            </w:pPr>
            <w:r>
              <w:rPr>
                <w:rFonts w:ascii="Arial" w:cs="Arial" w:eastAsia="Arial" w:hAnsi="Arial"/>
                <w:sz w:val="18"/>
                <w:szCs w:val="18"/>
                <w:color w:val="auto"/>
              </w:rPr>
              <w:t>Rights of Trustee</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7000" w:type="dxa"/>
            <w:vAlign w:val="bottom"/>
          </w:tcPr>
          <w:p>
            <w:pPr>
              <w:ind w:left="200"/>
              <w:spacing w:after="0"/>
              <w:rPr>
                <w:sz w:val="20"/>
                <w:szCs w:val="20"/>
                <w:color w:val="auto"/>
              </w:rPr>
            </w:pPr>
            <w:r>
              <w:rPr>
                <w:rFonts w:ascii="Arial" w:cs="Arial" w:eastAsia="Arial" w:hAnsi="Arial"/>
                <w:sz w:val="18"/>
                <w:szCs w:val="18"/>
                <w:color w:val="auto"/>
              </w:rPr>
              <w:t>Individual Rights of Trustee</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7000" w:type="dxa"/>
            <w:vAlign w:val="bottom"/>
          </w:tcPr>
          <w:p>
            <w:pPr>
              <w:ind w:left="200"/>
              <w:spacing w:after="0"/>
              <w:rPr>
                <w:sz w:val="20"/>
                <w:szCs w:val="20"/>
                <w:color w:val="auto"/>
              </w:rPr>
            </w:pPr>
            <w:r>
              <w:rPr>
                <w:rFonts w:ascii="Arial" w:cs="Arial" w:eastAsia="Arial" w:hAnsi="Arial"/>
                <w:sz w:val="18"/>
                <w:szCs w:val="18"/>
                <w:color w:val="auto"/>
              </w:rPr>
              <w:t>Trustee’s Disclaimer</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700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7.6.</w:t>
            </w:r>
          </w:p>
        </w:tc>
        <w:tc>
          <w:tcPr>
            <w:tcW w:w="7000" w:type="dxa"/>
            <w:vAlign w:val="bottom"/>
          </w:tcPr>
          <w:p>
            <w:pPr>
              <w:ind w:left="200"/>
              <w:spacing w:after="0"/>
              <w:rPr>
                <w:sz w:val="20"/>
                <w:szCs w:val="20"/>
                <w:color w:val="auto"/>
              </w:rPr>
            </w:pPr>
            <w:r>
              <w:rPr>
                <w:rFonts w:ascii="Arial" w:cs="Arial" w:eastAsia="Arial" w:hAnsi="Arial"/>
                <w:sz w:val="18"/>
                <w:szCs w:val="18"/>
                <w:color w:val="auto"/>
              </w:rPr>
              <w:t>Reports by Trustee to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7.7.</w:t>
            </w:r>
          </w:p>
        </w:tc>
        <w:tc>
          <w:tcPr>
            <w:tcW w:w="7000" w:type="dxa"/>
            <w:vAlign w:val="bottom"/>
          </w:tcPr>
          <w:p>
            <w:pPr>
              <w:ind w:left="200"/>
              <w:spacing w:after="0"/>
              <w:rPr>
                <w:sz w:val="20"/>
                <w:szCs w:val="20"/>
                <w:color w:val="auto"/>
              </w:rPr>
            </w:pPr>
            <w:r>
              <w:rPr>
                <w:rFonts w:ascii="Arial" w:cs="Arial" w:eastAsia="Arial" w:hAnsi="Arial"/>
                <w:sz w:val="18"/>
                <w:szCs w:val="18"/>
                <w:color w:val="auto"/>
              </w:rPr>
              <w:t>Compensation and Indemnity</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7.8.</w:t>
            </w:r>
          </w:p>
        </w:tc>
        <w:tc>
          <w:tcPr>
            <w:tcW w:w="700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7.9.</w:t>
            </w:r>
          </w:p>
        </w:tc>
        <w:tc>
          <w:tcPr>
            <w:tcW w:w="7000" w:type="dxa"/>
            <w:vAlign w:val="bottom"/>
          </w:tcPr>
          <w:p>
            <w:pPr>
              <w:ind w:left="200"/>
              <w:spacing w:after="0"/>
              <w:rPr>
                <w:sz w:val="20"/>
                <w:szCs w:val="20"/>
                <w:color w:val="auto"/>
              </w:rPr>
            </w:pPr>
            <w:r>
              <w:rPr>
                <w:rFonts w:ascii="Arial" w:cs="Arial" w:eastAsia="Arial" w:hAnsi="Arial"/>
                <w:sz w:val="18"/>
                <w:szCs w:val="18"/>
                <w:color w:val="auto"/>
              </w:rPr>
              <w:t>Successor Trustee by Merger, Etc.</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7.10.</w:t>
            </w:r>
          </w:p>
        </w:tc>
        <w:tc>
          <w:tcPr>
            <w:tcW w:w="700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7.11.</w:t>
            </w:r>
          </w:p>
        </w:tc>
        <w:tc>
          <w:tcPr>
            <w:tcW w:w="7000" w:type="dxa"/>
            <w:vAlign w:val="bottom"/>
          </w:tcPr>
          <w:p>
            <w:pPr>
              <w:ind w:left="200"/>
              <w:spacing w:after="0"/>
              <w:rPr>
                <w:sz w:val="20"/>
                <w:szCs w:val="20"/>
                <w:color w:val="auto"/>
              </w:rPr>
            </w:pPr>
            <w:r>
              <w:rPr>
                <w:rFonts w:ascii="Arial" w:cs="Arial" w:eastAsia="Arial" w:hAnsi="Arial"/>
                <w:sz w:val="18"/>
                <w:szCs w:val="18"/>
                <w:color w:val="auto"/>
              </w:rPr>
              <w:t>Preferential Collection of Claims Against Company</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914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7000" w:type="dxa"/>
            <w:vAlign w:val="bottom"/>
          </w:tcPr>
          <w:p>
            <w:pPr>
              <w:ind w:left="200"/>
              <w:spacing w:after="0"/>
              <w:rPr>
                <w:sz w:val="20"/>
                <w:szCs w:val="20"/>
                <w:color w:val="auto"/>
              </w:rPr>
            </w:pPr>
            <w:r>
              <w:rPr>
                <w:rFonts w:ascii="Arial" w:cs="Arial" w:eastAsia="Arial" w:hAnsi="Arial"/>
                <w:sz w:val="18"/>
                <w:szCs w:val="18"/>
                <w:color w:val="auto"/>
              </w:rPr>
              <w:t>Satisfaction and Discharge of Indenture</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7000" w:type="dxa"/>
            <w:vAlign w:val="bottom"/>
          </w:tcPr>
          <w:p>
            <w:pPr>
              <w:ind w:left="200"/>
              <w:spacing w:after="0"/>
              <w:rPr>
                <w:sz w:val="20"/>
                <w:szCs w:val="20"/>
                <w:color w:val="auto"/>
              </w:rPr>
            </w:pPr>
            <w:r>
              <w:rPr>
                <w:rFonts w:ascii="Arial" w:cs="Arial" w:eastAsia="Arial" w:hAnsi="Arial"/>
                <w:sz w:val="18"/>
                <w:szCs w:val="18"/>
                <w:color w:val="auto"/>
              </w:rPr>
              <w:t>Application of Trust Funds; 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8.3.</w:t>
            </w:r>
          </w:p>
        </w:tc>
        <w:tc>
          <w:tcPr>
            <w:tcW w:w="7000" w:type="dxa"/>
            <w:vAlign w:val="bottom"/>
          </w:tcPr>
          <w:p>
            <w:pPr>
              <w:ind w:left="200"/>
              <w:spacing w:after="0"/>
              <w:rPr>
                <w:sz w:val="20"/>
                <w:szCs w:val="20"/>
                <w:color w:val="auto"/>
              </w:rPr>
            </w:pPr>
            <w:r>
              <w:rPr>
                <w:rFonts w:ascii="Arial" w:cs="Arial" w:eastAsia="Arial" w:hAnsi="Arial"/>
                <w:sz w:val="18"/>
                <w:szCs w:val="18"/>
                <w:color w:val="auto"/>
              </w:rPr>
              <w:t>Legal Defeasance of Securities of any Series</w:t>
            </w: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700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2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8.5.</w:t>
            </w:r>
          </w:p>
        </w:tc>
        <w:tc>
          <w:tcPr>
            <w:tcW w:w="7000" w:type="dxa"/>
            <w:vAlign w:val="bottom"/>
          </w:tcPr>
          <w:p>
            <w:pPr>
              <w:ind w:left="200"/>
              <w:spacing w:after="0"/>
              <w:rPr>
                <w:sz w:val="20"/>
                <w:szCs w:val="20"/>
                <w:color w:val="auto"/>
              </w:rPr>
            </w:pPr>
            <w:r>
              <w:rPr>
                <w:rFonts w:ascii="Arial" w:cs="Arial" w:eastAsia="Arial" w:hAnsi="Arial"/>
                <w:sz w:val="18"/>
                <w:szCs w:val="18"/>
                <w:color w:val="auto"/>
              </w:rPr>
              <w:t>Repayment to Company</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8.6.</w:t>
            </w:r>
          </w:p>
        </w:tc>
        <w:tc>
          <w:tcPr>
            <w:tcW w:w="700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914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7000" w:type="dxa"/>
            <w:vAlign w:val="bottom"/>
          </w:tcPr>
          <w:p>
            <w:pPr>
              <w:ind w:left="200"/>
              <w:spacing w:after="0"/>
              <w:rPr>
                <w:sz w:val="20"/>
                <w:szCs w:val="20"/>
                <w:color w:val="auto"/>
              </w:rPr>
            </w:pPr>
            <w:r>
              <w:rPr>
                <w:rFonts w:ascii="Arial" w:cs="Arial" w:eastAsia="Arial" w:hAnsi="Arial"/>
                <w:sz w:val="18"/>
                <w:szCs w:val="18"/>
                <w:color w:val="auto"/>
              </w:rPr>
              <w:t>Without Consent of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7000" w:type="dxa"/>
            <w:vAlign w:val="bottom"/>
          </w:tcPr>
          <w:p>
            <w:pPr>
              <w:ind w:left="200"/>
              <w:spacing w:after="0"/>
              <w:rPr>
                <w:sz w:val="20"/>
                <w:szCs w:val="20"/>
                <w:color w:val="auto"/>
              </w:rPr>
            </w:pPr>
            <w:r>
              <w:rPr>
                <w:rFonts w:ascii="Arial" w:cs="Arial" w:eastAsia="Arial" w:hAnsi="Arial"/>
                <w:sz w:val="18"/>
                <w:szCs w:val="18"/>
                <w:color w:val="auto"/>
              </w:rPr>
              <w:t>With Consent of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9.3.</w:t>
            </w:r>
          </w:p>
        </w:tc>
        <w:tc>
          <w:tcPr>
            <w:tcW w:w="700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7000" w:type="dxa"/>
            <w:vAlign w:val="bottom"/>
          </w:tcPr>
          <w:p>
            <w:pPr>
              <w:ind w:left="200"/>
              <w:spacing w:after="0"/>
              <w:rPr>
                <w:sz w:val="20"/>
                <w:szCs w:val="20"/>
                <w:color w:val="auto"/>
              </w:rPr>
            </w:pPr>
            <w:r>
              <w:rPr>
                <w:rFonts w:ascii="Arial" w:cs="Arial" w:eastAsia="Arial" w:hAnsi="Arial"/>
                <w:sz w:val="18"/>
                <w:szCs w:val="18"/>
                <w:color w:val="auto"/>
              </w:rPr>
              <w:t>Compliance with Trust Indenture Act</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9.5.</w:t>
            </w:r>
          </w:p>
        </w:tc>
        <w:tc>
          <w:tcPr>
            <w:tcW w:w="7000" w:type="dxa"/>
            <w:vAlign w:val="bottom"/>
          </w:tcPr>
          <w:p>
            <w:pPr>
              <w:ind w:left="200"/>
              <w:spacing w:after="0"/>
              <w:rPr>
                <w:sz w:val="20"/>
                <w:szCs w:val="20"/>
                <w:color w:val="auto"/>
              </w:rPr>
            </w:pPr>
            <w:r>
              <w:rPr>
                <w:rFonts w:ascii="Arial" w:cs="Arial" w:eastAsia="Arial" w:hAnsi="Arial"/>
                <w:sz w:val="18"/>
                <w:szCs w:val="18"/>
                <w:color w:val="auto"/>
              </w:rPr>
              <w:t>Revocation and Effect of Consents</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9.6.</w:t>
            </w:r>
          </w:p>
        </w:tc>
        <w:tc>
          <w:tcPr>
            <w:tcW w:w="7000" w:type="dxa"/>
            <w:vAlign w:val="bottom"/>
          </w:tcPr>
          <w:p>
            <w:pPr>
              <w:ind w:left="200"/>
              <w:spacing w:after="0"/>
              <w:rPr>
                <w:sz w:val="20"/>
                <w:szCs w:val="20"/>
                <w:color w:val="auto"/>
              </w:rPr>
            </w:pPr>
            <w:r>
              <w:rPr>
                <w:rFonts w:ascii="Arial" w:cs="Arial" w:eastAsia="Arial" w:hAnsi="Arial"/>
                <w:sz w:val="18"/>
                <w:szCs w:val="18"/>
                <w:color w:val="auto"/>
              </w:rPr>
              <w:t>Notation on or Exchange of Securities</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9.7.</w:t>
            </w:r>
          </w:p>
        </w:tc>
        <w:tc>
          <w:tcPr>
            <w:tcW w:w="7000" w:type="dxa"/>
            <w:vAlign w:val="bottom"/>
          </w:tcPr>
          <w:p>
            <w:pPr>
              <w:ind w:left="200"/>
              <w:spacing w:after="0"/>
              <w:rPr>
                <w:sz w:val="20"/>
                <w:szCs w:val="20"/>
                <w:color w:val="auto"/>
              </w:rPr>
            </w:pPr>
            <w:r>
              <w:rPr>
                <w:rFonts w:ascii="Arial" w:cs="Arial" w:eastAsia="Arial" w:hAnsi="Arial"/>
                <w:sz w:val="18"/>
                <w:szCs w:val="18"/>
                <w:color w:val="auto"/>
              </w:rPr>
              <w:t>Trustee Protected</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91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w:t>
            </w:r>
          </w:p>
        </w:tc>
        <w:tc>
          <w:tcPr>
            <w:tcW w:w="7000" w:type="dxa"/>
            <w:vAlign w:val="bottom"/>
          </w:tcPr>
          <w:p>
            <w:pPr>
              <w:ind w:left="200"/>
              <w:spacing w:after="0"/>
              <w:rPr>
                <w:sz w:val="20"/>
                <w:szCs w:val="20"/>
                <w:color w:val="auto"/>
              </w:rPr>
            </w:pPr>
            <w:r>
              <w:rPr>
                <w:rFonts w:ascii="Arial" w:cs="Arial" w:eastAsia="Arial" w:hAnsi="Arial"/>
                <w:sz w:val="18"/>
                <w:szCs w:val="18"/>
                <w:color w:val="auto"/>
              </w:rPr>
              <w:t>Trust Indenture Act Controls</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10.2.</w:t>
            </w:r>
          </w:p>
        </w:tc>
        <w:tc>
          <w:tcPr>
            <w:tcW w:w="7000" w:type="dxa"/>
            <w:vAlign w:val="bottom"/>
          </w:tcPr>
          <w:p>
            <w:pPr>
              <w:ind w:left="20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2140" w:type="dxa"/>
            <w:vAlign w:val="bottom"/>
          </w:tcPr>
          <w:p>
            <w:pPr>
              <w:spacing w:after="0"/>
              <w:rPr>
                <w:sz w:val="24"/>
                <w:szCs w:val="24"/>
                <w:color w:val="auto"/>
              </w:rPr>
            </w:pPr>
          </w:p>
        </w:tc>
        <w:tc>
          <w:tcPr>
            <w:tcW w:w="7000" w:type="dxa"/>
            <w:vAlign w:val="bottom"/>
          </w:tcPr>
          <w:p>
            <w:pPr>
              <w:ind w:left="3520"/>
              <w:spacing w:after="0"/>
              <w:rPr>
                <w:sz w:val="20"/>
                <w:szCs w:val="20"/>
                <w:color w:val="auto"/>
              </w:rPr>
            </w:pPr>
            <w:r>
              <w:rPr>
                <w:rFonts w:ascii="Arial" w:cs="Arial" w:eastAsia="Arial" w:hAnsi="Arial"/>
                <w:sz w:val="18"/>
                <w:szCs w:val="18"/>
                <w:color w:val="auto"/>
              </w:rPr>
              <w:t>ii</w:t>
            </w:r>
          </w:p>
        </w:tc>
        <w:tc>
          <w:tcPr>
            <w:tcW w:w="2320" w:type="dxa"/>
            <w:vAlign w:val="bottom"/>
          </w:tcPr>
          <w:p>
            <w:pPr>
              <w:spacing w:after="0"/>
              <w:rPr>
                <w:sz w:val="24"/>
                <w:szCs w:val="24"/>
                <w:color w:val="auto"/>
              </w:rPr>
            </w:pPr>
          </w:p>
        </w:tc>
      </w:tr>
      <w:tr>
        <w:trPr>
          <w:trHeight w:val="132"/>
        </w:trPr>
        <w:tc>
          <w:tcPr>
            <w:tcW w:w="2140" w:type="dxa"/>
            <w:vAlign w:val="bottom"/>
            <w:tcBorders>
              <w:bottom w:val="single" w:sz="8" w:color="808080"/>
            </w:tcBorders>
          </w:tcPr>
          <w:p>
            <w:pPr>
              <w:spacing w:after="0"/>
              <w:rPr>
                <w:sz w:val="11"/>
                <w:szCs w:val="11"/>
                <w:color w:val="auto"/>
              </w:rPr>
            </w:pPr>
          </w:p>
        </w:tc>
        <w:tc>
          <w:tcPr>
            <w:tcW w:w="700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r>
      <w:tr>
        <w:trPr>
          <w:trHeight w:val="766"/>
        </w:trPr>
        <w:tc>
          <w:tcPr>
            <w:tcW w:w="2140" w:type="dxa"/>
            <w:vAlign w:val="bottom"/>
          </w:tcPr>
          <w:p>
            <w:pPr>
              <w:ind w:left="660"/>
              <w:spacing w:after="0"/>
              <w:rPr>
                <w:sz w:val="20"/>
                <w:szCs w:val="20"/>
                <w:color w:val="auto"/>
              </w:rPr>
            </w:pPr>
            <w:r>
              <w:rPr>
                <w:rFonts w:ascii="Arial" w:cs="Arial" w:eastAsia="Arial" w:hAnsi="Arial"/>
                <w:sz w:val="18"/>
                <w:szCs w:val="18"/>
                <w:color w:val="auto"/>
              </w:rPr>
              <w:t>Section 10.3.</w:t>
            </w:r>
          </w:p>
        </w:tc>
        <w:tc>
          <w:tcPr>
            <w:tcW w:w="7000" w:type="dxa"/>
            <w:vAlign w:val="bottom"/>
          </w:tcPr>
          <w:p>
            <w:pPr>
              <w:ind w:left="200"/>
              <w:spacing w:after="0"/>
              <w:rPr>
                <w:sz w:val="20"/>
                <w:szCs w:val="20"/>
                <w:color w:val="auto"/>
              </w:rPr>
            </w:pPr>
            <w:r>
              <w:rPr>
                <w:rFonts w:ascii="Arial" w:cs="Arial" w:eastAsia="Arial" w:hAnsi="Arial"/>
                <w:sz w:val="18"/>
                <w:szCs w:val="18"/>
                <w:color w:val="auto"/>
              </w:rPr>
              <w:t>Communication by Holders with Other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10.4.</w:t>
            </w:r>
          </w:p>
        </w:tc>
        <w:tc>
          <w:tcPr>
            <w:tcW w:w="7000" w:type="dxa"/>
            <w:vAlign w:val="bottom"/>
          </w:tcPr>
          <w:p>
            <w:pPr>
              <w:ind w:left="200"/>
              <w:spacing w:after="0"/>
              <w:rPr>
                <w:sz w:val="20"/>
                <w:szCs w:val="20"/>
                <w:color w:val="auto"/>
              </w:rPr>
            </w:pPr>
            <w:r>
              <w:rPr>
                <w:rFonts w:ascii="Arial" w:cs="Arial" w:eastAsia="Arial" w:hAnsi="Arial"/>
                <w:sz w:val="18"/>
                <w:szCs w:val="18"/>
                <w:color w:val="auto"/>
              </w:rPr>
              <w:t>Certificate and Opinion as to Conditions Precedent</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10.5.</w:t>
            </w:r>
          </w:p>
        </w:tc>
        <w:tc>
          <w:tcPr>
            <w:tcW w:w="7000" w:type="dxa"/>
            <w:vAlign w:val="bottom"/>
          </w:tcPr>
          <w:p>
            <w:pPr>
              <w:ind w:left="200"/>
              <w:spacing w:after="0"/>
              <w:rPr>
                <w:sz w:val="20"/>
                <w:szCs w:val="20"/>
                <w:color w:val="auto"/>
              </w:rPr>
            </w:pPr>
            <w:r>
              <w:rPr>
                <w:rFonts w:ascii="Arial" w:cs="Arial" w:eastAsia="Arial" w:hAnsi="Arial"/>
                <w:sz w:val="18"/>
                <w:szCs w:val="18"/>
                <w:color w:val="auto"/>
              </w:rPr>
              <w:t>Statements Required in Certificate or Opinion</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10.6.</w:t>
            </w:r>
          </w:p>
        </w:tc>
        <w:tc>
          <w:tcPr>
            <w:tcW w:w="7000" w:type="dxa"/>
            <w:vAlign w:val="bottom"/>
          </w:tcPr>
          <w:p>
            <w:pPr>
              <w:ind w:left="200"/>
              <w:spacing w:after="0"/>
              <w:rPr>
                <w:sz w:val="20"/>
                <w:szCs w:val="20"/>
                <w:color w:val="auto"/>
              </w:rPr>
            </w:pPr>
            <w:r>
              <w:rPr>
                <w:rFonts w:ascii="Arial" w:cs="Arial" w:eastAsia="Arial" w:hAnsi="Arial"/>
                <w:sz w:val="18"/>
                <w:szCs w:val="18"/>
                <w:color w:val="auto"/>
              </w:rPr>
              <w:t>Rules by Trustee and Agents</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10.7.</w:t>
            </w:r>
          </w:p>
        </w:tc>
        <w:tc>
          <w:tcPr>
            <w:tcW w:w="7000" w:type="dxa"/>
            <w:vAlign w:val="bottom"/>
          </w:tcPr>
          <w:p>
            <w:pPr>
              <w:ind w:left="200"/>
              <w:spacing w:after="0"/>
              <w:rPr>
                <w:sz w:val="20"/>
                <w:szCs w:val="20"/>
                <w:color w:val="auto"/>
              </w:rPr>
            </w:pPr>
            <w:r>
              <w:rPr>
                <w:rFonts w:ascii="Arial" w:cs="Arial" w:eastAsia="Arial" w:hAnsi="Arial"/>
                <w:sz w:val="18"/>
                <w:szCs w:val="18"/>
                <w:color w:val="auto"/>
              </w:rPr>
              <w:t>Legal Holidays</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10.8.</w:t>
            </w:r>
          </w:p>
        </w:tc>
        <w:tc>
          <w:tcPr>
            <w:tcW w:w="7000" w:type="dxa"/>
            <w:vAlign w:val="bottom"/>
          </w:tcPr>
          <w:p>
            <w:pPr>
              <w:ind w:left="200"/>
              <w:spacing w:after="0"/>
              <w:rPr>
                <w:sz w:val="20"/>
                <w:szCs w:val="20"/>
                <w:color w:val="auto"/>
              </w:rPr>
            </w:pPr>
            <w:r>
              <w:rPr>
                <w:rFonts w:ascii="Arial" w:cs="Arial" w:eastAsia="Arial" w:hAnsi="Arial"/>
                <w:sz w:val="18"/>
                <w:szCs w:val="18"/>
                <w:color w:val="auto"/>
              </w:rPr>
              <w:t>No Recourse Against Others</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10.9.</w:t>
            </w:r>
          </w:p>
        </w:tc>
        <w:tc>
          <w:tcPr>
            <w:tcW w:w="700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10.10.</w:t>
            </w:r>
          </w:p>
        </w:tc>
        <w:tc>
          <w:tcPr>
            <w:tcW w:w="7000" w:type="dxa"/>
            <w:vAlign w:val="bottom"/>
          </w:tcPr>
          <w:p>
            <w:pPr>
              <w:ind w:left="200"/>
              <w:spacing w:after="0"/>
              <w:rPr>
                <w:sz w:val="20"/>
                <w:szCs w:val="20"/>
                <w:color w:val="auto"/>
              </w:rPr>
            </w:pPr>
            <w:r>
              <w:rPr>
                <w:rFonts w:ascii="Arial" w:cs="Arial" w:eastAsia="Arial" w:hAnsi="Arial"/>
                <w:sz w:val="18"/>
                <w:szCs w:val="18"/>
                <w:color w:val="auto"/>
              </w:rPr>
              <w:t>Governing Law; Waiver of Jury Trial; Consent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10.11.</w:t>
            </w:r>
          </w:p>
        </w:tc>
        <w:tc>
          <w:tcPr>
            <w:tcW w:w="7000" w:type="dxa"/>
            <w:vAlign w:val="bottom"/>
          </w:tcPr>
          <w:p>
            <w:pPr>
              <w:ind w:left="200"/>
              <w:spacing w:after="0"/>
              <w:rPr>
                <w:sz w:val="20"/>
                <w:szCs w:val="20"/>
                <w:color w:val="auto"/>
              </w:rPr>
            </w:pPr>
            <w:r>
              <w:rPr>
                <w:rFonts w:ascii="Arial" w:cs="Arial" w:eastAsia="Arial" w:hAnsi="Arial"/>
                <w:sz w:val="18"/>
                <w:szCs w:val="18"/>
                <w:color w:val="auto"/>
              </w:rPr>
              <w:t>No Adverse Interpretation of Other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10.12.</w:t>
            </w:r>
          </w:p>
        </w:tc>
        <w:tc>
          <w:tcPr>
            <w:tcW w:w="700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10.13.</w:t>
            </w:r>
          </w:p>
        </w:tc>
        <w:tc>
          <w:tcPr>
            <w:tcW w:w="70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10.14.</w:t>
            </w:r>
          </w:p>
        </w:tc>
        <w:tc>
          <w:tcPr>
            <w:tcW w:w="7000" w:type="dxa"/>
            <w:vAlign w:val="bottom"/>
          </w:tcPr>
          <w:p>
            <w:pPr>
              <w:ind w:left="200"/>
              <w:spacing w:after="0"/>
              <w:rPr>
                <w:sz w:val="20"/>
                <w:szCs w:val="20"/>
                <w:color w:val="auto"/>
              </w:rPr>
            </w:pPr>
            <w:r>
              <w:rPr>
                <w:rFonts w:ascii="Arial" w:cs="Arial" w:eastAsia="Arial" w:hAnsi="Arial"/>
                <w:sz w:val="18"/>
                <w:szCs w:val="18"/>
                <w:color w:val="auto"/>
              </w:rPr>
              <w:t>Table of Contents, Headings, Etc.</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10.15.</w:t>
            </w:r>
          </w:p>
        </w:tc>
        <w:tc>
          <w:tcPr>
            <w:tcW w:w="7000" w:type="dxa"/>
            <w:vAlign w:val="bottom"/>
          </w:tcPr>
          <w:p>
            <w:pPr>
              <w:ind w:left="200"/>
              <w:spacing w:after="0"/>
              <w:rPr>
                <w:sz w:val="20"/>
                <w:szCs w:val="20"/>
                <w:color w:val="auto"/>
              </w:rPr>
            </w:pPr>
            <w:r>
              <w:rPr>
                <w:rFonts w:ascii="Arial" w:cs="Arial" w:eastAsia="Arial" w:hAnsi="Arial"/>
                <w:sz w:val="18"/>
                <w:szCs w:val="18"/>
                <w:color w:val="auto"/>
              </w:rPr>
              <w:t>Securities in a Foreign Currency</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10.16.</w:t>
            </w:r>
          </w:p>
        </w:tc>
        <w:tc>
          <w:tcPr>
            <w:tcW w:w="7000" w:type="dxa"/>
            <w:vAlign w:val="bottom"/>
          </w:tcPr>
          <w:p>
            <w:pPr>
              <w:ind w:left="200"/>
              <w:spacing w:after="0"/>
              <w:rPr>
                <w:sz w:val="20"/>
                <w:szCs w:val="20"/>
                <w:color w:val="auto"/>
              </w:rPr>
            </w:pPr>
            <w:r>
              <w:rPr>
                <w:rFonts w:ascii="Arial" w:cs="Arial" w:eastAsia="Arial" w:hAnsi="Arial"/>
                <w:sz w:val="18"/>
                <w:szCs w:val="18"/>
                <w:color w:val="auto"/>
              </w:rPr>
              <w:t>Judgment Currency</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10.17.</w:t>
            </w:r>
          </w:p>
        </w:tc>
        <w:tc>
          <w:tcPr>
            <w:tcW w:w="7000" w:type="dxa"/>
            <w:vAlign w:val="bottom"/>
          </w:tcPr>
          <w:p>
            <w:pPr>
              <w:ind w:left="200"/>
              <w:spacing w:after="0"/>
              <w:rPr>
                <w:sz w:val="20"/>
                <w:szCs w:val="20"/>
                <w:color w:val="auto"/>
              </w:rPr>
            </w:pPr>
            <w:r>
              <w:rPr>
                <w:rFonts w:ascii="Arial" w:cs="Arial" w:eastAsia="Arial" w:hAnsi="Arial"/>
                <w:sz w:val="18"/>
                <w:szCs w:val="18"/>
                <w:color w:val="auto"/>
              </w:rPr>
              <w:t>Force Majeure</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10.18.</w:t>
            </w:r>
          </w:p>
        </w:tc>
        <w:tc>
          <w:tcPr>
            <w:tcW w:w="7000" w:type="dxa"/>
            <w:vAlign w:val="bottom"/>
          </w:tcPr>
          <w:p>
            <w:pPr>
              <w:ind w:left="200"/>
              <w:spacing w:after="0"/>
              <w:rPr>
                <w:sz w:val="20"/>
                <w:szCs w:val="20"/>
                <w:color w:val="auto"/>
              </w:rPr>
            </w:pPr>
            <w:r>
              <w:rPr>
                <w:rFonts w:ascii="Arial" w:cs="Arial" w:eastAsia="Arial" w:hAnsi="Arial"/>
                <w:sz w:val="18"/>
                <w:szCs w:val="18"/>
                <w:color w:val="auto"/>
              </w:rPr>
              <w:t>U.S.A. 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914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11.1.</w:t>
            </w:r>
          </w:p>
        </w:tc>
        <w:tc>
          <w:tcPr>
            <w:tcW w:w="700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Section 11.2.</w:t>
            </w:r>
          </w:p>
        </w:tc>
        <w:tc>
          <w:tcPr>
            <w:tcW w:w="7000" w:type="dxa"/>
            <w:vAlign w:val="bottom"/>
          </w:tcPr>
          <w:p>
            <w:pPr>
              <w:ind w:left="200"/>
              <w:spacing w:after="0"/>
              <w:rPr>
                <w:sz w:val="20"/>
                <w:szCs w:val="20"/>
                <w:color w:val="auto"/>
              </w:rPr>
            </w:pPr>
            <w:r>
              <w:rPr>
                <w:rFonts w:ascii="Arial" w:cs="Arial" w:eastAsia="Arial" w:hAnsi="Arial"/>
                <w:sz w:val="18"/>
                <w:szCs w:val="18"/>
                <w:color w:val="auto"/>
              </w:rPr>
              <w:t>Satisfaction of Sinking Fund Payments with Securities</w:t>
            </w: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140" w:type="dxa"/>
            <w:vAlign w:val="bottom"/>
          </w:tcPr>
          <w:p>
            <w:pPr>
              <w:ind w:left="660"/>
              <w:spacing w:after="0"/>
              <w:rPr>
                <w:sz w:val="20"/>
                <w:szCs w:val="20"/>
                <w:color w:val="auto"/>
              </w:rPr>
            </w:pPr>
            <w:r>
              <w:rPr>
                <w:rFonts w:ascii="Arial" w:cs="Arial" w:eastAsia="Arial" w:hAnsi="Arial"/>
                <w:sz w:val="18"/>
                <w:szCs w:val="18"/>
                <w:color w:val="auto"/>
              </w:rPr>
              <w:t>Section 11.3.</w:t>
            </w:r>
          </w:p>
        </w:tc>
        <w:tc>
          <w:tcPr>
            <w:tcW w:w="7000" w:type="dxa"/>
            <w:vAlign w:val="bottom"/>
          </w:tcPr>
          <w:p>
            <w:pPr>
              <w:ind w:left="200"/>
              <w:spacing w:after="0"/>
              <w:rPr>
                <w:sz w:val="20"/>
                <w:szCs w:val="20"/>
                <w:color w:val="auto"/>
              </w:rPr>
            </w:pPr>
            <w:r>
              <w:rPr>
                <w:rFonts w:ascii="Arial" w:cs="Arial" w:eastAsia="Arial" w:hAnsi="Arial"/>
                <w:sz w:val="18"/>
                <w:szCs w:val="18"/>
                <w:color w:val="auto"/>
              </w:rPr>
              <w:t>Redemption of Securities for Sinking Fund</w:t>
            </w: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-3268980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-3268980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316"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and tie between Trust Indenture Act of 1939 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jc w:val="right"/>
              <w:ind w:right="210"/>
              <w:spacing w:after="0"/>
              <w:rPr>
                <w:sz w:val="20"/>
                <w:szCs w:val="20"/>
                <w:color w:val="auto"/>
              </w:rPr>
            </w:pPr>
            <w:r>
              <w:rPr>
                <w:rFonts w:ascii="Arial" w:cs="Arial" w:eastAsia="Arial" w:hAnsi="Arial"/>
                <w:sz w:val="18"/>
                <w:szCs w:val="18"/>
                <w:color w:val="auto"/>
              </w:rPr>
              <w:t>Indenture, dated as of</w:t>
            </w:r>
          </w:p>
        </w:tc>
        <w:tc>
          <w:tcPr>
            <w:tcW w:w="5060" w:type="dxa"/>
            <w:vAlign w:val="bottom"/>
          </w:tcPr>
          <w:p>
            <w:pPr>
              <w:ind w:left="300"/>
              <w:spacing w:after="0"/>
              <w:rPr>
                <w:sz w:val="20"/>
                <w:szCs w:val="20"/>
                <w:color w:val="auto"/>
              </w:rPr>
            </w:pPr>
            <w:r>
              <w:rPr>
                <w:rFonts w:ascii="Arial" w:cs="Arial" w:eastAsia="Arial" w:hAnsi="Arial"/>
                <w:sz w:val="18"/>
                <w:szCs w:val="18"/>
                <w:color w:val="auto"/>
              </w:rPr>
              <w:t>, 20</w:t>
            </w:r>
          </w:p>
        </w:tc>
      </w:tr>
      <w:tr>
        <w:trPr>
          <w:trHeight w:val="202"/>
        </w:trPr>
        <w:tc>
          <w:tcPr>
            <w:tcW w:w="636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 310(a)(1)</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(a)(2)</w:t>
            </w:r>
          </w:p>
        </w:tc>
        <w:tc>
          <w:tcPr>
            <w:tcW w:w="5060" w:type="dxa"/>
            <w:vAlign w:val="bottom"/>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(a)(3)</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(a)(4)</w:t>
            </w:r>
          </w:p>
        </w:tc>
        <w:tc>
          <w:tcPr>
            <w:tcW w:w="50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(a)(5)</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 311(a)</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7.11</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tcPr>
          <w:p>
            <w:pPr>
              <w:ind w:left="3540"/>
              <w:spacing w:after="0"/>
              <w:rPr>
                <w:sz w:val="20"/>
                <w:szCs w:val="20"/>
                <w:color w:val="auto"/>
              </w:rPr>
            </w:pPr>
            <w:r>
              <w:rPr>
                <w:rFonts w:ascii="Arial" w:cs="Arial" w:eastAsia="Arial" w:hAnsi="Arial"/>
                <w:sz w:val="18"/>
                <w:szCs w:val="18"/>
                <w:color w:val="auto"/>
              </w:rPr>
              <w:t>7.11</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(c)</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 312(a)</w:t>
            </w:r>
          </w:p>
        </w:tc>
        <w:tc>
          <w:tcPr>
            <w:tcW w:w="5060" w:type="dxa"/>
            <w:vAlign w:val="bottom"/>
          </w:tcPr>
          <w:p>
            <w:pPr>
              <w:ind w:left="3540"/>
              <w:spacing w:after="0"/>
              <w:rPr>
                <w:sz w:val="20"/>
                <w:szCs w:val="20"/>
                <w:color w:val="auto"/>
              </w:rPr>
            </w:pPr>
            <w:r>
              <w:rPr>
                <w:rFonts w:ascii="Arial" w:cs="Arial" w:eastAsia="Arial" w:hAnsi="Arial"/>
                <w:sz w:val="18"/>
                <w:szCs w:val="18"/>
                <w:color w:val="auto"/>
              </w:rPr>
              <w:t>2.6</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10.3</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(c)</w:t>
            </w:r>
          </w:p>
        </w:tc>
        <w:tc>
          <w:tcPr>
            <w:tcW w:w="5060" w:type="dxa"/>
            <w:vAlign w:val="bottom"/>
          </w:tcPr>
          <w:p>
            <w:pPr>
              <w:ind w:left="3540"/>
              <w:spacing w:after="0"/>
              <w:rPr>
                <w:sz w:val="20"/>
                <w:szCs w:val="20"/>
                <w:color w:val="auto"/>
              </w:rPr>
            </w:pPr>
            <w:r>
              <w:rPr>
                <w:rFonts w:ascii="Arial" w:cs="Arial" w:eastAsia="Arial" w:hAnsi="Arial"/>
                <w:sz w:val="18"/>
                <w:szCs w:val="18"/>
                <w:color w:val="auto"/>
              </w:rPr>
              <w:t>10.3</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 313(a)</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(b)(1)</w:t>
            </w:r>
          </w:p>
        </w:tc>
        <w:tc>
          <w:tcPr>
            <w:tcW w:w="5060" w:type="dxa"/>
            <w:vAlign w:val="bottom"/>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(b)(2)</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(c)(1)</w:t>
            </w:r>
          </w:p>
        </w:tc>
        <w:tc>
          <w:tcPr>
            <w:tcW w:w="5060" w:type="dxa"/>
            <w:vAlign w:val="bottom"/>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(d)</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 314(a)</w:t>
            </w:r>
          </w:p>
        </w:tc>
        <w:tc>
          <w:tcPr>
            <w:tcW w:w="5060" w:type="dxa"/>
            <w:vAlign w:val="bottom"/>
          </w:tcPr>
          <w:p>
            <w:pPr>
              <w:ind w:left="3540"/>
              <w:spacing w:after="0"/>
              <w:rPr>
                <w:sz w:val="20"/>
                <w:szCs w:val="20"/>
                <w:color w:val="auto"/>
              </w:rPr>
            </w:pPr>
            <w:r>
              <w:rPr>
                <w:rFonts w:ascii="Arial" w:cs="Arial" w:eastAsia="Arial" w:hAnsi="Arial"/>
                <w:sz w:val="18"/>
                <w:szCs w:val="18"/>
                <w:color w:val="auto"/>
              </w:rPr>
              <w:t>4.2, 10.5</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(c)(1)</w:t>
            </w:r>
          </w:p>
        </w:tc>
        <w:tc>
          <w:tcPr>
            <w:tcW w:w="5060" w:type="dxa"/>
            <w:vAlign w:val="bottom"/>
          </w:tcPr>
          <w:p>
            <w:pPr>
              <w:ind w:left="3540"/>
              <w:spacing w:after="0"/>
              <w:rPr>
                <w:sz w:val="20"/>
                <w:szCs w:val="20"/>
                <w:color w:val="auto"/>
              </w:rPr>
            </w:pPr>
            <w:r>
              <w:rPr>
                <w:rFonts w:ascii="Arial" w:cs="Arial" w:eastAsia="Arial" w:hAnsi="Arial"/>
                <w:sz w:val="18"/>
                <w:szCs w:val="18"/>
                <w:color w:val="auto"/>
              </w:rPr>
              <w:t>10.4</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(c)(2)</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10.4</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(c)(3)</w:t>
            </w:r>
          </w:p>
        </w:tc>
        <w:tc>
          <w:tcPr>
            <w:tcW w:w="50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(d)</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(e)</w:t>
            </w:r>
          </w:p>
        </w:tc>
        <w:tc>
          <w:tcPr>
            <w:tcW w:w="5060" w:type="dxa"/>
            <w:vAlign w:val="bottom"/>
          </w:tcPr>
          <w:p>
            <w:pPr>
              <w:ind w:left="3540"/>
              <w:spacing w:after="0"/>
              <w:rPr>
                <w:sz w:val="20"/>
                <w:szCs w:val="20"/>
                <w:color w:val="auto"/>
              </w:rPr>
            </w:pPr>
            <w:r>
              <w:rPr>
                <w:rFonts w:ascii="Arial" w:cs="Arial" w:eastAsia="Arial" w:hAnsi="Arial"/>
                <w:sz w:val="18"/>
                <w:szCs w:val="18"/>
                <w:color w:val="auto"/>
              </w:rPr>
              <w:t>10.5</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(f)</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 315(a)</w:t>
            </w:r>
          </w:p>
        </w:tc>
        <w:tc>
          <w:tcPr>
            <w:tcW w:w="5060" w:type="dxa"/>
            <w:vAlign w:val="bottom"/>
          </w:tcPr>
          <w:p>
            <w:pPr>
              <w:ind w:left="3540"/>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7.5</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(c)</w:t>
            </w:r>
          </w:p>
        </w:tc>
        <w:tc>
          <w:tcPr>
            <w:tcW w:w="5060" w:type="dxa"/>
            <w:vAlign w:val="bottom"/>
          </w:tcPr>
          <w:p>
            <w:pPr>
              <w:ind w:left="3540"/>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(d)</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(e)</w:t>
            </w:r>
          </w:p>
        </w:tc>
        <w:tc>
          <w:tcPr>
            <w:tcW w:w="5060" w:type="dxa"/>
            <w:vAlign w:val="bottom"/>
          </w:tcPr>
          <w:p>
            <w:pPr>
              <w:ind w:left="3540"/>
              <w:spacing w:after="0"/>
              <w:rPr>
                <w:sz w:val="20"/>
                <w:szCs w:val="20"/>
                <w:color w:val="auto"/>
              </w:rPr>
            </w:pPr>
            <w:r>
              <w:rPr>
                <w:rFonts w:ascii="Arial" w:cs="Arial" w:eastAsia="Arial" w:hAnsi="Arial"/>
                <w:sz w:val="18"/>
                <w:szCs w:val="18"/>
                <w:color w:val="auto"/>
              </w:rPr>
              <w:t>6.14</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 316(a)</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2.10</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(a)(1)(A)</w:t>
            </w:r>
          </w:p>
        </w:tc>
        <w:tc>
          <w:tcPr>
            <w:tcW w:w="5060" w:type="dxa"/>
            <w:vAlign w:val="bottom"/>
          </w:tcPr>
          <w:p>
            <w:pPr>
              <w:ind w:left="3540"/>
              <w:spacing w:after="0"/>
              <w:rPr>
                <w:sz w:val="20"/>
                <w:szCs w:val="20"/>
                <w:color w:val="auto"/>
              </w:rPr>
            </w:pPr>
            <w:r>
              <w:rPr>
                <w:rFonts w:ascii="Arial" w:cs="Arial" w:eastAsia="Arial" w:hAnsi="Arial"/>
                <w:sz w:val="18"/>
                <w:szCs w:val="18"/>
                <w:color w:val="auto"/>
              </w:rPr>
              <w:t>6.12</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(a)(1)(B)</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6.13</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tcPr>
          <w:p>
            <w:pPr>
              <w:ind w:left="3540"/>
              <w:spacing w:after="0"/>
              <w:rPr>
                <w:sz w:val="20"/>
                <w:szCs w:val="20"/>
                <w:color w:val="auto"/>
              </w:rPr>
            </w:pPr>
            <w:r>
              <w:rPr>
                <w:rFonts w:ascii="Arial" w:cs="Arial" w:eastAsia="Arial" w:hAnsi="Arial"/>
                <w:sz w:val="18"/>
                <w:szCs w:val="18"/>
                <w:color w:val="auto"/>
              </w:rPr>
              <w:t>6.8</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 317(a)(1)</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6.3</w:t>
            </w:r>
          </w:p>
        </w:tc>
      </w:tr>
      <w:tr>
        <w:trPr>
          <w:trHeight w:val="216"/>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(a)(2)</w:t>
            </w:r>
          </w:p>
        </w:tc>
        <w:tc>
          <w:tcPr>
            <w:tcW w:w="5060" w:type="dxa"/>
            <w:vAlign w:val="bottom"/>
          </w:tcPr>
          <w:p>
            <w:pPr>
              <w:ind w:left="3540"/>
              <w:spacing w:after="0"/>
              <w:rPr>
                <w:sz w:val="20"/>
                <w:szCs w:val="20"/>
                <w:color w:val="auto"/>
              </w:rPr>
            </w:pPr>
            <w:r>
              <w:rPr>
                <w:rFonts w:ascii="Arial" w:cs="Arial" w:eastAsia="Arial" w:hAnsi="Arial"/>
                <w:sz w:val="18"/>
                <w:szCs w:val="18"/>
                <w:color w:val="auto"/>
              </w:rPr>
              <w:t>6.4</w:t>
            </w:r>
          </w:p>
        </w:tc>
      </w:tr>
      <w:tr>
        <w:trPr>
          <w:trHeight w:val="216"/>
        </w:trPr>
        <w:tc>
          <w:tcPr>
            <w:tcW w:w="63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(b)</w:t>
            </w:r>
          </w:p>
        </w:tc>
        <w:tc>
          <w:tcPr>
            <w:tcW w:w="50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2.5</w:t>
            </w:r>
          </w:p>
        </w:tc>
      </w:tr>
      <w:tr>
        <w:trPr>
          <w:trHeight w:val="230"/>
        </w:trPr>
        <w:tc>
          <w:tcPr>
            <w:tcW w:w="6360" w:type="dxa"/>
            <w:vAlign w:val="bottom"/>
          </w:tcPr>
          <w:p>
            <w:pPr>
              <w:jc w:val="right"/>
              <w:ind w:right="5010"/>
              <w:spacing w:after="0"/>
              <w:rPr>
                <w:sz w:val="20"/>
                <w:szCs w:val="20"/>
                <w:color w:val="auto"/>
              </w:rPr>
            </w:pPr>
            <w:r>
              <w:rPr>
                <w:rFonts w:ascii="Arial" w:cs="Arial" w:eastAsia="Arial" w:hAnsi="Arial"/>
                <w:sz w:val="18"/>
                <w:szCs w:val="18"/>
                <w:color w:val="auto"/>
              </w:rPr>
              <w:t>§ 318(a)</w:t>
            </w:r>
          </w:p>
        </w:tc>
        <w:tc>
          <w:tcPr>
            <w:tcW w:w="5060" w:type="dxa"/>
            <w:vAlign w:val="bottom"/>
          </w:tcPr>
          <w:p>
            <w:pPr>
              <w:ind w:left="354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tabs>
          <w:tab w:leader="none" w:pos="3300" w:val="left"/>
          <w:tab w:leader="none" w:pos="9580" w:val="left"/>
        </w:tabs>
        <w:rPr>
          <w:sz w:val="20"/>
          <w:szCs w:val="20"/>
          <w:color w:val="auto"/>
        </w:rPr>
      </w:pPr>
      <w:r>
        <w:rPr>
          <w:rFonts w:ascii="Arial" w:cs="Arial" w:eastAsia="Arial" w:hAnsi="Arial"/>
          <w:sz w:val="18"/>
          <w:szCs w:val="18"/>
          <w:color w:val="auto"/>
        </w:rPr>
        <w:t>Indenture dated as of</w:t>
      </w:r>
      <w:r>
        <w:rPr>
          <w:sz w:val="20"/>
          <w:szCs w:val="20"/>
          <w:color w:val="auto"/>
        </w:rPr>
        <w:tab/>
      </w:r>
      <w:r>
        <w:rPr>
          <w:rFonts w:ascii="Arial" w:cs="Arial" w:eastAsia="Arial" w:hAnsi="Arial"/>
          <w:sz w:val="18"/>
          <w:szCs w:val="18"/>
          <w:color w:val="auto"/>
        </w:rPr>
        <w:t>, 20  between Selecta Biosciences, Inc., a company incorporated under the laws of [</w:t>
      </w:r>
      <w:r>
        <w:rPr>
          <w:sz w:val="20"/>
          <w:szCs w:val="20"/>
          <w:color w:val="auto"/>
        </w:rPr>
        <w:tab/>
      </w:r>
      <w:r>
        <w:rPr>
          <w:rFonts w:ascii="Arial" w:cs="Arial" w:eastAsia="Arial" w:hAnsi="Arial"/>
          <w:sz w:val="16"/>
          <w:szCs w:val="16"/>
          <w:color w:val="auto"/>
        </w:rPr>
        <w:t>] (“</w:t>
      </w:r>
      <w:r>
        <w:rPr>
          <w:rFonts w:ascii="Arial" w:cs="Arial" w:eastAsia="Arial" w:hAnsi="Arial"/>
          <w:sz w:val="16"/>
          <w:szCs w:val="16"/>
          <w:i w:val="1"/>
          <w:iCs w:val="1"/>
          <w:color w:val="auto"/>
        </w:rPr>
        <w:t>Company</w:t>
      </w:r>
      <w:r>
        <w:rPr>
          <w:rFonts w:ascii="Arial" w:cs="Arial" w:eastAsia="Arial" w:hAnsi="Arial"/>
          <w:sz w:val="16"/>
          <w:szCs w:val="16"/>
          <w:color w:val="auto"/>
        </w:rPr>
        <w:t>”), and</w:t>
      </w:r>
    </w:p>
    <w:p>
      <w:pPr>
        <w:spacing w:after="0" w:line="23"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120" w:firstLine="12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180" w:firstLine="12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ectPr>
          <w:pgSz w:w="11900" w:h="16838" w:orient="portrait"/>
          <w:cols w:equalWidth="0" w:num="1">
            <w:col w:w="11420"/>
          </w:cols>
          <w:pgMar w:left="240" w:top="121" w:right="239" w:bottom="86" w:gutter="0" w:footer="0" w:header="0"/>
        </w:sectPr>
      </w:pPr>
    </w:p>
    <w:bookmarkStart w:id="50" w:name="page51"/>
    <w:bookmarkEnd w:id="50"/>
    <w:p>
      <w:pPr>
        <w:spacing w:after="0" w:line="90" w:lineRule="exact"/>
        <w:rPr>
          <w:sz w:val="20"/>
          <w:szCs w:val="20"/>
          <w:color w:val="auto"/>
        </w:rPr>
      </w:pPr>
    </w:p>
    <w:p>
      <w:pPr>
        <w:ind w:right="20" w:firstLine="12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right="80" w:firstLine="12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80" w:firstLine="12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ind w:right="360" w:firstLine="12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1" w:lineRule="exact"/>
        <w:rPr>
          <w:sz w:val="20"/>
          <w:szCs w:val="20"/>
          <w:color w:val="auto"/>
        </w:rPr>
      </w:pPr>
    </w:p>
    <w:p>
      <w:pPr>
        <w:jc w:val="both"/>
        <w:ind w:right="160" w:firstLine="1232"/>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140" w:firstLine="12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w:t>
      </w:r>
      <w:r>
        <w:rPr>
          <w:rFonts w:ascii="Arial" w:cs="Arial" w:eastAsia="Arial" w:hAnsi="Arial"/>
          <w:sz w:val="16"/>
          <w:szCs w:val="16"/>
          <w:color w:val="auto"/>
        </w:rPr>
        <w:t>” with respect to any Discount Security which by its terms bears interest only after Maturity, means interest payable after Maturity.</w:t>
      </w:r>
    </w:p>
    <w:p>
      <w:pPr>
        <w:spacing w:after="0" w:line="248" w:lineRule="exact"/>
        <w:rPr>
          <w:sz w:val="20"/>
          <w:szCs w:val="20"/>
          <w:color w:val="auto"/>
        </w:rPr>
      </w:pPr>
    </w:p>
    <w:p>
      <w:pPr>
        <w:ind w:right="380" w:firstLine="12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7" w:lineRule="exact"/>
        <w:rPr>
          <w:sz w:val="20"/>
          <w:szCs w:val="20"/>
          <w:color w:val="auto"/>
        </w:rPr>
      </w:pPr>
    </w:p>
    <w:p>
      <w:pPr>
        <w:ind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ind w:right="36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ind w:right="32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2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ectPr>
          <w:pgSz w:w="11900" w:h="16929" w:orient="portrait"/>
          <w:cols w:equalWidth="0" w:num="1">
            <w:col w:w="11420"/>
          </w:cols>
          <w:pgMar w:left="240" w:top="125" w:right="239" w:bottom="0" w:gutter="0" w:footer="0" w:header="0"/>
        </w:sectPr>
      </w:pPr>
    </w:p>
    <w:bookmarkStart w:id="51" w:name="page52"/>
    <w:bookmarkEnd w:id="51"/>
    <w:p>
      <w:pPr>
        <w:ind w:right="40" w:firstLine="12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54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140" w:firstLine="12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120" w:firstLine="12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managers or trustees thereof is at the time owned or controlled, directly or indirectly, by such person or one or more of the other Subsidiaries of that person or a combination thereof.</w:t>
      </w:r>
    </w:p>
    <w:p>
      <w:pPr>
        <w:spacing w:after="0" w:line="170" w:lineRule="exact"/>
        <w:rPr>
          <w:sz w:val="20"/>
          <w:szCs w:val="20"/>
          <w:color w:val="auto"/>
        </w:rPr>
      </w:pPr>
    </w:p>
    <w:p>
      <w:pPr>
        <w:jc w:val="both"/>
        <w:ind w:right="80" w:firstLine="12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ind w:right="80" w:firstLine="12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40" w:firstLine="123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ind w:left="660"/>
              <w:spacing w:after="0"/>
              <w:rPr>
                <w:sz w:val="20"/>
                <w:szCs w:val="20"/>
                <w:color w:val="auto"/>
              </w:rPr>
            </w:pPr>
            <w:r>
              <w:rPr>
                <w:rFonts w:ascii="Arial" w:cs="Arial" w:eastAsia="Arial" w:hAnsi="Arial"/>
                <w:sz w:val="18"/>
                <w:szCs w:val="18"/>
                <w:color w:val="auto"/>
              </w:rPr>
              <w:t>Section 1.2.</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Other Definitions.</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9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DEFINED IN</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SECTION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5220" w:type="dxa"/>
            <w:vAlign w:val="bottom"/>
            <w:gridSpan w:val="3"/>
            <w:shd w:val="clear" w:color="auto" w:fill="CCEEFF"/>
          </w:tcPr>
          <w:p>
            <w:pPr>
              <w:jc w:val="center"/>
              <w:ind w:left="3750"/>
              <w:spacing w:after="0"/>
              <w:rPr>
                <w:sz w:val="20"/>
                <w:szCs w:val="20"/>
                <w:color w:val="auto"/>
              </w:rPr>
            </w:pPr>
            <w:r>
              <w:rPr>
                <w:rFonts w:ascii="Arial" w:cs="Arial" w:eastAsia="Arial" w:hAnsi="Arial"/>
                <w:sz w:val="18"/>
                <w:szCs w:val="18"/>
                <w:color w:val="auto"/>
                <w:w w:val="87"/>
              </w:rPr>
              <w:t>6.1</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20" w:type="dxa"/>
            <w:vAlign w:val="bottom"/>
            <w:gridSpan w:val="3"/>
          </w:tcPr>
          <w:p>
            <w:pPr>
              <w:jc w:val="center"/>
              <w:ind w:left="3750"/>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5220" w:type="dxa"/>
            <w:vAlign w:val="bottom"/>
            <w:gridSpan w:val="3"/>
            <w:shd w:val="clear" w:color="auto" w:fill="CCEEFF"/>
          </w:tcPr>
          <w:p>
            <w:pPr>
              <w:jc w:val="center"/>
              <w:ind w:left="3750"/>
              <w:spacing w:after="0"/>
              <w:rPr>
                <w:sz w:val="20"/>
                <w:szCs w:val="20"/>
                <w:color w:val="auto"/>
              </w:rPr>
            </w:pPr>
            <w:r>
              <w:rPr>
                <w:rFonts w:ascii="Arial" w:cs="Arial" w:eastAsia="Arial" w:hAnsi="Arial"/>
                <w:sz w:val="18"/>
                <w:szCs w:val="18"/>
                <w:color w:val="auto"/>
                <w:w w:val="87"/>
              </w:rPr>
              <w:t>6.1</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220" w:type="dxa"/>
            <w:vAlign w:val="bottom"/>
            <w:gridSpan w:val="3"/>
          </w:tcPr>
          <w:p>
            <w:pPr>
              <w:jc w:val="center"/>
              <w:ind w:left="377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jc w:val="center"/>
              <w:ind w:left="3770"/>
              <w:spacing w:after="0"/>
              <w:rPr>
                <w:sz w:val="20"/>
                <w:szCs w:val="20"/>
                <w:color w:val="auto"/>
              </w:rPr>
            </w:pPr>
            <w:r>
              <w:rPr>
                <w:rFonts w:ascii="Arial" w:cs="Arial" w:eastAsia="Arial" w:hAnsi="Arial"/>
                <w:sz w:val="18"/>
                <w:szCs w:val="18"/>
                <w:color w:val="auto"/>
                <w:w w:val="91"/>
              </w:rPr>
              <w:t>10.7</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5220" w:type="dxa"/>
            <w:vAlign w:val="bottom"/>
            <w:gridSpan w:val="3"/>
          </w:tcPr>
          <w:p>
            <w:pPr>
              <w:jc w:val="center"/>
              <w:ind w:left="3750"/>
              <w:spacing w:after="0"/>
              <w:rPr>
                <w:sz w:val="20"/>
                <w:szCs w:val="20"/>
                <w:color w:val="auto"/>
              </w:rPr>
            </w:pPr>
            <w:r>
              <w:rPr>
                <w:rFonts w:ascii="Arial" w:cs="Arial" w:eastAsia="Arial" w:hAnsi="Arial"/>
                <w:sz w:val="18"/>
                <w:szCs w:val="18"/>
                <w:color w:val="auto"/>
                <w:w w:val="85"/>
              </w:rPr>
              <w:t>11.1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5220" w:type="dxa"/>
            <w:vAlign w:val="bottom"/>
            <w:gridSpan w:val="3"/>
            <w:shd w:val="clear" w:color="auto" w:fill="CCEEFF"/>
          </w:tcPr>
          <w:p>
            <w:pPr>
              <w:jc w:val="center"/>
              <w:ind w:left="3770"/>
              <w:spacing w:after="0"/>
              <w:rPr>
                <w:sz w:val="20"/>
                <w:szCs w:val="20"/>
                <w:color w:val="auto"/>
              </w:rPr>
            </w:pPr>
            <w:r>
              <w:rPr>
                <w:rFonts w:ascii="Arial" w:cs="Arial" w:eastAsia="Arial" w:hAnsi="Arial"/>
                <w:sz w:val="18"/>
                <w:szCs w:val="18"/>
                <w:color w:val="auto"/>
                <w:w w:val="88"/>
              </w:rPr>
              <w:t>10.16</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20" w:type="dxa"/>
            <w:vAlign w:val="bottom"/>
            <w:gridSpan w:val="3"/>
          </w:tcPr>
          <w:p>
            <w:pPr>
              <w:jc w:val="center"/>
              <w:ind w:left="375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5220" w:type="dxa"/>
            <w:vAlign w:val="bottom"/>
            <w:gridSpan w:val="3"/>
            <w:shd w:val="clear" w:color="auto" w:fill="CCEEFF"/>
          </w:tcPr>
          <w:p>
            <w:pPr>
              <w:jc w:val="center"/>
              <w:ind w:left="3750"/>
              <w:spacing w:after="0"/>
              <w:rPr>
                <w:sz w:val="20"/>
                <w:szCs w:val="20"/>
                <w:color w:val="auto"/>
              </w:rPr>
            </w:pPr>
            <w:r>
              <w:rPr>
                <w:rFonts w:ascii="Arial" w:cs="Arial" w:eastAsia="Arial" w:hAnsi="Arial"/>
                <w:sz w:val="18"/>
                <w:szCs w:val="18"/>
                <w:color w:val="auto"/>
                <w:w w:val="85"/>
              </w:rPr>
              <w:t>11.1</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20" w:type="dxa"/>
            <w:vAlign w:val="bottom"/>
            <w:gridSpan w:val="3"/>
          </w:tcPr>
          <w:p>
            <w:pPr>
              <w:jc w:val="center"/>
              <w:ind w:left="375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jc w:val="center"/>
              <w:ind w:left="3750"/>
              <w:spacing w:after="0"/>
              <w:rPr>
                <w:sz w:val="20"/>
                <w:szCs w:val="20"/>
                <w:color w:val="auto"/>
              </w:rPr>
            </w:pPr>
            <w:r>
              <w:rPr>
                <w:rFonts w:ascii="Arial" w:cs="Arial" w:eastAsia="Arial" w:hAnsi="Arial"/>
                <w:sz w:val="18"/>
                <w:szCs w:val="18"/>
                <w:color w:val="auto"/>
                <w:w w:val="87"/>
              </w:rPr>
              <w:t>2.4</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5220" w:type="dxa"/>
            <w:vAlign w:val="bottom"/>
            <w:gridSpan w:val="3"/>
          </w:tcPr>
          <w:p>
            <w:pPr>
              <w:jc w:val="center"/>
              <w:ind w:left="377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5220" w:type="dxa"/>
            <w:vAlign w:val="bottom"/>
            <w:gridSpan w:val="3"/>
            <w:shd w:val="clear" w:color="auto" w:fill="CCEEFF"/>
          </w:tcPr>
          <w:p>
            <w:pPr>
              <w:jc w:val="center"/>
              <w:ind w:left="3770"/>
              <w:spacing w:after="0"/>
              <w:rPr>
                <w:sz w:val="20"/>
                <w:szCs w:val="20"/>
                <w:color w:val="auto"/>
              </w:rPr>
            </w:pPr>
            <w:r>
              <w:rPr>
                <w:rFonts w:ascii="Arial" w:cs="Arial" w:eastAsia="Arial" w:hAnsi="Arial"/>
                <w:sz w:val="18"/>
                <w:szCs w:val="18"/>
                <w:color w:val="auto"/>
                <w:w w:val="88"/>
              </w:rPr>
              <w:t>10.10</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5220" w:type="dxa"/>
            <w:vAlign w:val="bottom"/>
            <w:gridSpan w:val="3"/>
          </w:tcPr>
          <w:p>
            <w:pPr>
              <w:jc w:val="center"/>
              <w:ind w:left="3750"/>
              <w:spacing w:after="0"/>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Pr>
          <w:p>
            <w:pPr>
              <w:jc w:val="right"/>
              <w:ind w:right="217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ectPr>
          <w:pgSz w:w="11900" w:h="16838" w:orient="portrait"/>
          <w:cols w:equalWidth="0" w:num="1">
            <w:col w:w="11460"/>
          </w:cols>
          <w:pgMar w:left="240" w:top="341" w:right="199" w:bottom="0" w:gutter="0" w:footer="0" w:header="0"/>
        </w:sectPr>
      </w:pPr>
    </w:p>
    <w:bookmarkStart w:id="52" w:name="page53"/>
    <w:bookmarkEnd w:id="52"/>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60" w:hanging="720"/>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r>
        <w:rPr>
          <w:rFonts w:ascii="Arial" w:cs="Arial" w:eastAsia="Arial" w:hAnsi="Arial"/>
          <w:sz w:val="15"/>
          <w:szCs w:val="15"/>
          <w:color w:val="auto"/>
        </w:rPr>
        <w:t>.</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r>
        <w:rPr>
          <w:rFonts w:ascii="Arial" w:cs="Arial" w:eastAsia="Arial" w:hAnsi="Arial"/>
          <w:sz w:val="16"/>
          <w:szCs w:val="16"/>
          <w:color w:val="auto"/>
        </w:rPr>
        <w:t>.</w:t>
      </w:r>
    </w:p>
    <w:p>
      <w:pPr>
        <w:spacing w:after="0" w:line="225" w:lineRule="exact"/>
        <w:rPr>
          <w:sz w:val="20"/>
          <w:szCs w:val="20"/>
          <w:color w:val="auto"/>
        </w:rPr>
      </w:pPr>
    </w:p>
    <w:p>
      <w:pPr>
        <w:ind w:right="80" w:firstLine="1232"/>
        <w:spacing w:after="0" w:line="312"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7" w:lineRule="exact"/>
        <w:rPr>
          <w:sz w:val="20"/>
          <w:szCs w:val="20"/>
          <w:color w:val="auto"/>
        </w:rPr>
      </w:pPr>
    </w:p>
    <w:p>
      <w:pPr>
        <w:ind w:right="620" w:firstLine="1232"/>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25" w:lineRule="exact"/>
        <w:rPr>
          <w:sz w:val="20"/>
          <w:szCs w:val="20"/>
          <w:color w:val="auto"/>
        </w:rPr>
      </w:pPr>
    </w:p>
    <w:p>
      <w:pPr>
        <w:ind w:right="120" w:firstLine="1232"/>
        <w:spacing w:after="0" w:line="264"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ind w:right="40" w:firstLine="1232"/>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firstLine="1232"/>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66" w:lineRule="exact"/>
        <w:rPr>
          <w:sz w:val="20"/>
          <w:szCs w:val="20"/>
          <w:color w:val="auto"/>
        </w:rPr>
      </w:pPr>
    </w:p>
    <w:p>
      <w:pPr>
        <w:ind w:right="660" w:firstLine="1232"/>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532" w:gutter="0" w:footer="0" w:header="0"/>
        </w:sectPr>
      </w:pPr>
    </w:p>
    <w:bookmarkStart w:id="53" w:name="page54"/>
    <w:bookmarkEnd w:id="53"/>
    <w:p>
      <w:pPr>
        <w:ind w:right="40" w:firstLine="1232"/>
        <w:spacing w:after="0" w:line="264"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sz w:val="20"/>
          <w:szCs w:val="20"/>
          <w:color w:val="auto"/>
        </w:rPr>
      </w:pPr>
    </w:p>
    <w:p>
      <w:pPr>
        <w:ind w:right="180" w:firstLine="1232"/>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780" w:firstLine="1232"/>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ind w:right="220" w:firstLine="1232"/>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40" w:firstLine="1232"/>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7" w:lineRule="exact"/>
        <w:rPr>
          <w:sz w:val="20"/>
          <w:szCs w:val="20"/>
          <w:color w:val="auto"/>
        </w:rPr>
      </w:pPr>
    </w:p>
    <w:p>
      <w:pPr>
        <w:ind w:right="580" w:firstLine="1232"/>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ind w:right="200" w:firstLine="1232"/>
        <w:spacing w:after="0" w:line="264"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sz w:val="20"/>
          <w:szCs w:val="20"/>
          <w:color w:val="auto"/>
        </w:rPr>
      </w:pPr>
    </w:p>
    <w:p>
      <w:pPr>
        <w:ind w:right="40" w:firstLine="1232"/>
        <w:spacing w:after="0" w:line="264"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ind w:right="160" w:firstLine="1232"/>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7"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deletion of or change in the covenants set forth in Articles IV or V which applies to Securities of the Series;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32"/>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1232"/>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ind w:right="80" w:firstLine="1232"/>
        <w:spacing w:after="0" w:line="264"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1" w:lineRule="exact"/>
        <w:rPr>
          <w:sz w:val="20"/>
          <w:szCs w:val="20"/>
          <w:color w:val="auto"/>
        </w:rPr>
      </w:pPr>
    </w:p>
    <w:p>
      <w:pPr>
        <w:ind w:right="340" w:firstLine="1232"/>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ind w:right="740" w:firstLine="1232"/>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300" w:firstLine="1232"/>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right="120" w:firstLine="1232"/>
        <w:spacing w:after="0" w:line="264"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1" w:lineRule="exact"/>
        <w:rPr>
          <w:sz w:val="20"/>
          <w:szCs w:val="20"/>
          <w:color w:val="auto"/>
        </w:rPr>
      </w:pPr>
    </w:p>
    <w:p>
      <w:pPr>
        <w:jc w:val="both"/>
        <w:ind w:right="220" w:firstLine="1232"/>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ectPr>
          <w:pgSz w:w="11900" w:h="16838" w:orient="portrait"/>
          <w:cols w:equalWidth="0" w:num="1">
            <w:col w:w="11420"/>
          </w:cols>
          <w:pgMar w:left="240" w:top="125" w:right="239" w:bottom="0" w:gutter="0" w:footer="0" w:header="0"/>
        </w:sectPr>
      </w:pPr>
    </w:p>
    <w:bookmarkStart w:id="54" w:name="page55"/>
    <w:bookmarkEnd w:id="54"/>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0" w:lineRule="exact"/>
        <w:rPr>
          <w:sz w:val="20"/>
          <w:szCs w:val="20"/>
          <w:color w:val="auto"/>
        </w:rPr>
      </w:pPr>
    </w:p>
    <w:p>
      <w:pPr>
        <w:ind w:right="80" w:firstLine="1232"/>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7" w:lineRule="exact"/>
        <w:rPr>
          <w:sz w:val="20"/>
          <w:szCs w:val="20"/>
          <w:color w:val="auto"/>
        </w:rPr>
      </w:pPr>
    </w:p>
    <w:p>
      <w:pPr>
        <w:ind w:right="360" w:firstLine="1232"/>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right="20" w:firstLine="1232"/>
        <w:spacing w:after="0" w:line="270" w:lineRule="auto"/>
        <w:rPr>
          <w:sz w:val="20"/>
          <w:szCs w:val="20"/>
          <w:color w:val="auto"/>
        </w:rPr>
      </w:pPr>
      <w:r>
        <w:rPr>
          <w:rFonts w:ascii="Arial" w:cs="Arial" w:eastAsia="Arial" w:hAnsi="Arial"/>
          <w:sz w:val="17"/>
          <w:szCs w:val="17"/>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7"/>
          <w:szCs w:val="17"/>
          <w:i w:val="1"/>
          <w:iCs w:val="1"/>
          <w:color w:val="auto"/>
        </w:rPr>
        <w:t>Paying Agent</w:t>
      </w:r>
      <w:r>
        <w:rPr>
          <w:rFonts w:ascii="Arial" w:cs="Arial" w:eastAsia="Arial" w:hAnsi="Arial"/>
          <w:sz w:val="17"/>
          <w:szCs w:val="17"/>
          <w:color w:val="auto"/>
        </w:rPr>
        <w:t>”), where Securities of such Series may be surrendered for registration of transfer or exchange (“</w:t>
      </w:r>
      <w:r>
        <w:rPr>
          <w:rFonts w:ascii="Arial" w:cs="Arial" w:eastAsia="Arial" w:hAnsi="Arial"/>
          <w:sz w:val="17"/>
          <w:szCs w:val="17"/>
          <w:i w:val="1"/>
          <w:iCs w:val="1"/>
          <w:color w:val="auto"/>
        </w:rPr>
        <w:t>Registrar</w:t>
      </w:r>
      <w:r>
        <w:rPr>
          <w:rFonts w:ascii="Arial" w:cs="Arial" w:eastAsia="Arial" w:hAnsi="Arial"/>
          <w:sz w:val="17"/>
          <w:szCs w:val="17"/>
          <w:color w:val="auto"/>
        </w:rPr>
        <w:t>”) and where notices and demands to or upon the Company in respect of the Securities of such Series and this Indenture may be delivered (“</w:t>
      </w:r>
      <w:r>
        <w:rPr>
          <w:rFonts w:ascii="Arial" w:cs="Arial" w:eastAsia="Arial" w:hAnsi="Arial"/>
          <w:sz w:val="17"/>
          <w:szCs w:val="17"/>
          <w:i w:val="1"/>
          <w:iCs w:val="1"/>
          <w:color w:val="auto"/>
        </w:rPr>
        <w:t>Notice Agent</w:t>
      </w:r>
      <w:r>
        <w:rPr>
          <w:rFonts w:ascii="Arial" w:cs="Arial" w:eastAsia="Arial" w:hAnsi="Arial"/>
          <w:sz w:val="17"/>
          <w:szCs w:val="17"/>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appointment of the Trustee as the Notice Agent shall exclude the appointment of the Trustee or any office of the Trustee as an agent to receive the service of legal process on the Company.</w:t>
      </w:r>
    </w:p>
    <w:p>
      <w:pPr>
        <w:spacing w:after="0" w:line="178" w:lineRule="exact"/>
        <w:rPr>
          <w:sz w:val="20"/>
          <w:szCs w:val="20"/>
          <w:color w:val="auto"/>
        </w:rPr>
      </w:pPr>
    </w:p>
    <w:p>
      <w:pPr>
        <w:ind w:right="80" w:firstLine="1232"/>
        <w:spacing w:after="0" w:line="297" w:lineRule="auto"/>
        <w:rPr>
          <w:sz w:val="20"/>
          <w:szCs w:val="20"/>
          <w:color w:val="auto"/>
        </w:rPr>
      </w:pPr>
      <w:r>
        <w:rPr>
          <w:rFonts w:ascii="Arial" w:cs="Arial" w:eastAsia="Arial" w:hAnsi="Arial"/>
          <w:sz w:val="16"/>
          <w:szCs w:val="16"/>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6"/>
          <w:szCs w:val="16"/>
          <w:i w:val="1"/>
          <w:iCs w:val="1"/>
          <w:color w:val="auto"/>
        </w:rPr>
        <w:t>Registrar</w:t>
      </w:r>
      <w:r>
        <w:rPr>
          <w:rFonts w:ascii="Arial" w:cs="Arial" w:eastAsia="Arial" w:hAnsi="Arial"/>
          <w:sz w:val="16"/>
          <w:szCs w:val="16"/>
          <w:color w:val="auto"/>
        </w:rPr>
        <w:t>” includes any co-registrar; the term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70" w:lineRule="exact"/>
        <w:rPr>
          <w:sz w:val="20"/>
          <w:szCs w:val="20"/>
          <w:color w:val="auto"/>
        </w:rPr>
      </w:pPr>
    </w:p>
    <w:p>
      <w:pPr>
        <w:ind w:right="360" w:firstLine="1232"/>
        <w:spacing w:after="0" w:line="308" w:lineRule="auto"/>
        <w:rPr>
          <w:sz w:val="20"/>
          <w:szCs w:val="20"/>
          <w:color w:val="auto"/>
        </w:rPr>
      </w:pPr>
      <w:r>
        <w:rPr>
          <w:rFonts w:ascii="Arial" w:cs="Arial" w:eastAsia="Arial" w:hAnsi="Arial"/>
          <w:sz w:val="17"/>
          <w:szCs w:val="17"/>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right="40" w:firstLine="1232"/>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Securityholder Lists</w:t>
      </w:r>
      <w:r>
        <w:rPr>
          <w:rFonts w:ascii="Arial" w:cs="Arial" w:eastAsia="Arial" w:hAnsi="Arial"/>
          <w:sz w:val="16"/>
          <w:szCs w:val="16"/>
          <w:color w:val="auto"/>
        </w:rPr>
        <w:t>.</w:t>
      </w:r>
    </w:p>
    <w:p>
      <w:pPr>
        <w:spacing w:after="0" w:line="225" w:lineRule="exact"/>
        <w:rPr>
          <w:sz w:val="20"/>
          <w:szCs w:val="20"/>
          <w:color w:val="auto"/>
        </w:rPr>
      </w:pPr>
    </w:p>
    <w:p>
      <w:pPr>
        <w:ind w:right="80" w:firstLine="1232"/>
        <w:spacing w:after="0" w:line="30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60" w:firstLine="1232"/>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380" w:firstLine="1232"/>
        <w:spacing w:after="0" w:line="27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w:t>
      </w:r>
    </w:p>
    <w:p>
      <w:pPr>
        <w:sectPr>
          <w:pgSz w:w="11900" w:h="16929" w:orient="portrait"/>
          <w:cols w:equalWidth="0" w:num="1">
            <w:col w:w="11420"/>
          </w:cols>
          <w:pgMar w:left="240" w:top="125" w:right="239" w:bottom="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ind w:right="40" w:firstLine="1232"/>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right="100" w:firstLine="1232"/>
        <w:spacing w:after="0" w:line="276"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3" w:lineRule="exact"/>
        <w:rPr>
          <w:sz w:val="20"/>
          <w:szCs w:val="20"/>
          <w:color w:val="auto"/>
        </w:rPr>
      </w:pPr>
    </w:p>
    <w:p>
      <w:pPr>
        <w:ind w:right="640" w:firstLine="1232"/>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40" w:firstLine="1232"/>
        <w:spacing w:after="0" w:line="264"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sz w:val="20"/>
          <w:szCs w:val="20"/>
          <w:color w:val="auto"/>
        </w:rPr>
      </w:pPr>
    </w:p>
    <w:p>
      <w:pPr>
        <w:jc w:val="both"/>
        <w:ind w:right="160" w:firstLine="1232"/>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640" w:firstLine="1232"/>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232"/>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1" w:lineRule="exact"/>
        <w:rPr>
          <w:sz w:val="20"/>
          <w:szCs w:val="20"/>
          <w:color w:val="auto"/>
        </w:rPr>
      </w:pPr>
    </w:p>
    <w:p>
      <w:pPr>
        <w:ind w:right="40" w:firstLine="1232"/>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540" w:firstLine="1297"/>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right="20" w:firstLine="1232"/>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24" w:lineRule="exact"/>
        <w:rPr>
          <w:sz w:val="20"/>
          <w:szCs w:val="20"/>
          <w:color w:val="auto"/>
        </w:rPr>
      </w:pPr>
    </w:p>
    <w:p>
      <w:pPr>
        <w:ind w:right="80" w:firstLine="1232"/>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Treasury Securities</w:t>
      </w:r>
      <w:r>
        <w:rPr>
          <w:rFonts w:ascii="Arial" w:cs="Arial" w:eastAsia="Arial" w:hAnsi="Arial"/>
          <w:sz w:val="15"/>
          <w:szCs w:val="15"/>
          <w:color w:val="auto"/>
        </w:rPr>
        <w:t>.</w:t>
      </w:r>
    </w:p>
    <w:p>
      <w:pPr>
        <w:spacing w:after="0" w:line="225" w:lineRule="exact"/>
        <w:rPr>
          <w:sz w:val="20"/>
          <w:szCs w:val="20"/>
          <w:color w:val="auto"/>
        </w:rPr>
      </w:pPr>
    </w:p>
    <w:p>
      <w:pPr>
        <w:ind w:right="20" w:firstLine="1232"/>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ind w:firstLine="1232"/>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56" w:name="page57"/>
    <w:bookmarkEnd w:id="56"/>
    <w:p>
      <w:pPr>
        <w:ind w:left="660"/>
        <w:spacing w:after="0"/>
        <w:tabs>
          <w:tab w:leader="none" w:pos="19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120" w:firstLine="1232"/>
        <w:spacing w:after="0" w:line="276"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100" w:firstLine="1232"/>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r>
        <w:rPr>
          <w:rFonts w:ascii="Arial" w:cs="Arial" w:eastAsia="Arial" w:hAnsi="Arial"/>
          <w:sz w:val="16"/>
          <w:szCs w:val="16"/>
          <w:color w:val="auto"/>
        </w:rPr>
        <w:t>.</w:t>
      </w:r>
    </w:p>
    <w:p>
      <w:pPr>
        <w:spacing w:after="0" w:line="225" w:lineRule="exact"/>
        <w:rPr>
          <w:sz w:val="20"/>
          <w:szCs w:val="20"/>
          <w:color w:val="auto"/>
        </w:rPr>
      </w:pPr>
    </w:p>
    <w:p>
      <w:pPr>
        <w:ind w:right="220" w:firstLine="1232"/>
        <w:spacing w:after="0" w:line="264"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1" w:lineRule="exact"/>
        <w:rPr>
          <w:sz w:val="20"/>
          <w:szCs w:val="20"/>
          <w:color w:val="auto"/>
        </w:rPr>
      </w:pPr>
    </w:p>
    <w:p>
      <w:pPr>
        <w:ind w:right="100" w:firstLine="1232"/>
        <w:spacing w:after="0" w:line="271" w:lineRule="auto"/>
        <w:rPr>
          <w:sz w:val="20"/>
          <w:szCs w:val="20"/>
          <w:color w:val="auto"/>
        </w:rPr>
      </w:pPr>
      <w:r>
        <w:rPr>
          <w:rFonts w:ascii="Arial" w:cs="Arial" w:eastAsia="Arial" w:hAnsi="Arial"/>
          <w:sz w:val="17"/>
          <w:szCs w:val="17"/>
          <w:color w:val="auto"/>
        </w:rPr>
        <w:t xml:space="preserve">2.14.2.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ind w:right="40" w:firstLine="1232"/>
        <w:spacing w:after="0" w:line="264"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ind w:right="40" w:firstLine="1232"/>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340" w:firstLine="1232"/>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ind w:firstLine="1232"/>
        <w:spacing w:after="0" w:line="255"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0" w:firstLine="1232"/>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7" w:lineRule="exact"/>
        <w:rPr>
          <w:sz w:val="20"/>
          <w:szCs w:val="20"/>
          <w:color w:val="auto"/>
        </w:rPr>
      </w:pPr>
    </w:p>
    <w:p>
      <w:pPr>
        <w:ind w:right="380" w:firstLine="1232"/>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right="40" w:firstLine="1232"/>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4" w:right="279" w:bottom="73" w:gutter="0" w:footer="0" w:header="0"/>
        </w:sectPr>
      </w:pPr>
    </w:p>
    <w:bookmarkStart w:id="57" w:name="page58"/>
    <w:bookmarkEnd w:id="57"/>
    <w:p>
      <w:pPr>
        <w:ind w:left="660"/>
        <w:spacing w:after="0"/>
        <w:tabs>
          <w:tab w:leader="none" w:pos="194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ind w:right="80" w:firstLine="1232"/>
        <w:spacing w:after="0" w:line="302"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ind w:right="120" w:firstLine="1232"/>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r>
        <w:rPr>
          <w:rFonts w:ascii="Arial" w:cs="Arial" w:eastAsia="Arial" w:hAnsi="Arial"/>
          <w:sz w:val="16"/>
          <w:szCs w:val="16"/>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than all the Securities of a Series are to be redeemed, the Securities of the Series to be redeemed will be selected as follows: (a) if the Securities are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Global Securities, in accordance with the procedures of the Depositary, (b) if the Securities are listed on any national securities exchange,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 requirements of the principal national securities exchange, if any, on which the Securities are listed, or (c) if not otherwise provided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clause (a) or (b) in the manner that the Trustee deems fair and appropriate, including by lot or other method, unless otherwise required by law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stock exchange requirements, subject, in the case of Global Securities, to the applicable rules and procedures of the Depositary. The Securities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redeemed shall be selected from Securities of the Series outstanding not previously called for redemption. Portions of the principal of Securities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that have denominations larger than $1,000 may be selected for redemption. Securities of the Series and portions of them it selected for redemption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in amounts of $1,000 or whole multiples of $1,000 or, with respect to Securities of any Series issuable in other denominations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2.2.10, the minimum principal denomination for each Series and the authorized integral multiples thereof. Provisions of this Indenture that apply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of a Series called for redemption also apply to portions of Securities of that Series called for redemption.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right="220" w:firstLine="1232"/>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960" w:hanging="720"/>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660" w:right="220" w:firstLine="580"/>
        <w:spacing w:after="0" w:line="286" w:lineRule="auto"/>
        <w:tabs>
          <w:tab w:leader="none" w:pos="196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65" w:lineRule="exact"/>
        <w:rPr>
          <w:rFonts w:ascii="Arial" w:cs="Arial" w:eastAsia="Arial" w:hAnsi="Arial"/>
          <w:sz w:val="17"/>
          <w:szCs w:val="17"/>
          <w:color w:val="auto"/>
        </w:rPr>
      </w:pPr>
    </w:p>
    <w:p>
      <w:pPr>
        <w:ind w:left="1960" w:hanging="720"/>
        <w:spacing w:after="0"/>
        <w:tabs>
          <w:tab w:leader="none" w:pos="19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236" w:lineRule="exact"/>
        <w:rPr>
          <w:rFonts w:ascii="Arial" w:cs="Arial" w:eastAsia="Arial" w:hAnsi="Arial"/>
          <w:sz w:val="17"/>
          <w:szCs w:val="17"/>
          <w:color w:val="auto"/>
        </w:rPr>
      </w:pPr>
    </w:p>
    <w:p>
      <w:pPr>
        <w:ind w:left="660" w:firstLine="580"/>
        <w:spacing w:after="0" w:line="277" w:lineRule="auto"/>
        <w:tabs>
          <w:tab w:leader="none" w:pos="19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170" w:lineRule="exact"/>
        <w:rPr>
          <w:rFonts w:ascii="Arial" w:cs="Arial" w:eastAsia="Arial" w:hAnsi="Arial"/>
          <w:sz w:val="18"/>
          <w:szCs w:val="18"/>
          <w:color w:val="auto"/>
        </w:rPr>
      </w:pPr>
    </w:p>
    <w:p>
      <w:pPr>
        <w:ind w:left="1980" w:hanging="740"/>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237" w:lineRule="exact"/>
        <w:rPr>
          <w:sz w:val="20"/>
          <w:szCs w:val="20"/>
          <w:color w:val="auto"/>
        </w:rPr>
      </w:pPr>
    </w:p>
    <w:p>
      <w:pPr>
        <w:jc w:val="both"/>
        <w:ind w:right="200" w:firstLine="1297"/>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right="320" w:firstLine="1232"/>
        <w:spacing w:after="0" w:line="264"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w:t>
      </w:r>
    </w:p>
    <w:p>
      <w:pPr>
        <w:sectPr>
          <w:pgSz w:w="11900" w:h="16838" w:orient="portrait"/>
          <w:cols w:equalWidth="0" w:num="1">
            <w:col w:w="11420"/>
          </w:cols>
          <w:pgMar w:left="240" w:top="584" w:right="239" w:bottom="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surrender to the Paying Agent, such Securities shall be paid at the redemption price plus accrued interest to the redemption date.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40" w:firstLine="1232"/>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ind w:right="40" w:firstLine="1232"/>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w:t>
      </w:r>
    </w:p>
    <w:p>
      <w:pPr>
        <w:spacing w:after="0" w:line="225" w:lineRule="exact"/>
        <w:rPr>
          <w:sz w:val="20"/>
          <w:szCs w:val="20"/>
          <w:color w:val="auto"/>
        </w:rPr>
      </w:pPr>
    </w:p>
    <w:p>
      <w:pPr>
        <w:ind w:right="120" w:firstLine="1232"/>
        <w:spacing w:after="0" w:line="259"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r>
        <w:rPr>
          <w:rFonts w:ascii="Arial" w:cs="Arial" w:eastAsia="Arial" w:hAnsi="Arial"/>
          <w:sz w:val="16"/>
          <w:szCs w:val="16"/>
          <w:color w:val="auto"/>
        </w:rPr>
        <w:t>.</w:t>
      </w:r>
    </w:p>
    <w:p>
      <w:pPr>
        <w:spacing w:after="0" w:line="225" w:lineRule="exact"/>
        <w:rPr>
          <w:sz w:val="20"/>
          <w:szCs w:val="20"/>
          <w:color w:val="auto"/>
        </w:rPr>
      </w:pPr>
    </w:p>
    <w:p>
      <w:pPr>
        <w:jc w:val="both"/>
        <w:ind w:right="40" w:firstLine="1232"/>
        <w:spacing w:after="0" w:line="276"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3" w:lineRule="exact"/>
        <w:rPr>
          <w:sz w:val="20"/>
          <w:szCs w:val="20"/>
          <w:color w:val="auto"/>
        </w:rPr>
      </w:pPr>
    </w:p>
    <w:p>
      <w:pPr>
        <w:ind w:right="220" w:firstLine="1232"/>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firstLine="1232"/>
        <w:spacing w:after="0" w:line="255"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1232"/>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r>
        <w:rPr>
          <w:rFonts w:ascii="Arial" w:cs="Arial" w:eastAsia="Arial" w:hAnsi="Arial"/>
          <w:sz w:val="16"/>
          <w:szCs w:val="16"/>
          <w:color w:val="auto"/>
        </w:rPr>
        <w:t>.</w:t>
      </w:r>
    </w:p>
    <w:p>
      <w:pPr>
        <w:spacing w:after="0" w:line="225" w:lineRule="exact"/>
        <w:rPr>
          <w:sz w:val="20"/>
          <w:szCs w:val="20"/>
          <w:color w:val="auto"/>
        </w:rPr>
      </w:pPr>
    </w:p>
    <w:p>
      <w:pPr>
        <w:ind w:right="100" w:firstLine="1232"/>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0" w:lineRule="exact"/>
        <w:rPr>
          <w:sz w:val="20"/>
          <w:szCs w:val="20"/>
          <w:color w:val="auto"/>
        </w:rPr>
      </w:pPr>
    </w:p>
    <w:p>
      <w:pPr>
        <w:ind w:left="660" w:right="160" w:firstLine="580"/>
        <w:spacing w:after="0" w:line="264" w:lineRule="auto"/>
        <w:tabs>
          <w:tab w:leader="none" w:pos="19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81" w:lineRule="exact"/>
        <w:rPr>
          <w:rFonts w:ascii="Arial" w:cs="Arial" w:eastAsia="Arial" w:hAnsi="Arial"/>
          <w:sz w:val="18"/>
          <w:szCs w:val="18"/>
          <w:color w:val="auto"/>
        </w:rPr>
      </w:pPr>
    </w:p>
    <w:p>
      <w:pPr>
        <w:ind w:left="1960" w:hanging="720"/>
        <w:spacing w:after="0"/>
        <w:tabs>
          <w:tab w:leader="none" w:pos="19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w:t>
      </w:r>
    </w:p>
    <w:p>
      <w:pPr>
        <w:sectPr>
          <w:pgSz w:w="11900" w:h="16838" w:orient="portrait"/>
          <w:cols w:equalWidth="0" w:num="1">
            <w:col w:w="11400"/>
          </w:cols>
          <w:pgMar w:left="240" w:top="125" w:right="259" w:bottom="44" w:gutter="0" w:footer="0" w:header="0"/>
        </w:sectPr>
      </w:pPr>
    </w:p>
    <w:bookmarkStart w:id="59" w:name="page60"/>
    <w:bookmarkEnd w:id="59"/>
    <w:p>
      <w:pPr>
        <w:ind w:right="340" w:firstLine="1232"/>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32"/>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r>
        <w:rPr>
          <w:rFonts w:ascii="Arial" w:cs="Arial" w:eastAsia="Arial" w:hAnsi="Arial"/>
          <w:sz w:val="16"/>
          <w:szCs w:val="16"/>
          <w:color w:val="auto"/>
        </w:rPr>
        <w:t>.</w:t>
      </w:r>
    </w:p>
    <w:p>
      <w:pPr>
        <w:spacing w:after="0" w:line="225" w:lineRule="exact"/>
        <w:rPr>
          <w:sz w:val="20"/>
          <w:szCs w:val="20"/>
          <w:color w:val="auto"/>
        </w:rPr>
      </w:pPr>
    </w:p>
    <w:p>
      <w:pPr>
        <w:ind w:right="20" w:firstLine="1232"/>
        <w:spacing w:after="0" w:line="297" w:lineRule="auto"/>
        <w:rPr>
          <w:sz w:val="20"/>
          <w:szCs w:val="20"/>
          <w:color w:val="auto"/>
        </w:rPr>
      </w:pPr>
      <w:r>
        <w:rPr>
          <w:rFonts w:ascii="Arial" w:cs="Arial" w:eastAsia="Arial" w:hAnsi="Arial"/>
          <w:sz w:val="16"/>
          <w:szCs w:val="16"/>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predecessor Company in the case of a sale, conveyance or other disposition (other than a lease) shall be released from all obligations and covenants under this Indenture and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right="500" w:firstLine="12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1" w:lineRule="exact"/>
        <w:rPr>
          <w:sz w:val="20"/>
          <w:szCs w:val="20"/>
          <w:color w:val="auto"/>
        </w:rPr>
      </w:pPr>
    </w:p>
    <w:p>
      <w:pPr>
        <w:ind w:left="660" w:right="40" w:firstLine="580"/>
        <w:spacing w:after="0" w:line="273" w:lineRule="auto"/>
        <w:tabs>
          <w:tab w:leader="none" w:pos="19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such period); or</w:t>
      </w:r>
    </w:p>
    <w:p>
      <w:pPr>
        <w:spacing w:after="0" w:line="92" w:lineRule="exact"/>
        <w:rPr>
          <w:rFonts w:ascii="Arial" w:cs="Arial" w:eastAsia="Arial" w:hAnsi="Arial"/>
          <w:sz w:val="18"/>
          <w:szCs w:val="18"/>
          <w:color w:val="auto"/>
        </w:rPr>
      </w:pPr>
    </w:p>
    <w:p>
      <w:pPr>
        <w:ind w:left="1960" w:hanging="72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left="660" w:right="20" w:firstLine="580"/>
        <w:spacing w:after="0" w:line="255" w:lineRule="auto"/>
        <w:tabs>
          <w:tab w:leader="none" w:pos="19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3" w:lineRule="exact"/>
        <w:rPr>
          <w:rFonts w:ascii="Arial" w:cs="Arial" w:eastAsia="Arial" w:hAnsi="Arial"/>
          <w:sz w:val="18"/>
          <w:szCs w:val="18"/>
          <w:color w:val="auto"/>
        </w:rPr>
      </w:pPr>
    </w:p>
    <w:p>
      <w:pPr>
        <w:ind w:left="1960" w:hanging="72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left="660" w:right="820" w:firstLine="580"/>
        <w:spacing w:after="0" w:line="277" w:lineRule="auto"/>
        <w:tabs>
          <w:tab w:leader="none" w:pos="196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280" w:firstLine="123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firstLine="1232"/>
        <w:spacing w:after="0" w:line="264"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ectPr>
          <w:pgSz w:w="11900" w:h="16838" w:orient="portrait"/>
          <w:cols w:equalWidth="0" w:num="1">
            <w:col w:w="11420"/>
          </w:cols>
          <w:pgMar w:left="240" w:top="125" w:right="239" w:bottom="0" w:gutter="0" w:footer="0" w:header="0"/>
        </w:sectPr>
      </w:pPr>
    </w:p>
    <w:bookmarkStart w:id="60" w:name="page61"/>
    <w:bookmarkEnd w:id="60"/>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right="100" w:firstLine="1232"/>
        <w:spacing w:after="0" w:line="284"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5" w:lineRule="exact"/>
        <w:rPr>
          <w:sz w:val="20"/>
          <w:szCs w:val="20"/>
          <w:color w:val="auto"/>
        </w:rPr>
      </w:pPr>
    </w:p>
    <w:p>
      <w:pPr>
        <w:ind w:left="5620" w:right="3680" w:hanging="5612"/>
        <w:spacing w:after="0" w:line="511"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shall occur, the principal amount (or specified amount) of and accrued and unpaid interest, if any, on all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outstanding Securities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w:t>
      </w:r>
    </w:p>
    <w:p>
      <w:pPr>
        <w:spacing w:after="0" w:line="170" w:lineRule="exact"/>
        <w:rPr>
          <w:sz w:val="20"/>
          <w:szCs w:val="20"/>
          <w:color w:val="auto"/>
        </w:rPr>
      </w:pPr>
    </w:p>
    <w:p>
      <w:pPr>
        <w:ind w:firstLine="1232"/>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right="480" w:firstLine="580"/>
        <w:spacing w:after="0" w:line="277" w:lineRule="auto"/>
        <w:tabs>
          <w:tab w:leader="none" w:pos="19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960" w:hanging="720"/>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then, </w:t>
      </w:r>
      <w:r>
        <w:rPr>
          <w:rFonts w:ascii="Arial" w:cs="Arial" w:eastAsia="Arial" w:hAnsi="Arial"/>
          <w:sz w:val="16"/>
          <w:szCs w:val="16"/>
          <w:color w:val="auto"/>
        </w:rPr>
        <w:t>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4" w:lineRule="exact"/>
        <w:rPr>
          <w:sz w:val="20"/>
          <w:szCs w:val="20"/>
          <w:color w:val="auto"/>
        </w:rPr>
      </w:pPr>
    </w:p>
    <w:p>
      <w:pPr>
        <w:ind w:right="20" w:firstLine="1232"/>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1232"/>
        <w:spacing w:after="0" w:line="264"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enforcement of any covenant or agreement in this Indenture or in aid of the exercise of any power granted herein, or to enforce any other proper remedy.</w:t>
      </w:r>
    </w:p>
    <w:p>
      <w:pPr>
        <w:spacing w:after="0" w:line="2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80" w:firstLine="1232"/>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ind w:left="660" w:right="160" w:firstLine="580"/>
        <w:spacing w:after="0" w:line="259" w:lineRule="auto"/>
        <w:tabs>
          <w:tab w:leader="none" w:pos="195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6" w:lineRule="exact"/>
        <w:rPr>
          <w:rFonts w:ascii="Arial" w:cs="Arial" w:eastAsia="Arial" w:hAnsi="Arial"/>
          <w:sz w:val="18"/>
          <w:szCs w:val="18"/>
          <w:color w:val="auto"/>
        </w:rPr>
      </w:pPr>
    </w:p>
    <w:p>
      <w:pPr>
        <w:ind w:left="1960" w:hanging="720"/>
        <w:spacing w:after="0"/>
        <w:tabs>
          <w:tab w:leader="none" w:pos="19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ectPr>
          <w:pgSz w:w="11900" w:h="16838" w:orient="portrait"/>
          <w:cols w:equalWidth="0" w:num="1">
            <w:col w:w="11400"/>
          </w:cols>
          <w:pgMar w:left="240" w:top="125" w:right="259" w:bottom="0" w:gutter="0" w:footer="0" w:header="0"/>
        </w:sectPr>
      </w:pPr>
    </w:p>
    <w:bookmarkStart w:id="61" w:name="page62"/>
    <w:bookmarkEnd w:id="61"/>
    <w:p>
      <w:pPr>
        <w:jc w:val="both"/>
        <w:ind w:right="120" w:firstLine="1232"/>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ind w:firstLine="1232"/>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225" w:lineRule="exact"/>
        <w:rPr>
          <w:sz w:val="20"/>
          <w:szCs w:val="20"/>
          <w:color w:val="auto"/>
        </w:rPr>
      </w:pPr>
    </w:p>
    <w:p>
      <w:pPr>
        <w:jc w:val="both"/>
        <w:ind w:right="160" w:firstLine="1232"/>
        <w:spacing w:after="0" w:line="264"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To the payment of all amounts due the Trustee under Section 7.7; and</w:t>
      </w:r>
    </w:p>
    <w:p>
      <w:pPr>
        <w:spacing w:after="0" w:line="225" w:lineRule="exact"/>
        <w:rPr>
          <w:sz w:val="20"/>
          <w:szCs w:val="20"/>
          <w:color w:val="auto"/>
        </w:rPr>
      </w:pPr>
    </w:p>
    <w:p>
      <w:pPr>
        <w:ind w:right="360" w:firstLine="1232"/>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color w:val="auto"/>
        </w:rPr>
        <w:t>Third:</w:t>
        <w:tab/>
        <w:t>To the Company.</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60" w:firstLine="1232"/>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960" w:hanging="720"/>
        <w:spacing w:after="0"/>
        <w:tabs>
          <w:tab w:leader="none" w:pos="1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that Series;</w:t>
      </w:r>
    </w:p>
    <w:p>
      <w:pPr>
        <w:spacing w:after="0" w:line="210" w:lineRule="exact"/>
        <w:rPr>
          <w:rFonts w:ascii="Arial" w:cs="Arial" w:eastAsia="Arial" w:hAnsi="Arial"/>
          <w:sz w:val="17"/>
          <w:szCs w:val="17"/>
          <w:color w:val="auto"/>
        </w:rPr>
      </w:pPr>
    </w:p>
    <w:p>
      <w:pPr>
        <w:ind w:left="660" w:right="40" w:firstLine="580"/>
        <w:spacing w:after="0" w:line="277" w:lineRule="auto"/>
        <w:tabs>
          <w:tab w:leader="none" w:pos="196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right="40" w:firstLine="580"/>
        <w:spacing w:after="0" w:line="277" w:lineRule="auto"/>
        <w:tabs>
          <w:tab w:leader="none" w:pos="19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70" w:lineRule="exact"/>
        <w:rPr>
          <w:rFonts w:ascii="Arial" w:cs="Arial" w:eastAsia="Arial" w:hAnsi="Arial"/>
          <w:sz w:val="18"/>
          <w:szCs w:val="18"/>
          <w:color w:val="auto"/>
        </w:rPr>
      </w:pPr>
    </w:p>
    <w:p>
      <w:pPr>
        <w:ind w:left="1960" w:hanging="720"/>
        <w:spacing w:after="0"/>
        <w:tabs>
          <w:tab w:leader="none" w:pos="19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320" w:firstLine="580"/>
        <w:spacing w:after="0" w:line="277" w:lineRule="auto"/>
        <w:tabs>
          <w:tab w:leader="none" w:pos="19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except in the manner herein provided and for the equal and ratable benefit of all such Holders of the applicable Series.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w:t>
      </w:r>
    </w:p>
    <w:p>
      <w:pPr>
        <w:spacing w:after="0" w:line="225" w:lineRule="exact"/>
        <w:rPr>
          <w:sz w:val="20"/>
          <w:szCs w:val="20"/>
          <w:color w:val="auto"/>
        </w:rPr>
      </w:pPr>
    </w:p>
    <w:p>
      <w:pPr>
        <w:ind w:right="160" w:firstLine="1232"/>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100" w:firstLine="1232"/>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62" w:name="page63"/>
    <w:bookmarkEnd w:id="62"/>
    <w:p>
      <w:pPr>
        <w:ind w:firstLine="1232"/>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right="180" w:firstLine="1232"/>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ind w:right="120" w:firstLine="1232"/>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720"/>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rFonts w:ascii="Arial" w:cs="Arial" w:eastAsia="Arial" w:hAnsi="Arial"/>
          <w:sz w:val="18"/>
          <w:szCs w:val="18"/>
          <w:color w:val="auto"/>
        </w:rPr>
      </w:pPr>
    </w:p>
    <w:p>
      <w:pPr>
        <w:ind w:left="660" w:right="240" w:firstLine="580"/>
        <w:spacing w:after="0" w:line="264" w:lineRule="auto"/>
        <w:tabs>
          <w:tab w:leader="none" w:pos="197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1" w:lineRule="exact"/>
        <w:rPr>
          <w:rFonts w:ascii="Arial" w:cs="Arial" w:eastAsia="Arial" w:hAnsi="Arial"/>
          <w:sz w:val="18"/>
          <w:szCs w:val="18"/>
          <w:color w:val="auto"/>
        </w:rPr>
      </w:pPr>
    </w:p>
    <w:p>
      <w:pPr>
        <w:ind w:left="660" w:right="40" w:firstLine="580"/>
        <w:spacing w:after="0" w:line="277" w:lineRule="auto"/>
        <w:tabs>
          <w:tab w:leader="none" w:pos="196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right="20" w:firstLine="1232"/>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80" w:firstLine="1232"/>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left="660" w:right="20" w:firstLine="580"/>
        <w:spacing w:after="0" w:line="264" w:lineRule="auto"/>
        <w:tabs>
          <w:tab w:leader="none" w:pos="195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720"/>
        <w:spacing w:after="0"/>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ind w:left="1300" w:firstLine="653"/>
        <w:spacing w:after="0" w:line="312" w:lineRule="auto"/>
        <w:tabs>
          <w:tab w:leader="none" w:pos="262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any such Officer’s Certificates or Opinions of Counsel which by any provisions</w:t>
      </w:r>
    </w:p>
    <w:p>
      <w:pPr>
        <w:sectPr>
          <w:pgSz w:w="11900" w:h="16838" w:orient="portrait"/>
          <w:cols w:equalWidth="0" w:num="1">
            <w:col w:w="11400"/>
          </w:cols>
          <w:pgMar w:left="240" w:top="125" w:right="259" w:bottom="0" w:gutter="0" w:footer="0" w:header="0"/>
        </w:sectPr>
      </w:pPr>
    </w:p>
    <w:bookmarkStart w:id="63" w:name="page64"/>
    <w:bookmarkEnd w:id="63"/>
    <w:p>
      <w:pPr>
        <w:spacing w:after="0" w:line="5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hereof are specifically required to be furnished to the Trustee, the Trustee shall examine such Officer’s Certificates and Opinions of Counsel to determine whether or not they conform to the form requirements of this Indenture.</w:t>
      </w:r>
    </w:p>
    <w:p>
      <w:pPr>
        <w:spacing w:after="0" w:line="170" w:lineRule="exact"/>
        <w:rPr>
          <w:sz w:val="20"/>
          <w:szCs w:val="20"/>
          <w:color w:val="auto"/>
        </w:rPr>
      </w:pPr>
    </w:p>
    <w:p>
      <w:pPr>
        <w:ind w:right="500" w:firstLine="580"/>
        <w:spacing w:after="0" w:line="277" w:lineRule="auto"/>
        <w:tabs>
          <w:tab w:leader="none" w:pos="13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left="640" w:right="100" w:firstLine="653"/>
        <w:spacing w:after="0" w:line="277" w:lineRule="auto"/>
        <w:tabs>
          <w:tab w:leader="none" w:pos="196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left="640" w:right="240" w:firstLine="653"/>
        <w:spacing w:after="0" w:line="257" w:lineRule="auto"/>
        <w:tabs>
          <w:tab w:leader="none" w:pos="197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8" w:lineRule="exact"/>
        <w:rPr>
          <w:rFonts w:ascii="Arial" w:cs="Arial" w:eastAsia="Arial" w:hAnsi="Arial"/>
          <w:sz w:val="18"/>
          <w:szCs w:val="18"/>
          <w:color w:val="auto"/>
        </w:rPr>
      </w:pPr>
    </w:p>
    <w:p>
      <w:pPr>
        <w:ind w:left="1300" w:hanging="720"/>
        <w:spacing w:after="0"/>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and (c) of this Section.</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580"/>
        <w:spacing w:after="0" w:line="308" w:lineRule="auto"/>
        <w:tabs>
          <w:tab w:leader="none" w:pos="131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46" w:lineRule="exact"/>
        <w:rPr>
          <w:rFonts w:ascii="Arial" w:cs="Arial" w:eastAsia="Arial" w:hAnsi="Arial"/>
          <w:sz w:val="17"/>
          <w:szCs w:val="17"/>
          <w:color w:val="auto"/>
        </w:rPr>
      </w:pPr>
    </w:p>
    <w:p>
      <w:pPr>
        <w:ind w:right="620" w:firstLine="580"/>
        <w:spacing w:after="0" w:line="308" w:lineRule="auto"/>
        <w:tabs>
          <w:tab w:leader="none" w:pos="130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6" w:lineRule="exact"/>
        <w:rPr>
          <w:rFonts w:ascii="Arial" w:cs="Arial" w:eastAsia="Arial" w:hAnsi="Arial"/>
          <w:sz w:val="17"/>
          <w:szCs w:val="17"/>
          <w:color w:val="auto"/>
        </w:rPr>
      </w:pPr>
    </w:p>
    <w:p>
      <w:pPr>
        <w:ind w:right="40" w:firstLine="580"/>
        <w:spacing w:after="0" w:line="264" w:lineRule="auto"/>
        <w:tabs>
          <w:tab w:leader="none" w:pos="1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81" w:lineRule="exact"/>
        <w:rPr>
          <w:rFonts w:ascii="Arial" w:cs="Arial" w:eastAsia="Arial" w:hAnsi="Arial"/>
          <w:sz w:val="18"/>
          <w:szCs w:val="18"/>
          <w:color w:val="auto"/>
        </w:rPr>
      </w:pPr>
    </w:p>
    <w:p>
      <w:pPr>
        <w:ind w:right="80" w:firstLine="580"/>
        <w:spacing w:after="0" w:line="277" w:lineRule="auto"/>
        <w:tabs>
          <w:tab w:leader="none" w:pos="13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right="60" w:firstLine="580"/>
        <w:spacing w:after="0" w:line="264" w:lineRule="auto"/>
        <w:tabs>
          <w:tab w:leader="none" w:pos="12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81" w:lineRule="exact"/>
        <w:rPr>
          <w:rFonts w:ascii="Arial" w:cs="Arial" w:eastAsia="Arial" w:hAnsi="Arial"/>
          <w:sz w:val="18"/>
          <w:szCs w:val="18"/>
          <w:color w:val="auto"/>
        </w:rPr>
      </w:pPr>
    </w:p>
    <w:p>
      <w:pPr>
        <w:ind w:right="460" w:firstLine="580"/>
        <w:spacing w:after="0" w:line="342" w:lineRule="auto"/>
        <w:tabs>
          <w:tab w:leader="none" w:pos="130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23" w:lineRule="exact"/>
        <w:rPr>
          <w:rFonts w:ascii="Arial" w:cs="Arial" w:eastAsia="Arial" w:hAnsi="Arial"/>
          <w:sz w:val="16"/>
          <w:szCs w:val="16"/>
          <w:color w:val="auto"/>
        </w:rPr>
      </w:pPr>
    </w:p>
    <w:p>
      <w:pPr>
        <w:ind w:right="40" w:firstLine="580"/>
        <w:spacing w:after="0" w:line="342" w:lineRule="auto"/>
        <w:tabs>
          <w:tab w:leader="none" w:pos="131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23" w:lineRule="exact"/>
        <w:rPr>
          <w:rFonts w:ascii="Arial" w:cs="Arial" w:eastAsia="Arial" w:hAnsi="Arial"/>
          <w:sz w:val="16"/>
          <w:szCs w:val="16"/>
          <w:color w:val="auto"/>
        </w:rPr>
      </w:pPr>
    </w:p>
    <w:p>
      <w:pPr>
        <w:ind w:right="140" w:firstLine="580"/>
        <w:spacing w:after="0" w:line="277" w:lineRule="auto"/>
        <w:tabs>
          <w:tab w:leader="none" w:pos="130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0" w:lineRule="exact"/>
        <w:rPr>
          <w:rFonts w:ascii="Arial" w:cs="Arial" w:eastAsia="Arial" w:hAnsi="Arial"/>
          <w:sz w:val="18"/>
          <w:szCs w:val="18"/>
          <w:color w:val="auto"/>
        </w:rPr>
      </w:pPr>
    </w:p>
    <w:p>
      <w:pPr>
        <w:ind w:right="400" w:firstLine="580"/>
        <w:spacing w:after="0" w:line="264" w:lineRule="auto"/>
        <w:tabs>
          <w:tab w:leader="none" w:pos="13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1" w:lineRule="exact"/>
        <w:rPr>
          <w:rFonts w:ascii="Arial" w:cs="Arial" w:eastAsia="Arial" w:hAnsi="Arial"/>
          <w:sz w:val="18"/>
          <w:szCs w:val="18"/>
          <w:color w:val="auto"/>
        </w:rPr>
      </w:pPr>
    </w:p>
    <w:p>
      <w:pPr>
        <w:ind w:right="120" w:firstLine="580"/>
        <w:spacing w:after="0" w:line="264" w:lineRule="auto"/>
        <w:tabs>
          <w:tab w:leader="none" w:pos="130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580"/>
        <w:spacing w:after="0" w:line="312" w:lineRule="auto"/>
        <w:tabs>
          <w:tab w:leader="none" w:pos="13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6" w:lineRule="exact"/>
        <w:rPr>
          <w:rFonts w:ascii="Arial" w:cs="Arial" w:eastAsia="Arial" w:hAnsi="Arial"/>
          <w:sz w:val="16"/>
          <w:szCs w:val="16"/>
          <w:color w:val="auto"/>
        </w:rPr>
      </w:pPr>
    </w:p>
    <w:p>
      <w:pPr>
        <w:jc w:val="both"/>
        <w:ind w:right="60" w:firstLine="580"/>
        <w:spacing w:after="0" w:line="312" w:lineRule="auto"/>
        <w:tabs>
          <w:tab w:leader="none" w:pos="13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46" w:lineRule="exact"/>
        <w:rPr>
          <w:rFonts w:ascii="Arial" w:cs="Arial" w:eastAsia="Arial" w:hAnsi="Arial"/>
          <w:sz w:val="16"/>
          <w:szCs w:val="16"/>
          <w:color w:val="auto"/>
        </w:rPr>
      </w:pPr>
    </w:p>
    <w:p>
      <w:pPr>
        <w:ind w:right="240" w:firstLine="580"/>
        <w:spacing w:after="0" w:line="342" w:lineRule="auto"/>
        <w:tabs>
          <w:tab w:leader="none" w:pos="13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23" w:lineRule="exact"/>
        <w:rPr>
          <w:rFonts w:ascii="Arial" w:cs="Arial" w:eastAsia="Arial" w:hAnsi="Arial"/>
          <w:sz w:val="16"/>
          <w:szCs w:val="16"/>
          <w:color w:val="auto"/>
        </w:rPr>
      </w:pPr>
    </w:p>
    <w:p>
      <w:pPr>
        <w:ind w:left="1300" w:hanging="720"/>
        <w:spacing w:after="0"/>
        <w:tabs>
          <w:tab w:leader="none" w:pos="1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 so.</w:t>
      </w:r>
    </w:p>
    <w:p>
      <w:pPr>
        <w:sectPr>
          <w:pgSz w:w="11900" w:h="16888" w:orient="portrait"/>
          <w:cols w:equalWidth="0" w:num="1">
            <w:col w:w="10740"/>
          </w:cols>
          <w:pgMar w:left="900" w:top="125" w:right="259" w:bottom="0" w:gutter="0" w:footer="0" w:header="0"/>
        </w:sectPr>
      </w:pPr>
    </w:p>
    <w:bookmarkStart w:id="64" w:name="page65"/>
    <w:bookmarkEnd w:id="64"/>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right="60" w:firstLine="1232"/>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ind w:right="420" w:firstLine="1232"/>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firstLine="1232"/>
        <w:spacing w:after="0" w:line="297" w:lineRule="auto"/>
        <w:rPr>
          <w:sz w:val="20"/>
          <w:szCs w:val="20"/>
          <w:color w:val="auto"/>
        </w:rPr>
      </w:pPr>
      <w:r>
        <w:rPr>
          <w:rFonts w:ascii="Arial" w:cs="Arial" w:eastAsia="Arial" w:hAnsi="Arial"/>
          <w:sz w:val="16"/>
          <w:szCs w:val="16"/>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Reports by Trustee to Holders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32"/>
        <w:spacing w:after="0" w:line="342" w:lineRule="auto"/>
        <w:rPr>
          <w:sz w:val="20"/>
          <w:szCs w:val="20"/>
          <w:color w:val="auto"/>
        </w:rPr>
      </w:pPr>
      <w:r>
        <w:rPr>
          <w:rFonts w:ascii="Arial" w:cs="Arial" w:eastAsia="Arial" w:hAnsi="Arial"/>
          <w:sz w:val="16"/>
          <w:szCs w:val="16"/>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24" w:lineRule="exact"/>
        <w:rPr>
          <w:sz w:val="20"/>
          <w:szCs w:val="20"/>
          <w:color w:val="auto"/>
        </w:rPr>
      </w:pPr>
    </w:p>
    <w:p>
      <w:pPr>
        <w:ind w:right="120" w:firstLine="1232"/>
        <w:spacing w:after="0" w:line="264"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60" w:firstLine="1232"/>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140" w:firstLine="1232"/>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9" w:lineRule="exact"/>
        <w:rPr>
          <w:sz w:val="20"/>
          <w:szCs w:val="20"/>
          <w:color w:val="auto"/>
        </w:rPr>
      </w:pPr>
    </w:p>
    <w:p>
      <w:pPr>
        <w:ind w:right="200" w:firstLine="1232"/>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ind w:right="100" w:firstLine="1232"/>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7" w:lineRule="exact"/>
        <w:rPr>
          <w:sz w:val="20"/>
          <w:szCs w:val="20"/>
          <w:color w:val="auto"/>
        </w:rPr>
      </w:pPr>
    </w:p>
    <w:p>
      <w:pPr>
        <w:ind w:right="20" w:firstLine="1232"/>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320" w:firstLine="1232"/>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right="80" w:firstLine="1232"/>
        <w:spacing w:after="0" w:line="286"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66" w:lineRule="exact"/>
        <w:rPr>
          <w:sz w:val="20"/>
          <w:szCs w:val="20"/>
          <w:color w:val="auto"/>
        </w:rPr>
      </w:pPr>
    </w:p>
    <w:p>
      <w:pPr>
        <w:ind w:left="1960" w:hanging="72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ectPr>
          <w:pgSz w:w="11900" w:h="16838" w:orient="portrait"/>
          <w:cols w:equalWidth="0" w:num="1">
            <w:col w:w="11420"/>
          </w:cols>
          <w:pgMar w:left="240" w:top="341" w:right="239" w:bottom="32" w:gutter="0" w:footer="0" w:header="0"/>
        </w:sectPr>
      </w:pPr>
    </w:p>
    <w:bookmarkStart w:id="65" w:name="page66"/>
    <w:bookmarkEnd w:id="65"/>
    <w:p>
      <w:pPr>
        <w:ind w:left="1960" w:hanging="720"/>
        <w:spacing w:after="0"/>
        <w:tabs>
          <w:tab w:leader="none" w:pos="1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960" w:hanging="720"/>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720"/>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220" w:firstLine="1232"/>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1" w:lineRule="exact"/>
        <w:rPr>
          <w:sz w:val="20"/>
          <w:szCs w:val="20"/>
          <w:color w:val="auto"/>
        </w:rPr>
      </w:pPr>
    </w:p>
    <w:p>
      <w:pPr>
        <w:ind w:right="240" w:firstLine="1232"/>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ind w:firstLine="1232"/>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600" w:firstLine="1297"/>
        <w:spacing w:after="0" w:line="308" w:lineRule="auto"/>
        <w:rPr>
          <w:sz w:val="20"/>
          <w:szCs w:val="20"/>
          <w:color w:val="auto"/>
        </w:rPr>
      </w:pPr>
      <w:r>
        <w:rPr>
          <w:rFonts w:ascii="Arial" w:cs="Arial" w:eastAsia="Arial" w:hAnsi="Arial"/>
          <w:sz w:val="17"/>
          <w:szCs w:val="17"/>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1" w:lineRule="exact"/>
        <w:rPr>
          <w:sz w:val="20"/>
          <w:szCs w:val="20"/>
          <w:color w:val="auto"/>
        </w:rPr>
      </w:pPr>
    </w:p>
    <w:p>
      <w:pPr>
        <w:ind w:left="1940" w:hanging="635"/>
        <w:spacing w:after="0"/>
        <w:tabs>
          <w:tab w:leader="none" w:pos="19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61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960" w:right="200" w:firstLine="641"/>
        <w:spacing w:after="0" w:line="264" w:lineRule="auto"/>
        <w:tabs>
          <w:tab w:leader="none" w:pos="3264" w:val="left"/>
        </w:tabs>
        <w:numPr>
          <w:ilvl w:val="2"/>
          <w:numId w:val="134"/>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w:t>
      </w:r>
    </w:p>
    <w:p>
      <w:pPr>
        <w:sectPr>
          <w:pgSz w:w="11900" w:h="16838" w:orient="portrait"/>
          <w:cols w:equalWidth="0" w:num="1">
            <w:col w:w="11420"/>
          </w:cols>
          <w:pgMar w:left="240" w:top="125" w:right="239" w:bottom="0" w:gutter="0" w:footer="0" w:header="0"/>
        </w:sectPr>
      </w:pPr>
    </w:p>
    <w:bookmarkStart w:id="66" w:name="page67"/>
    <w:bookmarkEnd w:id="66"/>
    <w:p>
      <w:pPr>
        <w:ind w:right="280"/>
        <w:spacing w:after="0" w:line="277" w:lineRule="auto"/>
        <w:rPr>
          <w:sz w:val="20"/>
          <w:szCs w:val="20"/>
          <w:color w:val="auto"/>
        </w:rPr>
      </w:pPr>
      <w:r>
        <w:rPr>
          <w:rFonts w:ascii="Arial" w:cs="Arial" w:eastAsia="Arial" w:hAnsi="Arial"/>
          <w:sz w:val="18"/>
          <w:szCs w:val="18"/>
          <w:color w:val="auto"/>
        </w:rPr>
        <w:t>(including mandatory sinking fund or analogous payments) of and interest on all the Securities of such Series on the dates such installments of principal or interest are due;</w:t>
      </w:r>
    </w:p>
    <w:p>
      <w:pPr>
        <w:spacing w:after="0" w:line="170" w:lineRule="exact"/>
        <w:rPr>
          <w:sz w:val="20"/>
          <w:szCs w:val="20"/>
          <w:color w:val="auto"/>
        </w:rPr>
      </w:pPr>
    </w:p>
    <w:p>
      <w:pPr>
        <w:ind w:left="1960" w:hanging="655"/>
        <w:spacing w:after="0"/>
        <w:tabs>
          <w:tab w:leader="none" w:pos="1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9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70"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55" w:lineRule="auto"/>
        <w:tabs>
          <w:tab w:leader="none" w:pos="19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9" w:lineRule="exact"/>
        <w:rPr>
          <w:rFonts w:ascii="Arial" w:cs="Arial" w:eastAsia="Arial" w:hAnsi="Arial"/>
          <w:sz w:val="18"/>
          <w:szCs w:val="18"/>
          <w:color w:val="auto"/>
        </w:rPr>
      </w:pPr>
    </w:p>
    <w:p>
      <w:pPr>
        <w:jc w:val="both"/>
        <w:ind w:left="660" w:right="200" w:firstLine="645"/>
        <w:spacing w:after="0" w:line="264" w:lineRule="auto"/>
        <w:tabs>
          <w:tab w:leader="none" w:pos="1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1" w:lineRule="exact"/>
        <w:rPr>
          <w:rFonts w:ascii="Arial" w:cs="Arial" w:eastAsia="Arial" w:hAnsi="Arial"/>
          <w:sz w:val="18"/>
          <w:szCs w:val="18"/>
          <w:color w:val="auto"/>
        </w:rPr>
      </w:pPr>
    </w:p>
    <w:p>
      <w:pPr>
        <w:ind w:left="660" w:right="360" w:firstLine="645"/>
        <w:spacing w:after="0" w:line="312" w:lineRule="auto"/>
        <w:tabs>
          <w:tab w:leader="none" w:pos="196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4" w:lineRule="exact"/>
        <w:rPr>
          <w:sz w:val="20"/>
          <w:szCs w:val="20"/>
          <w:color w:val="auto"/>
        </w:rPr>
      </w:pPr>
    </w:p>
    <w:p>
      <w:pPr>
        <w:ind w:left="660" w:right="100" w:firstLine="645"/>
        <w:spacing w:after="0" w:line="302" w:lineRule="auto"/>
        <w:tabs>
          <w:tab w:leader="none" w:pos="19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225" w:lineRule="exact"/>
        <w:rPr>
          <w:rFonts w:ascii="Arial" w:cs="Arial" w:eastAsia="Arial" w:hAnsi="Arial"/>
          <w:sz w:val="18"/>
          <w:szCs w:val="18"/>
          <w:color w:val="auto"/>
        </w:rPr>
      </w:pPr>
    </w:p>
    <w:p>
      <w:pPr>
        <w:ind w:right="660" w:firstLine="1305"/>
        <w:spacing w:after="0" w:line="501" w:lineRule="auto"/>
        <w:tabs>
          <w:tab w:leader="none" w:pos="19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 provided that, the following conditions shall have been satisfied:</w:t>
      </w:r>
    </w:p>
    <w:p>
      <w:pPr>
        <w:ind w:left="660" w:right="20" w:firstLine="645"/>
        <w:spacing w:after="0" w:line="289" w:lineRule="auto"/>
        <w:tabs>
          <w:tab w:leader="none" w:pos="196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20" w:firstLine="645"/>
        <w:spacing w:after="0" w:line="277" w:lineRule="auto"/>
        <w:tabs>
          <w:tab w:leader="none" w:pos="19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6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ectPr>
          <w:pgSz w:w="11900" w:h="16838" w:orient="portrait"/>
          <w:cols w:equalWidth="0" w:num="1">
            <w:col w:w="11420"/>
          </w:cols>
          <w:pgMar w:left="240" w:top="125" w:right="239" w:bottom="0" w:gutter="0" w:footer="0" w:header="0"/>
        </w:sectPr>
      </w:pPr>
    </w:p>
    <w:bookmarkStart w:id="67" w:name="page68"/>
    <w:bookmarkEnd w:id="67"/>
    <w:p>
      <w:pPr>
        <w:spacing w:after="0" w:line="106" w:lineRule="exact"/>
        <w:rPr>
          <w:sz w:val="20"/>
          <w:szCs w:val="20"/>
          <w:color w:val="auto"/>
        </w:rPr>
      </w:pPr>
    </w:p>
    <w:p>
      <w:pPr>
        <w:ind w:left="660" w:right="140" w:firstLine="645"/>
        <w:spacing w:after="0" w:line="273" w:lineRule="auto"/>
        <w:tabs>
          <w:tab w:leader="none" w:pos="197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78" w:lineRule="exact"/>
        <w:rPr>
          <w:rFonts w:ascii="Arial" w:cs="Arial" w:eastAsia="Arial" w:hAnsi="Arial"/>
          <w:sz w:val="17"/>
          <w:szCs w:val="17"/>
          <w:color w:val="auto"/>
        </w:rPr>
      </w:pPr>
    </w:p>
    <w:p>
      <w:pPr>
        <w:ind w:left="660" w:right="340" w:firstLine="645"/>
        <w:spacing w:after="0" w:line="277" w:lineRule="auto"/>
        <w:tabs>
          <w:tab w:leader="none" w:pos="196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660" w:right="800" w:firstLine="645"/>
        <w:spacing w:after="0" w:line="308" w:lineRule="auto"/>
        <w:tabs>
          <w:tab w:leader="none" w:pos="19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79" w:lineRule="exact"/>
        <w:rPr>
          <w:sz w:val="20"/>
          <w:szCs w:val="20"/>
          <w:color w:val="auto"/>
        </w:rPr>
      </w:pPr>
    </w:p>
    <w:p>
      <w:pPr>
        <w:ind w:left="660" w:right="100" w:firstLine="645"/>
        <w:spacing w:after="0" w:line="264" w:lineRule="auto"/>
        <w:tabs>
          <w:tab w:leader="none" w:pos="195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67" w:lineRule="exact"/>
        <w:rPr>
          <w:sz w:val="20"/>
          <w:szCs w:val="20"/>
          <w:color w:val="auto"/>
        </w:rPr>
      </w:pPr>
    </w:p>
    <w:p>
      <w:pPr>
        <w:ind w:left="660" w:right="520" w:firstLine="645"/>
        <w:spacing w:after="0" w:line="277" w:lineRule="auto"/>
        <w:tabs>
          <w:tab w:leader="none" w:pos="1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deposit;</w:t>
      </w:r>
    </w:p>
    <w:p>
      <w:pPr>
        <w:spacing w:after="0" w:line="210" w:lineRule="exact"/>
        <w:rPr>
          <w:rFonts w:ascii="Arial" w:cs="Arial" w:eastAsia="Arial" w:hAnsi="Arial"/>
          <w:sz w:val="16"/>
          <w:szCs w:val="16"/>
          <w:color w:val="auto"/>
        </w:rPr>
      </w:pPr>
    </w:p>
    <w:p>
      <w:pPr>
        <w:ind w:left="660" w:right="180" w:firstLine="645"/>
        <w:spacing w:after="0" w:line="255" w:lineRule="auto"/>
        <w:tabs>
          <w:tab w:leader="none" w:pos="1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89" w:lineRule="exact"/>
        <w:rPr>
          <w:rFonts w:ascii="Arial" w:cs="Arial" w:eastAsia="Arial" w:hAnsi="Arial"/>
          <w:sz w:val="18"/>
          <w:szCs w:val="18"/>
          <w:color w:val="auto"/>
        </w:rPr>
      </w:pPr>
    </w:p>
    <w:p>
      <w:pPr>
        <w:ind w:left="660" w:right="220" w:firstLine="645"/>
        <w:spacing w:after="0" w:line="277" w:lineRule="auto"/>
        <w:tabs>
          <w:tab w:leader="none" w:pos="196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660" w:right="740" w:firstLine="645"/>
        <w:spacing w:after="0" w:line="342" w:lineRule="auto"/>
        <w:tabs>
          <w:tab w:leader="none" w:pos="196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w:t>
      </w:r>
    </w:p>
    <w:p>
      <w:pPr>
        <w:sectPr>
          <w:pgSz w:w="11900" w:h="16945" w:orient="portrait"/>
          <w:cols w:equalWidth="0" w:num="1">
            <w:col w:w="11420"/>
          </w:cols>
          <w:pgMar w:left="240" w:top="125" w:right="239" w:bottom="0" w:gutter="0" w:footer="0" w:header="0"/>
        </w:sectPr>
      </w:pPr>
    </w:p>
    <w:bookmarkStart w:id="68" w:name="page69"/>
    <w:bookmarkEnd w:id="68"/>
    <w:p>
      <w:pPr>
        <w:jc w:val="both"/>
        <w:ind w:right="100"/>
        <w:spacing w:after="0" w:line="259" w:lineRule="auto"/>
        <w:rPr>
          <w:sz w:val="20"/>
          <w:szCs w:val="20"/>
          <w:color w:val="auto"/>
        </w:rPr>
      </w:pPr>
      <w:r>
        <w:rPr>
          <w:rFonts w:ascii="Arial" w:cs="Arial" w:eastAsia="Arial" w:hAnsi="Arial"/>
          <w:sz w:val="18"/>
          <w:szCs w:val="18"/>
          <w:color w:val="auto"/>
        </w:rPr>
        <w:t xml:space="preserve">Agent is permitted to apply all such money in accordance with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211" w:lineRule="exact"/>
        <w:rPr>
          <w:sz w:val="20"/>
          <w:szCs w:val="20"/>
          <w:color w:val="auto"/>
        </w:rPr>
      </w:pPr>
    </w:p>
    <w:p>
      <w:pPr>
        <w:ind w:left="1940" w:hanging="635"/>
        <w:spacing w:after="0"/>
        <w:tabs>
          <w:tab w:leader="none" w:pos="1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ind w:left="660" w:right="160" w:firstLine="645"/>
        <w:spacing w:after="0" w:line="277" w:lineRule="auto"/>
        <w:tabs>
          <w:tab w:leader="none" w:pos="1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change any of the provisions of this Indenture as shall be necessary to provide for or facilitate the administration of the trusts hereunder by more than one Trustee; or</w:t>
      </w:r>
    </w:p>
    <w:p>
      <w:pPr>
        <w:spacing w:after="0" w:line="170" w:lineRule="exact"/>
        <w:rPr>
          <w:sz w:val="20"/>
          <w:szCs w:val="20"/>
          <w:color w:val="auto"/>
        </w:rPr>
      </w:pPr>
    </w:p>
    <w:p>
      <w:pPr>
        <w:ind w:left="1960" w:hanging="655"/>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9.2.</w:t>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8"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225" w:lineRule="exact"/>
        <w:rPr>
          <w:sz w:val="20"/>
          <w:szCs w:val="20"/>
          <w:color w:val="auto"/>
        </w:rPr>
      </w:pPr>
    </w:p>
    <w:p>
      <w:pPr>
        <w:ind w:left="1940" w:hanging="635"/>
        <w:spacing w:after="0"/>
        <w:tabs>
          <w:tab w:leader="none" w:pos="19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left="660" w:right="400" w:firstLine="645"/>
        <w:spacing w:after="0" w:line="277" w:lineRule="auto"/>
        <w:tabs>
          <w:tab w:leader="none" w:pos="19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w:t>
      </w:r>
    </w:p>
    <w:p>
      <w:pPr>
        <w:sectPr>
          <w:pgSz w:w="11900" w:h="16838" w:orient="portrait"/>
          <w:cols w:equalWidth="0" w:num="1">
            <w:col w:w="11400"/>
          </w:cols>
          <w:pgMar w:left="240" w:top="125" w:right="259" w:bottom="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any Series by the Holders of at least a majority in principal amount of the outstanding Securities of such Series and a waiver of the payment default that resulted from such acceleration);</w:t>
      </w:r>
    </w:p>
    <w:p>
      <w:pPr>
        <w:spacing w:after="0" w:line="170" w:lineRule="exact"/>
        <w:rPr>
          <w:sz w:val="20"/>
          <w:szCs w:val="20"/>
          <w:color w:val="auto"/>
        </w:rPr>
      </w:pPr>
    </w:p>
    <w:p>
      <w:pPr>
        <w:ind w:left="1960" w:hanging="655"/>
        <w:spacing w:after="0"/>
        <w:tabs>
          <w:tab w:leader="none" w:pos="1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waive a redemption payment with respect to any Security, provided that such redemption is made at the Company’s option.</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9.4.</w:t>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7"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a Company Order in accordance with Section 2.3 new Securities of that Series that reflect the amendment or waiver.</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r>
        <w:rPr>
          <w:rFonts w:ascii="Arial" w:cs="Arial" w:eastAsia="Arial" w:hAnsi="Arial"/>
          <w:sz w:val="15"/>
          <w:szCs w:val="15"/>
          <w:color w:val="auto"/>
        </w:rPr>
        <w:t>.</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 and Corporate Secretary</w:t>
      </w:r>
    </w:p>
    <w:p>
      <w:pPr>
        <w:sectPr>
          <w:pgSz w:w="11900" w:h="16838" w:orient="portrait"/>
          <w:cols w:equalWidth="0" w:num="1">
            <w:col w:w="11420"/>
          </w:cols>
          <w:pgMar w:left="240" w:top="125" w:right="239" w:bottom="0" w:gutter="0" w:footer="0" w:header="0"/>
        </w:sectPr>
      </w:pPr>
    </w:p>
    <w:bookmarkStart w:id="70" w:name="page71"/>
    <w:bookmarkEnd w:id="70"/>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Peter N. Handrinos, Esq. and Brandon J. Bortner,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40" w:hanging="287"/>
        <w:spacing w:after="0"/>
        <w:tabs>
          <w:tab w:leader="none" w:pos="2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18"/>
          <w:szCs w:val="18"/>
          <w:color w:val="auto"/>
        </w:rPr>
        <w:t>Attention: [</w:t>
        <w:tab/>
        <w:t>]</w:t>
      </w:r>
    </w:p>
    <w:p>
      <w:pPr>
        <w:spacing w:after="0" w:line="23"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18"/>
          <w:szCs w:val="18"/>
          <w:color w:val="auto"/>
        </w:rPr>
        <w:t>Telephone: [</w:t>
        <w:tab/>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240" w:hanging="287"/>
        <w:spacing w:after="0"/>
        <w:tabs>
          <w:tab w:leader="none" w:pos="2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Attention: [  ]</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Telephone: [  ]</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ind w:right="260" w:firstLine="1297"/>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6"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Company sends a notice or communication to Securityholders, it shall send a copy to the Trustee and each Agent at the same time.</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right="320" w:firstLine="645"/>
        <w:spacing w:after="0" w:line="277" w:lineRule="auto"/>
        <w:tabs>
          <w:tab w:leader="none" w:pos="19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firstLine="645"/>
        <w:spacing w:after="0" w:line="501" w:lineRule="auto"/>
        <w:tabs>
          <w:tab w:leader="none" w:pos="19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an Opinion of Counsel stating that, in the opinion of such counsel, all such conditions precedent have been complied with. 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ind w:right="20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940" w:hanging="635"/>
        <w:spacing w:after="0"/>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firstLine="645"/>
        <w:spacing w:after="0" w:line="277" w:lineRule="auto"/>
        <w:tabs>
          <w:tab w:leader="none" w:pos="19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96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ectPr>
          <w:pgSz w:w="11900" w:h="16874" w:orient="portrait"/>
          <w:cols w:equalWidth="0" w:num="1">
            <w:col w:w="11380"/>
          </w:cols>
          <w:pgMar w:left="240" w:top="125" w:right="279" w:bottom="0" w:gutter="0" w:footer="0" w:header="0"/>
        </w:sectPr>
      </w:pPr>
    </w:p>
    <w:bookmarkStart w:id="71" w:name="page72"/>
    <w:bookmarkEnd w:id="71"/>
    <w:p>
      <w:pPr>
        <w:spacing w:after="0" w:line="114"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5"/>
          <w:szCs w:val="15"/>
          <w:color w:val="auto"/>
        </w:rPr>
        <w:t>.</w:t>
      </w:r>
    </w:p>
    <w:p>
      <w:pPr>
        <w:spacing w:after="0" w:line="225" w:lineRule="exact"/>
        <w:rPr>
          <w:sz w:val="20"/>
          <w:szCs w:val="20"/>
          <w:color w:val="auto"/>
        </w:rPr>
      </w:pPr>
    </w:p>
    <w:p>
      <w:pPr>
        <w:ind w:right="260" w:firstLine="1297"/>
        <w:spacing w:after="0" w:line="308"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221" w:lineRule="exact"/>
        <w:rPr>
          <w:sz w:val="20"/>
          <w:szCs w:val="20"/>
          <w:color w:val="auto"/>
        </w:rPr>
      </w:pPr>
    </w:p>
    <w:p>
      <w:pPr>
        <w:jc w:val="both"/>
        <w:ind w:right="640" w:firstLine="1297"/>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2"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840" w:firstLine="1297"/>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w:t>
      </w:r>
    </w:p>
    <w:p>
      <w:pPr>
        <w:sectPr>
          <w:pgSz w:w="11900" w:h="16952" w:orient="portrait"/>
          <w:cols w:equalWidth="0" w:num="1">
            <w:col w:w="11400"/>
          </w:cols>
          <w:pgMar w:left="240" w:top="341" w:right="259" w:bottom="0" w:gutter="0" w:footer="0" w:header="0"/>
        </w:sectPr>
      </w:pPr>
    </w:p>
    <w:bookmarkStart w:id="72" w:name="page73"/>
    <w:bookmarkEnd w:id="72"/>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6"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judgment in any court it is necessary to convert the sum due in respect of the principal of or interest or other amount on the Securities of any Series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normal banking procedures the Trustee could purchase in The City of New York the Required Currency with the Judgment Currency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on which final unappealable judgment is entered, unless such day is not a New York Banking Day, then the rate of exchange used shall be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312"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1"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The minimum amount of any sinking fund payment provided for by the terms of the Securities of any Series is herein referred to as a “</w:t>
      </w:r>
      <w:r>
        <w:rPr>
          <w:rFonts w:ascii="Arial" w:cs="Arial" w:eastAsia="Arial" w:hAnsi="Arial"/>
          <w:sz w:val="17"/>
          <w:szCs w:val="17"/>
          <w:i w:val="1"/>
          <w:iCs w:val="1"/>
          <w:color w:val="auto"/>
        </w:rPr>
        <w:t>mandatory sinking fund payment</w:t>
      </w:r>
      <w:r>
        <w:rPr>
          <w:rFonts w:ascii="Arial" w:cs="Arial" w:eastAsia="Arial" w:hAnsi="Arial"/>
          <w:sz w:val="17"/>
          <w:szCs w:val="17"/>
          <w:color w:val="auto"/>
        </w:rPr>
        <w:t>” and any other amount provided for by the terms of Securities of such Series is herein referred to as 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w:t>
      </w:r>
    </w:p>
    <w:p>
      <w:pPr>
        <w:sectPr>
          <w:pgSz w:w="11900" w:h="16934" w:orient="portrait"/>
          <w:cols w:equalWidth="0" w:num="1">
            <w:col w:w="11400"/>
          </w:cols>
          <w:pgMar w:left="240" w:top="125" w:right="259" w:bottom="0" w:gutter="0" w:footer="0" w:header="0"/>
        </w:sectPr>
      </w:pPr>
    </w:p>
    <w:bookmarkStart w:id="73" w:name="page74"/>
    <w:bookmarkEnd w:id="73"/>
    <w:p>
      <w:pPr>
        <w:ind w:right="60"/>
        <w:spacing w:after="0" w:line="289" w:lineRule="auto"/>
        <w:rPr>
          <w:sz w:val="20"/>
          <w:szCs w:val="20"/>
          <w:color w:val="auto"/>
        </w:rPr>
      </w:pPr>
      <w:r>
        <w:rPr>
          <w:rFonts w:ascii="Arial" w:cs="Arial" w:eastAsia="Arial" w:hAnsi="Arial"/>
          <w:sz w:val="16"/>
          <w:szCs w:val="16"/>
          <w:color w:val="auto"/>
        </w:rPr>
        <w:t xml:space="preserve">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5980" w:val="left"/>
        </w:tabs>
        <w:rPr>
          <w:sz w:val="20"/>
          <w:szCs w:val="20"/>
          <w:color w:val="auto"/>
        </w:rPr>
      </w:pPr>
      <w:r>
        <w:rPr>
          <w:rFonts w:ascii="Arial" w:cs="Arial" w:eastAsia="Arial" w:hAnsi="Arial"/>
          <w:sz w:val="18"/>
          <w:szCs w:val="18"/>
          <w:color w:val="auto"/>
        </w:rPr>
        <w:t>[</w:t>
        <w:tab/>
        <w:t>], as Trustee</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w w:val="91"/>
              </w:rPr>
              <w:t>200 Clarendon Street</w:t>
            </w:r>
          </w:p>
        </w:tc>
        <w:tc>
          <w:tcPr>
            <w:tcW w:w="16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560" w:type="dxa"/>
            <w:vAlign w:val="bottom"/>
            <w:gridSpan w:val="2"/>
          </w:tcPr>
          <w:p>
            <w:pPr>
              <w:ind w:left="3320"/>
              <w:spacing w:after="0"/>
              <w:rPr>
                <w:sz w:val="20"/>
                <w:szCs w:val="20"/>
                <w:color w:val="auto"/>
              </w:rPr>
            </w:pPr>
            <w:r>
              <w:rPr>
                <w:rFonts w:ascii="Arial" w:cs="Arial" w:eastAsia="Arial" w:hAnsi="Arial"/>
                <w:sz w:val="18"/>
                <w:szCs w:val="18"/>
                <w:color w:val="auto"/>
              </w:rPr>
              <w:t>Boston, Massachusetts 02116</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w w:val="91"/>
              </w:rPr>
              <w:t>Tel: +1.617.948.6000</w:t>
            </w:r>
          </w:p>
        </w:tc>
        <w:tc>
          <w:tcPr>
            <w:tcW w:w="1660" w:type="dxa"/>
            <w:vAlign w:val="bottom"/>
          </w:tcPr>
          <w:p>
            <w:pPr>
              <w:ind w:left="60"/>
              <w:spacing w:after="0"/>
              <w:rPr>
                <w:sz w:val="20"/>
                <w:szCs w:val="20"/>
                <w:color w:val="auto"/>
              </w:rPr>
            </w:pPr>
            <w:r>
              <w:rPr>
                <w:rFonts w:ascii="Arial" w:cs="Arial" w:eastAsia="Arial" w:hAnsi="Arial"/>
                <w:sz w:val="18"/>
                <w:szCs w:val="18"/>
                <w:color w:val="auto"/>
                <w:w w:val="89"/>
              </w:rPr>
              <w:t>Fax: +1.617.948.6001</w:t>
            </w:r>
          </w:p>
        </w:tc>
      </w:tr>
      <w:tr>
        <w:trPr>
          <w:trHeight w:val="230"/>
        </w:trPr>
        <w:tc>
          <w:tcPr>
            <w:tcW w:w="1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www.lw.com</w:t>
            </w:r>
          </w:p>
        </w:tc>
        <w:tc>
          <w:tcPr>
            <w:tcW w:w="1660" w:type="dxa"/>
            <w:vAlign w:val="bottom"/>
          </w:tcPr>
          <w:p>
            <w:pPr>
              <w:spacing w:after="0"/>
              <w:rPr>
                <w:sz w:val="20"/>
                <w:szCs w:val="20"/>
                <w:color w:val="auto"/>
              </w:rPr>
            </w:pPr>
          </w:p>
        </w:tc>
      </w:tr>
      <w:tr>
        <w:trPr>
          <w:trHeight w:val="431"/>
        </w:trPr>
        <w:tc>
          <w:tcPr>
            <w:tcW w:w="1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560" w:type="dxa"/>
            <w:vAlign w:val="bottom"/>
            <w:gridSpan w:val="2"/>
          </w:tcPr>
          <w:p>
            <w:pPr>
              <w:ind w:left="3320"/>
              <w:spacing w:after="0"/>
              <w:rPr>
                <w:sz w:val="20"/>
                <w:szCs w:val="20"/>
                <w:color w:val="auto"/>
              </w:rPr>
            </w:pPr>
            <w:r>
              <w:rPr>
                <w:rFonts w:ascii="Arial" w:cs="Arial" w:eastAsia="Arial" w:hAnsi="Arial"/>
                <w:sz w:val="18"/>
                <w:szCs w:val="18"/>
                <w:color w:val="auto"/>
              </w:rPr>
              <w:t>FIRM / AFFILIATE OFFICES</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Barcelona</w:t>
            </w:r>
          </w:p>
        </w:tc>
        <w:tc>
          <w:tcPr>
            <w:tcW w:w="1660" w:type="dxa"/>
            <w:vAlign w:val="bottom"/>
          </w:tcPr>
          <w:p>
            <w:pPr>
              <w:ind w:left="20"/>
              <w:spacing w:after="0"/>
              <w:rPr>
                <w:sz w:val="20"/>
                <w:szCs w:val="20"/>
                <w:color w:val="auto"/>
              </w:rPr>
            </w:pPr>
            <w:r>
              <w:rPr>
                <w:rFonts w:ascii="Arial" w:cs="Arial" w:eastAsia="Arial" w:hAnsi="Arial"/>
                <w:sz w:val="18"/>
                <w:szCs w:val="18"/>
                <w:color w:val="auto"/>
              </w:rPr>
              <w:t>Moscow</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Beijing</w:t>
            </w:r>
          </w:p>
        </w:tc>
        <w:tc>
          <w:tcPr>
            <w:tcW w:w="1660" w:type="dxa"/>
            <w:vAlign w:val="bottom"/>
          </w:tcPr>
          <w:p>
            <w:pPr>
              <w:ind w:left="20"/>
              <w:spacing w:after="0"/>
              <w:rPr>
                <w:sz w:val="20"/>
                <w:szCs w:val="20"/>
                <w:color w:val="auto"/>
              </w:rPr>
            </w:pPr>
            <w:r>
              <w:rPr>
                <w:rFonts w:ascii="Arial" w:cs="Arial" w:eastAsia="Arial" w:hAnsi="Arial"/>
                <w:sz w:val="18"/>
                <w:szCs w:val="18"/>
                <w:color w:val="auto"/>
              </w:rPr>
              <w:t>Munich</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Boston</w:t>
            </w:r>
          </w:p>
        </w:tc>
        <w:tc>
          <w:tcPr>
            <w:tcW w:w="16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Brussels</w:t>
            </w:r>
          </w:p>
        </w:tc>
        <w:tc>
          <w:tcPr>
            <w:tcW w:w="1660" w:type="dxa"/>
            <w:vAlign w:val="bottom"/>
          </w:tcPr>
          <w:p>
            <w:pPr>
              <w:ind w:left="20"/>
              <w:spacing w:after="0"/>
              <w:rPr>
                <w:sz w:val="20"/>
                <w:szCs w:val="20"/>
                <w:color w:val="auto"/>
              </w:rPr>
            </w:pPr>
            <w:r>
              <w:rPr>
                <w:rFonts w:ascii="Arial" w:cs="Arial" w:eastAsia="Arial" w:hAnsi="Arial"/>
                <w:sz w:val="18"/>
                <w:szCs w:val="18"/>
                <w:color w:val="auto"/>
              </w:rPr>
              <w:t>Orange County</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Century City</w:t>
            </w:r>
          </w:p>
        </w:tc>
        <w:tc>
          <w:tcPr>
            <w:tcW w:w="1660" w:type="dxa"/>
            <w:vAlign w:val="bottom"/>
          </w:tcPr>
          <w:p>
            <w:pPr>
              <w:ind w:left="20"/>
              <w:spacing w:after="0"/>
              <w:rPr>
                <w:sz w:val="20"/>
                <w:szCs w:val="20"/>
                <w:color w:val="auto"/>
              </w:rPr>
            </w:pPr>
            <w:r>
              <w:rPr>
                <w:rFonts w:ascii="Arial" w:cs="Arial" w:eastAsia="Arial" w:hAnsi="Arial"/>
                <w:sz w:val="18"/>
                <w:szCs w:val="18"/>
                <w:color w:val="auto"/>
              </w:rPr>
              <w:t>Paris</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Chicago</w:t>
            </w:r>
          </w:p>
        </w:tc>
        <w:tc>
          <w:tcPr>
            <w:tcW w:w="1660" w:type="dxa"/>
            <w:vAlign w:val="bottom"/>
          </w:tcPr>
          <w:p>
            <w:pPr>
              <w:ind w:left="20"/>
              <w:spacing w:after="0"/>
              <w:rPr>
                <w:sz w:val="20"/>
                <w:szCs w:val="20"/>
                <w:color w:val="auto"/>
              </w:rPr>
            </w:pPr>
            <w:r>
              <w:rPr>
                <w:rFonts w:ascii="Arial" w:cs="Arial" w:eastAsia="Arial" w:hAnsi="Arial"/>
                <w:sz w:val="18"/>
                <w:szCs w:val="18"/>
                <w:color w:val="auto"/>
              </w:rPr>
              <w:t>Riyadh</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7"/>
              </w:rPr>
              <w:t>August 11, 2017</w:t>
            </w: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Dubai</w:t>
            </w:r>
          </w:p>
        </w:tc>
        <w:tc>
          <w:tcPr>
            <w:tcW w:w="1660" w:type="dxa"/>
            <w:vAlign w:val="bottom"/>
          </w:tcPr>
          <w:p>
            <w:pPr>
              <w:ind w:left="20"/>
              <w:spacing w:after="0"/>
              <w:rPr>
                <w:sz w:val="20"/>
                <w:szCs w:val="20"/>
                <w:color w:val="auto"/>
              </w:rPr>
            </w:pPr>
            <w:r>
              <w:rPr>
                <w:rFonts w:ascii="Arial" w:cs="Arial" w:eastAsia="Arial" w:hAnsi="Arial"/>
                <w:sz w:val="18"/>
                <w:szCs w:val="18"/>
                <w:color w:val="auto"/>
              </w:rPr>
              <w:t>Rome</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Düsseldorf</w:t>
            </w:r>
          </w:p>
        </w:tc>
        <w:tc>
          <w:tcPr>
            <w:tcW w:w="1660" w:type="dxa"/>
            <w:vAlign w:val="bottom"/>
          </w:tcPr>
          <w:p>
            <w:pPr>
              <w:ind w:left="20"/>
              <w:spacing w:after="0"/>
              <w:rPr>
                <w:sz w:val="20"/>
                <w:szCs w:val="20"/>
                <w:color w:val="auto"/>
              </w:rPr>
            </w:pPr>
            <w:r>
              <w:rPr>
                <w:rFonts w:ascii="Arial" w:cs="Arial" w:eastAsia="Arial" w:hAnsi="Arial"/>
                <w:sz w:val="18"/>
                <w:szCs w:val="18"/>
                <w:color w:val="auto"/>
              </w:rPr>
              <w:t>San Diego</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Frankfurt</w:t>
            </w:r>
          </w:p>
        </w:tc>
        <w:tc>
          <w:tcPr>
            <w:tcW w:w="1660" w:type="dxa"/>
            <w:vAlign w:val="bottom"/>
          </w:tcPr>
          <w:p>
            <w:pPr>
              <w:ind w:left="20"/>
              <w:spacing w:after="0"/>
              <w:rPr>
                <w:sz w:val="20"/>
                <w:szCs w:val="20"/>
                <w:color w:val="auto"/>
              </w:rPr>
            </w:pPr>
            <w:r>
              <w:rPr>
                <w:rFonts w:ascii="Arial" w:cs="Arial" w:eastAsia="Arial" w:hAnsi="Arial"/>
                <w:sz w:val="18"/>
                <w:szCs w:val="18"/>
                <w:color w:val="auto"/>
              </w:rPr>
              <w:t>San Francisco</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Hamburg</w:t>
            </w:r>
          </w:p>
        </w:tc>
        <w:tc>
          <w:tcPr>
            <w:tcW w:w="1660" w:type="dxa"/>
            <w:vAlign w:val="bottom"/>
          </w:tcPr>
          <w:p>
            <w:pPr>
              <w:ind w:left="20"/>
              <w:spacing w:after="0"/>
              <w:rPr>
                <w:sz w:val="20"/>
                <w:szCs w:val="20"/>
                <w:color w:val="auto"/>
              </w:rPr>
            </w:pPr>
            <w:r>
              <w:rPr>
                <w:rFonts w:ascii="Arial" w:cs="Arial" w:eastAsia="Arial" w:hAnsi="Arial"/>
                <w:sz w:val="18"/>
                <w:szCs w:val="18"/>
                <w:color w:val="auto"/>
              </w:rPr>
              <w:t>Seoul</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Hong Kong</w:t>
            </w:r>
          </w:p>
        </w:tc>
        <w:tc>
          <w:tcPr>
            <w:tcW w:w="1660" w:type="dxa"/>
            <w:vAlign w:val="bottom"/>
          </w:tcPr>
          <w:p>
            <w:pPr>
              <w:ind w:left="20"/>
              <w:spacing w:after="0"/>
              <w:rPr>
                <w:sz w:val="20"/>
                <w:szCs w:val="20"/>
                <w:color w:val="auto"/>
              </w:rPr>
            </w:pPr>
            <w:r>
              <w:rPr>
                <w:rFonts w:ascii="Arial" w:cs="Arial" w:eastAsia="Arial" w:hAnsi="Arial"/>
                <w:sz w:val="18"/>
                <w:szCs w:val="18"/>
                <w:color w:val="auto"/>
              </w:rPr>
              <w:t>Shanghai</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Houston</w:t>
            </w:r>
          </w:p>
        </w:tc>
        <w:tc>
          <w:tcPr>
            <w:tcW w:w="1660" w:type="dxa"/>
            <w:vAlign w:val="bottom"/>
          </w:tcPr>
          <w:p>
            <w:pPr>
              <w:ind w:left="20"/>
              <w:spacing w:after="0"/>
              <w:rPr>
                <w:sz w:val="20"/>
                <w:szCs w:val="20"/>
                <w:color w:val="auto"/>
              </w:rPr>
            </w:pPr>
            <w:r>
              <w:rPr>
                <w:rFonts w:ascii="Arial" w:cs="Arial" w:eastAsia="Arial" w:hAnsi="Arial"/>
                <w:sz w:val="18"/>
                <w:szCs w:val="18"/>
                <w:color w:val="auto"/>
              </w:rPr>
              <w:t>Silicon Valley</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London</w:t>
            </w:r>
          </w:p>
        </w:tc>
        <w:tc>
          <w:tcPr>
            <w:tcW w:w="166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Los Angeles</w:t>
            </w:r>
          </w:p>
        </w:tc>
        <w:tc>
          <w:tcPr>
            <w:tcW w:w="1660" w:type="dxa"/>
            <w:vAlign w:val="bottom"/>
          </w:tcPr>
          <w:p>
            <w:pPr>
              <w:ind w:left="20"/>
              <w:spacing w:after="0"/>
              <w:rPr>
                <w:sz w:val="20"/>
                <w:szCs w:val="20"/>
                <w:color w:val="auto"/>
              </w:rPr>
            </w:pPr>
            <w:r>
              <w:rPr>
                <w:rFonts w:ascii="Arial" w:cs="Arial" w:eastAsia="Arial" w:hAnsi="Arial"/>
                <w:sz w:val="18"/>
                <w:szCs w:val="18"/>
                <w:color w:val="auto"/>
              </w:rPr>
              <w:t>Tokyo</w:t>
            </w: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Madrid</w:t>
            </w:r>
          </w:p>
        </w:tc>
        <w:tc>
          <w:tcPr>
            <w:tcW w:w="1660" w:type="dxa"/>
            <w:vAlign w:val="bottom"/>
          </w:tcPr>
          <w:p>
            <w:pPr>
              <w:ind w:left="20"/>
              <w:spacing w:after="0"/>
              <w:rPr>
                <w:sz w:val="20"/>
                <w:szCs w:val="20"/>
                <w:color w:val="auto"/>
              </w:rPr>
            </w:pPr>
            <w:r>
              <w:rPr>
                <w:rFonts w:ascii="Arial" w:cs="Arial" w:eastAsia="Arial" w:hAnsi="Arial"/>
                <w:sz w:val="18"/>
                <w:szCs w:val="18"/>
                <w:color w:val="auto"/>
              </w:rPr>
              <w:t>Washington, D.C.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Selecta Biosciences, Inc.</w:t>
            </w:r>
          </w:p>
        </w:tc>
        <w:tc>
          <w:tcPr>
            <w:tcW w:w="4900" w:type="dxa"/>
            <w:vAlign w:val="bottom"/>
          </w:tcPr>
          <w:p>
            <w:pPr>
              <w:ind w:left="3320"/>
              <w:spacing w:after="0"/>
              <w:rPr>
                <w:sz w:val="20"/>
                <w:szCs w:val="20"/>
                <w:color w:val="auto"/>
              </w:rPr>
            </w:pPr>
            <w:r>
              <w:rPr>
                <w:rFonts w:ascii="Arial" w:cs="Arial" w:eastAsia="Arial" w:hAnsi="Arial"/>
                <w:sz w:val="18"/>
                <w:szCs w:val="18"/>
                <w:color w:val="auto"/>
              </w:rPr>
              <w:t>Milan</w:t>
            </w:r>
          </w:p>
        </w:tc>
        <w:tc>
          <w:tcPr>
            <w:tcW w:w="16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3"/>
              </w:rPr>
              <w:t>480 Arsenal Way</w:t>
            </w:r>
          </w:p>
        </w:tc>
        <w:tc>
          <w:tcPr>
            <w:tcW w:w="26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Watertown, MA 02472</w:t>
            </w:r>
          </w:p>
        </w:tc>
        <w:tc>
          <w:tcPr>
            <w:tcW w:w="49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2"/>
        </w:trPr>
        <w:tc>
          <w:tcPr>
            <w:tcW w:w="1300" w:type="dxa"/>
            <w:vAlign w:val="bottom"/>
          </w:tcPr>
          <w:p>
            <w:pPr>
              <w:ind w:left="660"/>
              <w:spacing w:after="0"/>
              <w:rPr>
                <w:sz w:val="20"/>
                <w:szCs w:val="20"/>
                <w:color w:val="auto"/>
              </w:rPr>
            </w:pPr>
            <w:r>
              <w:rPr>
                <w:rFonts w:ascii="Arial" w:cs="Arial" w:eastAsia="Arial" w:hAnsi="Arial"/>
                <w:sz w:val="18"/>
                <w:szCs w:val="18"/>
                <w:color w:val="auto"/>
              </w:rPr>
              <w:t>Re: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Registration Statement on Form S-3</w:t>
            </w:r>
          </w:p>
        </w:tc>
        <w:tc>
          <w:tcPr>
            <w:tcW w:w="49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-2863850</wp:posOffset>
            </wp:positionV>
            <wp:extent cx="2426970"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6970" cy="25717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have acted as special counsel to Selecta Biosciences,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its filing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on Form S-3 (as amended,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which provides that it will be supplemented by one or more prospectus supplements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prospectus supplement, together with the Base Prospectus,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relating to the registration for issue and sale by the Company of up to $200 million offering price of (i) shares of the Company’s common stock, $0.0001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one or more series of the Company’s preferred stock, $0.0001 par value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(iii) one or more series of the Company’s debt securities (collectively,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to be issued under an indenture to be entered into between the Company, as issuer, and a trustee (a form of which is included as Exhibit 4.2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Arial" w:cs="Arial" w:eastAsia="Arial" w:hAnsi="Arial"/>
          <w:sz w:val="16"/>
          <w:szCs w:val="16"/>
          <w:b w:val="1"/>
          <w:bCs w:val="1"/>
          <w:i w:val="1"/>
          <w:iCs w:val="1"/>
          <w:color w:val="auto"/>
        </w:rPr>
        <w:t>Applicable Indenture</w:t>
      </w:r>
      <w:r>
        <w:rPr>
          <w:rFonts w:ascii="Arial" w:cs="Arial" w:eastAsia="Arial" w:hAnsi="Arial"/>
          <w:sz w:val="16"/>
          <w:szCs w:val="16"/>
          <w:color w:val="auto"/>
        </w:rPr>
        <w:t>”), (iv) warrants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(v) units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firstLine="656"/>
        <w:spacing w:after="0" w:line="293" w:lineRule="auto"/>
        <w:tabs>
          <w:tab w:leader="none" w:pos="129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64" w:lineRule="exact"/>
        <w:rPr>
          <w:rFonts w:ascii="Arial" w:cs="Arial" w:eastAsia="Arial" w:hAnsi="Arial"/>
          <w:sz w:val="16"/>
          <w:szCs w:val="16"/>
          <w:color w:val="auto"/>
        </w:rPr>
      </w:pPr>
    </w:p>
    <w:p>
      <w:pPr>
        <w:ind w:right="20" w:firstLine="656"/>
        <w:spacing w:after="0" w:line="272" w:lineRule="auto"/>
        <w:tabs>
          <w:tab w:leader="none" w:pos="129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8" w:gutter="0" w:footer="0" w:header="0"/>
        </w:sectPr>
      </w:pPr>
    </w:p>
    <w:bookmarkStart w:id="75" w:name="page76"/>
    <w:bookmarkEnd w:id="75"/>
    <w:p>
      <w:pPr>
        <w:ind w:right="100" w:firstLine="656"/>
        <w:spacing w:after="0" w:line="255" w:lineRule="auto"/>
        <w:tabs>
          <w:tab w:leader="none" w:pos="12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93" w:lineRule="exact"/>
        <w:rPr>
          <w:rFonts w:ascii="Arial" w:cs="Arial" w:eastAsia="Arial" w:hAnsi="Arial"/>
          <w:sz w:val="18"/>
          <w:szCs w:val="18"/>
          <w:color w:val="auto"/>
        </w:rPr>
      </w:pPr>
    </w:p>
    <w:p>
      <w:pPr>
        <w:ind w:right="20" w:firstLine="656"/>
        <w:spacing w:after="0" w:line="255" w:lineRule="auto"/>
        <w:tabs>
          <w:tab w:leader="none" w:pos="12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89" w:lineRule="exact"/>
        <w:rPr>
          <w:rFonts w:ascii="Arial" w:cs="Arial" w:eastAsia="Arial" w:hAnsi="Arial"/>
          <w:sz w:val="18"/>
          <w:szCs w:val="18"/>
          <w:color w:val="auto"/>
        </w:rPr>
      </w:pPr>
    </w:p>
    <w:p>
      <w:pPr>
        <w:ind w:right="220" w:firstLine="656"/>
        <w:spacing w:after="0" w:line="293" w:lineRule="auto"/>
        <w:tabs>
          <w:tab w:leader="none" w:pos="129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6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9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With your consent, we have assumed (a) that each of the Debt Securities, Warrants and Units and the Applicable Indenture, warrant agreements and unit agreements governing such Securities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Latham &amp; Watkins LLP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100" w:type="dxa"/>
            <w:vAlign w:val="bottom"/>
            <w:gridSpan w:val="2"/>
          </w:tcPr>
          <w:p>
            <w:pPr>
              <w:ind w:left="2260"/>
              <w:spacing w:after="0"/>
              <w:rPr>
                <w:sz w:val="20"/>
                <w:szCs w:val="20"/>
                <w:color w:val="auto"/>
              </w:rPr>
            </w:pPr>
            <w:r>
              <w:rPr>
                <w:rFonts w:ascii="Arial" w:cs="Arial" w:eastAsia="Arial" w:hAnsi="Arial"/>
                <w:sz w:val="18"/>
                <w:szCs w:val="18"/>
                <w:b w:val="1"/>
                <w:bCs w:val="1"/>
                <w:color w:val="auto"/>
                <w:w w:val="91"/>
              </w:rPr>
              <w:t>Exhibit 5.2</w:t>
            </w:r>
          </w:p>
        </w:tc>
      </w:tr>
      <w:tr>
        <w:trPr>
          <w:trHeight w:val="418"/>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200 Clarendon Street</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w w:val="96"/>
              </w:rPr>
              <w:t>Boston, Massachusetts 02116</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20" w:type="dxa"/>
            <w:vAlign w:val="bottom"/>
            <w:gridSpan w:val="3"/>
          </w:tcPr>
          <w:p>
            <w:pPr>
              <w:ind w:left="3780"/>
              <w:spacing w:after="0"/>
              <w:rPr>
                <w:sz w:val="20"/>
                <w:szCs w:val="20"/>
                <w:color w:val="auto"/>
              </w:rPr>
            </w:pPr>
            <w:r>
              <w:rPr>
                <w:rFonts w:ascii="Arial" w:cs="Arial" w:eastAsia="Arial" w:hAnsi="Arial"/>
                <w:sz w:val="18"/>
                <w:szCs w:val="18"/>
                <w:color w:val="auto"/>
              </w:rPr>
              <w:t>Tel: +1.617.948.6000 Fax: +1.617.948.6001</w:t>
            </w:r>
          </w:p>
        </w:tc>
      </w:tr>
      <w:tr>
        <w:trPr>
          <w:trHeight w:val="230"/>
        </w:trPr>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www.lw.com</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FIRM / AFFILIATE OFFICES</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Barcelona</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Moscow</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Beijing</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Munich</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Boston</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Brussels</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Orange County</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Century City</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Paris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7"/>
              </w:rPr>
              <w:t>August 11, 2017</w:t>
            </w: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Chicago</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Riyadh</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Dubai</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Rome</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Düsseldorf</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San Diego</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Frankfurt</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San Francisco</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Hamburg</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Seoul</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Hong Kong</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Shanghai</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Houston</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Silicon Valley</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London</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Singapore</w:t>
            </w: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Los Angeles</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Tokyo</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Selecta Biosciences, Inc.</w:t>
            </w:r>
          </w:p>
        </w:tc>
        <w:tc>
          <w:tcPr>
            <w:tcW w:w="6120" w:type="dxa"/>
            <w:vAlign w:val="bottom"/>
          </w:tcPr>
          <w:p>
            <w:pPr>
              <w:ind w:left="3780"/>
              <w:spacing w:after="0"/>
              <w:rPr>
                <w:sz w:val="20"/>
                <w:szCs w:val="20"/>
                <w:color w:val="auto"/>
              </w:rPr>
            </w:pPr>
            <w:r>
              <w:rPr>
                <w:rFonts w:ascii="Arial" w:cs="Arial" w:eastAsia="Arial" w:hAnsi="Arial"/>
                <w:sz w:val="18"/>
                <w:szCs w:val="18"/>
                <w:color w:val="auto"/>
              </w:rPr>
              <w:t>Madrid</w:t>
            </w:r>
          </w:p>
        </w:tc>
        <w:tc>
          <w:tcPr>
            <w:tcW w:w="3100" w:type="dxa"/>
            <w:vAlign w:val="bottom"/>
            <w:gridSpan w:val="2"/>
          </w:tcPr>
          <w:p>
            <w:pPr>
              <w:ind w:left="120"/>
              <w:spacing w:after="0"/>
              <w:rPr>
                <w:sz w:val="20"/>
                <w:szCs w:val="20"/>
                <w:color w:val="auto"/>
              </w:rPr>
            </w:pPr>
            <w:r>
              <w:rPr>
                <w:rFonts w:ascii="Arial" w:cs="Arial" w:eastAsia="Arial" w:hAnsi="Arial"/>
                <w:sz w:val="18"/>
                <w:szCs w:val="18"/>
                <w:color w:val="auto"/>
              </w:rPr>
              <w:t>Washington, D.C.</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3"/>
              </w:rPr>
              <w:t>480 Arsenal Way</w:t>
            </w:r>
          </w:p>
        </w:tc>
        <w:tc>
          <w:tcPr>
            <w:tcW w:w="900" w:type="dxa"/>
            <w:vAlign w:val="bottom"/>
          </w:tcPr>
          <w:p>
            <w:pPr>
              <w:spacing w:after="0"/>
              <w:rPr>
                <w:sz w:val="18"/>
                <w:szCs w:val="18"/>
                <w:color w:val="auto"/>
              </w:rPr>
            </w:pPr>
          </w:p>
        </w:tc>
        <w:tc>
          <w:tcPr>
            <w:tcW w:w="6120" w:type="dxa"/>
            <w:vAlign w:val="bottom"/>
          </w:tcPr>
          <w:p>
            <w:pPr>
              <w:ind w:left="3780"/>
              <w:spacing w:after="0"/>
              <w:rPr>
                <w:sz w:val="20"/>
                <w:szCs w:val="20"/>
                <w:color w:val="auto"/>
              </w:rPr>
            </w:pPr>
            <w:r>
              <w:rPr>
                <w:rFonts w:ascii="Arial" w:cs="Arial" w:eastAsia="Arial" w:hAnsi="Arial"/>
                <w:sz w:val="18"/>
                <w:szCs w:val="18"/>
                <w:color w:val="auto"/>
              </w:rPr>
              <w:t>Milan</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Watertown, MA 02472</w:t>
            </w:r>
          </w:p>
        </w:tc>
        <w:tc>
          <w:tcPr>
            <w:tcW w:w="6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1300" w:type="dxa"/>
            <w:vAlign w:val="bottom"/>
          </w:tcPr>
          <w:p>
            <w:pPr>
              <w:ind w:left="660"/>
              <w:spacing w:after="0"/>
              <w:rPr>
                <w:sz w:val="20"/>
                <w:szCs w:val="20"/>
                <w:color w:val="auto"/>
              </w:rPr>
            </w:pPr>
            <w:r>
              <w:rPr>
                <w:rFonts w:ascii="Arial" w:cs="Arial" w:eastAsia="Arial" w:hAnsi="Arial"/>
                <w:sz w:val="18"/>
                <w:szCs w:val="18"/>
                <w:color w:val="auto"/>
              </w:rPr>
              <w:t>Re:</w:t>
            </w:r>
          </w:p>
        </w:tc>
        <w:tc>
          <w:tcPr>
            <w:tcW w:w="10120" w:type="dxa"/>
            <w:vAlign w:val="bottom"/>
            <w:gridSpan w:val="4"/>
          </w:tcPr>
          <w:p>
            <w:pPr>
              <w:spacing w:after="0"/>
              <w:rPr>
                <w:sz w:val="20"/>
                <w:szCs w:val="20"/>
                <w:color w:val="auto"/>
              </w:rPr>
            </w:pPr>
            <w:r>
              <w:rPr>
                <w:rFonts w:ascii="Arial" w:cs="Arial" w:eastAsia="Arial" w:hAnsi="Arial"/>
                <w:sz w:val="18"/>
                <w:szCs w:val="18"/>
                <w:color w:val="auto"/>
                <w:w w:val="92"/>
              </w:rPr>
              <w:t xml:space="preserve">Registration Statement on Form S-3; Shares of Common Stock,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0.0001 par value per share, having an aggregate offering price of up to</w:t>
            </w:r>
          </w:p>
        </w:tc>
      </w:tr>
      <w:tr>
        <w:trPr>
          <w:trHeight w:val="196"/>
        </w:trPr>
        <w:tc>
          <w:tcPr>
            <w:tcW w:w="130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50,000,000</w:t>
            </w:r>
          </w:p>
        </w:tc>
        <w:tc>
          <w:tcPr>
            <w:tcW w:w="61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-3001010</wp:posOffset>
            </wp:positionV>
            <wp:extent cx="2058035"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8035" cy="2057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acted as special counsel to Selecta Biosciences,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sale by the Company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having an aggregate offering price of up to $50,000,000, to be issued pursuant to (i) a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August 11, 2017, (ii) a base prospectus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related prospectus supplement (together with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(iii) that certain Sales Agreement, dated as of August 11, 2017, by and between the Company and Jefferies LLC (the “</w:t>
      </w:r>
      <w:r>
        <w:rPr>
          <w:rFonts w:ascii="Arial" w:cs="Arial" w:eastAsia="Arial" w:hAnsi="Arial"/>
          <w:sz w:val="18"/>
          <w:szCs w:val="18"/>
          <w:b w:val="1"/>
          <w:bCs w:val="1"/>
          <w:i w:val="1"/>
          <w:iCs w:val="1"/>
          <w:color w:val="auto"/>
        </w:rPr>
        <w:t>Sales Agreement</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Sales Agreement, the issue and sale of the Shares will have been duly authorized by all necessary corporate action of the Company, and the Shares will be validly issued, fully paid and nonassessable. In rendering the foregoing opinion, we have assumed that (i) the Company will comply with all applicable notice requirements regarding uncertificated shares provided in the DGCL and (ii) upon the issuance of any of the Shares, the total number of shares of Common Stock issued and outstanding will not exceed the total number of shares of Common Stock that the Company is then authorized to issue under its Restated Certificate of Incorporation.</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ind w:left="10480"/>
        <w:spacing w:after="0"/>
        <w:rPr>
          <w:sz w:val="20"/>
          <w:szCs w:val="20"/>
          <w:color w:val="auto"/>
        </w:rPr>
      </w:pPr>
      <w:r>
        <w:rPr>
          <w:rFonts w:ascii="Arial" w:cs="Arial" w:eastAsia="Arial" w:hAnsi="Arial"/>
          <w:sz w:val="17"/>
          <w:szCs w:val="17"/>
          <w:b w:val="1"/>
          <w:bCs w:val="1"/>
          <w:color w:val="auto"/>
        </w:rPr>
        <w:t>Exhibit 12.1</w:t>
      </w:r>
    </w:p>
    <w:p>
      <w:pPr>
        <w:spacing w:after="0" w:line="24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STATEMENT REGARDING THE COMPUTATION OF RATIO OF EARNINGS TO FIXED CHARGES AND PREFERRED SHARE DIVIDENDS FOR THE YEARS ENDED DECEMBER 31, 2014, 2015 AND 2016 AND THE SIX MONTHS ENDED JUNE 30, 2017</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 on indebtedness</w:t>
            </w:r>
          </w:p>
        </w:tc>
        <w:tc>
          <w:tcPr>
            <w:tcW w:w="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 and other</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w w:val="95"/>
              </w:rPr>
              <w:t>Interest expense on portion of rent expense representative of</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stock dividends</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Earnings (loss):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(12,880)</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Fixed charges per above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earnings (loss)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(12,880)</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Ratio of earnings (loss) to fixed charges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Deficiency of earnings available to cover fixed charges and</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dividends</w:t>
            </w: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(17,831)</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w w:val="97"/>
              </w:rPr>
              <w:t>Ratio of earnings (loss) to fixed charges and preferred stock</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Selecta</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Biosciences, Inc. for the registration of up to $200,000,000 of its common stock, preferred stock, debt securities, warrants, and units and to the incorporation by reference therein of our report dated March 27, 2017 with respect to the consolidated financial statements of Selecta Biosciences, Inc. included in its Annual Report (Form 10-K) for the year ended December 31, 2016, filed with the Securities and Exchange Commission.</w:t>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decimal"/>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1)"/>
      <w:numFmt w:val="lowerRoman"/>
      <w:start w:val="2"/>
    </w:lvl>
  </w:abstractNum>
  <w:abstractNum w:abstractNumId="7">
    <w:nsid w:val="4962813B"/>
    <w:multiLevelType w:val="hybridMultilevel"/>
    <w:lvl w:ilvl="0">
      <w:lvlJc w:val="left"/>
      <w:lvlText w:val="(%1)"/>
      <w:numFmt w:val="decimal"/>
      <w:start w:val="3"/>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1)"/>
      <w:numFmt w:val="lowerLetter"/>
      <w:start w:val="1"/>
    </w:lvl>
  </w:abstractNum>
  <w:abstractNum w:abstractNumId="42">
    <w:nsid w:val="5FB8011C"/>
    <w:multiLevelType w:val="hybridMultilevel"/>
    <w:lvl w:ilvl="0">
      <w:lvlJc w:val="left"/>
      <w:lvlText w:val="(%1)"/>
      <w:numFmt w:val="decimal"/>
      <w:start w:val="1"/>
    </w:lvl>
    <w:lvl w:ilvl="1">
      <w:lvlJc w:val="left"/>
      <w:lvlText w:val="(%2)"/>
      <w:numFmt w:val="lowerRoman"/>
      <w:start w:val="1"/>
    </w:lvl>
  </w:abstractNum>
  <w:abstractNum w:abstractNumId="43">
    <w:nsid w:val="6AA78F7F"/>
    <w:multiLevelType w:val="hybridMultilevel"/>
    <w:lvl w:ilvl="0">
      <w:lvlJc w:val="left"/>
      <w:lvlText w:val="(%1)"/>
      <w:numFmt w:val="decimal"/>
      <w:start w:val="2"/>
    </w:lvl>
  </w:abstractNum>
  <w:abstractNum w:abstractNumId="44">
    <w:nsid w:val="7672BD23"/>
    <w:multiLevelType w:val="hybridMultilevel"/>
    <w:lvl w:ilvl="0">
      <w:lvlJc w:val="left"/>
      <w:lvlText w:val="(%1)"/>
      <w:numFmt w:val="decimal"/>
      <w:start w:val="5"/>
    </w:lvl>
    <w:lvl w:ilvl="1">
      <w:lvlJc w:val="left"/>
      <w:lvlText w:val="(%2)"/>
      <w:numFmt w:val="upperLetter"/>
      <w:start w:val="1"/>
    </w:lvl>
  </w:abstractNum>
  <w:abstractNum w:abstractNumId="45">
    <w:nsid w:val="6FC75AF8"/>
    <w:multiLevelType w:val="hybridMultilevel"/>
    <w:lvl w:ilvl="0">
      <w:lvlJc w:val="left"/>
      <w:lvlText w:val="(%1)"/>
      <w:numFmt w:val="decimal"/>
      <w:start w:val="6"/>
    </w:lvl>
  </w:abstractNum>
  <w:abstractNum w:abstractNumId="46">
    <w:nsid w:val="6A5F7029"/>
    <w:multiLevelType w:val="hybridMultilevel"/>
    <w:lvl w:ilvl="0">
      <w:lvlJc w:val="left"/>
      <w:lvlText w:val="%1"/>
      <w:numFmt w:val="lowerLetter"/>
      <w:start w:val="1"/>
    </w:lvl>
    <w:lvl w:ilvl="1">
      <w:lvlJc w:val="left"/>
      <w:lvlText w:val="(%2)"/>
      <w:numFmt w:val="lowerRoman"/>
      <w:start w:val="1"/>
    </w:lvl>
  </w:abstractNum>
  <w:abstractNum w:abstractNumId="47">
    <w:nsid w:val="7D5E18F8"/>
    <w:multiLevelType w:val="hybridMultilevel"/>
    <w:lvl w:ilvl="0">
      <w:lvlJc w:val="left"/>
      <w:lvlText w:val="(%1)"/>
      <w:numFmt w:val="lowerLetter"/>
      <w:start w:val="2"/>
    </w:lvl>
    <w:lvl w:ilvl="1">
      <w:lvlJc w:val="left"/>
      <w:lvlText w:val="%2"/>
      <w:numFmt w:val="lowerRoman"/>
      <w:start w:val="1"/>
    </w:lvl>
  </w:abstractNum>
  <w:abstractNum w:abstractNumId="48">
    <w:nsid w:val="5F3534A4"/>
    <w:multiLevelType w:val="hybridMultilevel"/>
    <w:lvl w:ilvl="0">
      <w:lvlJc w:val="left"/>
      <w:lvlText w:val="(%1)"/>
      <w:numFmt w:val="lowerLetter"/>
      <w:start w:val="8"/>
    </w:lvl>
  </w:abstractNum>
  <w:abstractNum w:abstractNumId="49">
    <w:nsid w:val="73A1821B"/>
    <w:multiLevelType w:val="hybridMultilevel"/>
    <w:lvl w:ilvl="0">
      <w:lvlJc w:val="left"/>
      <w:lvlText w:val="%1"/>
      <w:numFmt w:val="lowerLetter"/>
      <w:start w:val="1"/>
    </w:lvl>
    <w:lvl w:ilvl="1">
      <w:lvlJc w:val="left"/>
      <w:lvlText w:val="(%2)"/>
      <w:numFmt w:val="lowerLetter"/>
      <w:start w:val="10"/>
    </w:lvl>
  </w:abstractNum>
  <w:abstractNum w:abstractNumId="50">
    <w:nsid w:val="7DE67713"/>
    <w:multiLevelType w:val="hybridMultilevel"/>
    <w:lvl w:ilvl="0">
      <w:lvlJc w:val="left"/>
      <w:lvlText w:val="(%1)"/>
      <w:numFmt w:val="lowerLetter"/>
      <w:start w:val="1"/>
    </w:lvl>
    <w:lvl w:ilvl="1">
      <w:lvlJc w:val="left"/>
      <w:lvlText w:val="%2"/>
      <w:numFmt w:val="lowerLetter"/>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1)"/>
      <w:numFmt w:val="lowerLetter"/>
      <w:start w:val="1"/>
    </w:lvl>
  </w:abstractNum>
  <w:abstractNum w:abstractNumId="53">
    <w:nsid w:val="14FCE74E"/>
    <w:multiLevelType w:val="hybridMultilevel"/>
    <w:lvl w:ilvl="0">
      <w:lvlJc w:val="left"/>
      <w:lvlText w:val="(%1)"/>
      <w:numFmt w:val="decimal"/>
      <w:start w:val="3"/>
    </w:lvl>
    <w:lvl w:ilvl="1">
      <w:lvlJc w:val="left"/>
      <w:lvlText w:val="%2"/>
      <w:numFmt w:val="lowerLetter"/>
      <w:start w:val="1"/>
    </w:lvl>
  </w:abstractNum>
  <w:abstractNum w:abstractNumId="54">
    <w:nsid w:val="6A3DD3E8"/>
    <w:multiLevelType w:val="hybridMultilevel"/>
    <w:lvl w:ilvl="0">
      <w:lvlJc w:val="left"/>
      <w:lvlText w:val="(%1)"/>
      <w:numFmt w:val="decimal"/>
      <w:start w:val="5"/>
    </w:lvl>
    <w:lvl w:ilvl="1">
      <w:lvlJc w:val="left"/>
      <w:lvlText w:val="(%2)"/>
      <w:numFmt w:val="lowerLetter"/>
      <w:start w:val="1"/>
    </w:lvl>
  </w:abstractNum>
  <w:abstractNum w:abstractNumId="55">
    <w:nsid w:val="71C91298"/>
    <w:multiLevelType w:val="hybridMultilevel"/>
    <w:lvl w:ilvl="0">
      <w:lvlJc w:val="left"/>
      <w:lvlText w:val="(%1)"/>
      <w:numFmt w:val="lowerLetter"/>
      <w:start w:val="2"/>
    </w:lvl>
  </w:abstractNum>
  <w:abstractNum w:abstractNumId="56">
    <w:nsid w:val="9DAF632"/>
    <w:multiLevelType w:val="hybridMultilevel"/>
    <w:lvl w:ilvl="0">
      <w:lvlJc w:val="left"/>
      <w:lvlText w:val="(%1)"/>
      <w:numFmt w:val="lowerLetter"/>
      <w:start w:val="3"/>
    </w:lvl>
  </w:abstractNum>
  <w:abstractNum w:abstractNumId="57">
    <w:nsid w:val="53299938"/>
    <w:multiLevelType w:val="hybridMultilevel"/>
    <w:lvl w:ilvl="0">
      <w:lvlJc w:val="left"/>
      <w:lvlText w:val="%1"/>
      <w:numFmt w:val="lowerLetter"/>
      <w:start w:val="1"/>
    </w:lvl>
    <w:lvl w:ilvl="1">
      <w:lvlJc w:val="left"/>
      <w:lvlText w:val="(%2)"/>
      <w:numFmt w:val="lowerLetter"/>
      <w:start w:val="5"/>
    </w:lvl>
  </w:abstractNum>
  <w:abstractNum w:abstractNumId="58">
    <w:nsid w:val="1FBFE8E0"/>
    <w:multiLevelType w:val="hybridMultilevel"/>
    <w:lvl w:ilvl="0">
      <w:lvlJc w:val="left"/>
      <w:lvlText w:val="(%1)"/>
      <w:numFmt w:val="lowerLetter"/>
      <w:start w:val="61"/>
    </w:lvl>
    <w:lvl w:ilvl="1">
      <w:lvlJc w:val="left"/>
      <w:lvlText w:val="(%2)"/>
      <w:numFmt w:val="lowerLetter"/>
      <w:start w:val="9"/>
    </w:lvl>
  </w:abstractNum>
  <w:abstractNum w:abstractNumId="59">
    <w:nsid w:val="5092CA79"/>
    <w:multiLevelType w:val="hybridMultilevel"/>
    <w:lvl w:ilvl="0">
      <w:lvlJc w:val="left"/>
      <w:lvlText w:val="(%1)"/>
      <w:numFmt w:val="lowerLetter"/>
      <w:start w:val="10"/>
    </w:lvl>
  </w:abstractNum>
  <w:abstractNum w:abstractNumId="60">
    <w:nsid w:val="1D545C4D"/>
    <w:multiLevelType w:val="hybridMultilevel"/>
    <w:lvl w:ilvl="0">
      <w:lvlJc w:val="left"/>
      <w:lvlText w:val="(%1)"/>
      <w:numFmt w:val="lowerLetter"/>
      <w:start w:val="12"/>
    </w:lvl>
  </w:abstractNum>
  <w:abstractNum w:abstractNumId="61">
    <w:nsid w:val="59ADEA3D"/>
    <w:multiLevelType w:val="hybridMultilevel"/>
    <w:lvl w:ilvl="0">
      <w:lvlJc w:val="left"/>
      <w:lvlText w:val="(%1)"/>
      <w:numFmt w:val="lowerLetter"/>
      <w:start w:val="16"/>
    </w:lvl>
  </w:abstractNum>
  <w:abstractNum w:abstractNumId="62">
    <w:nsid w:val="288F1A34"/>
    <w:multiLevelType w:val="hybridMultilevel"/>
    <w:lvl w:ilvl="0">
      <w:lvlJc w:val="left"/>
      <w:lvlText w:val="%1"/>
      <w:numFmt w:val="lowerLetter"/>
      <w:start w:val="1"/>
    </w:lvl>
    <w:lvl w:ilvl="1">
      <w:lvlJc w:val="left"/>
      <w:lvlText w:val="(%2)"/>
      <w:numFmt w:val="lowerLetter"/>
      <w:start w:val="19"/>
    </w:lvl>
  </w:abstractNum>
  <w:abstractNum w:abstractNumId="63">
    <w:nsid w:val="2A155DBC"/>
    <w:multiLevelType w:val="hybridMultilevel"/>
    <w:lvl w:ilvl="0">
      <w:lvlJc w:val="left"/>
      <w:lvlText w:val="(%1)"/>
      <w:numFmt w:val="lowerLetter"/>
      <w:start w:val="9"/>
    </w:lvl>
    <w:lvl w:ilvl="1">
      <w:lvlJc w:val="left"/>
      <w:lvlText w:val="%2"/>
      <w:numFmt w:val="lowerLetter"/>
      <w:start w:val="1"/>
    </w:lvl>
  </w:abstractNum>
  <w:abstractNum w:abstractNumId="64">
    <w:nsid w:val="1D9F6E5F"/>
    <w:multiLevelType w:val="hybridMultilevel"/>
    <w:lvl w:ilvl="0">
      <w:lvlJc w:val="left"/>
      <w:lvlText w:val="(%1)"/>
      <w:numFmt w:val="lowerLetter"/>
      <w:start w:val="21"/>
    </w:lvl>
  </w:abstractNum>
  <w:abstractNum w:abstractNumId="65">
    <w:nsid w:val="97E1B4E"/>
    <w:multiLevelType w:val="hybridMultilevel"/>
    <w:lvl w:ilvl="0">
      <w:lvlJc w:val="left"/>
      <w:lvlText w:val="(%1)"/>
      <w:numFmt w:val="lowerRoman"/>
      <w:start w:val="10"/>
    </w:lvl>
  </w:abstractNum>
  <w:abstractNum w:abstractNumId="66">
    <w:nsid w:val="51088277"/>
    <w:multiLevelType w:val="hybridMultilevel"/>
    <w:lvl w:ilvl="0">
      <w:lvlJc w:val="left"/>
      <w:lvlText w:val="%1"/>
      <w:numFmt w:val="lowerLetter"/>
      <w:start w:val="1"/>
    </w:lvl>
    <w:lvl w:ilvl="1">
      <w:lvlJc w:val="left"/>
      <w:lvlText w:val="(%2)"/>
      <w:numFmt w:val="lowerLetter"/>
      <w:start w:val="25"/>
    </w:lvl>
  </w:abstractNum>
  <w:abstractNum w:abstractNumId="67">
    <w:nsid w:val="1CA0C5FA"/>
    <w:multiLevelType w:val="hybridMultilevel"/>
    <w:lvl w:ilvl="0">
      <w:lvlJc w:val="left"/>
      <w:lvlText w:val="(%1)"/>
      <w:numFmt w:val="lowerLetter"/>
      <w:start w:val="35"/>
    </w:lvl>
    <w:lvl w:ilvl="1">
      <w:lvlJc w:val="left"/>
      <w:lvlText w:val="%2"/>
      <w:numFmt w:val="lowerLetter"/>
      <w:start w:val="1"/>
    </w:lvl>
  </w:abstractNum>
  <w:abstractNum w:abstractNumId="68">
    <w:nsid w:val="53584BCB"/>
    <w:multiLevelType w:val="hybridMultilevel"/>
    <w:lvl w:ilvl="0">
      <w:lvlJc w:val="left"/>
      <w:lvlText w:val="(%1)"/>
      <w:numFmt w:val="lowerLetter"/>
      <w:start w:val="22"/>
    </w:lvl>
    <w:lvl w:ilvl="1">
      <w:lvlJc w:val="left"/>
      <w:lvlText w:val="(%2)"/>
      <w:numFmt w:val="lowerLetter"/>
      <w:start w:val="26"/>
    </w:lvl>
  </w:abstractNum>
  <w:abstractNum w:abstractNumId="69">
    <w:nsid w:val="415E286C"/>
    <w:multiLevelType w:val="hybridMultilevel"/>
    <w:lvl w:ilvl="0">
      <w:lvlJc w:val="left"/>
      <w:lvlText w:val="(%1)"/>
      <w:numFmt w:val="lowerLetter"/>
      <w:start w:val="27"/>
    </w:lvl>
  </w:abstractNum>
  <w:abstractNum w:abstractNumId="70">
    <w:nsid w:val="7C58FD05"/>
    <w:multiLevelType w:val="hybridMultilevel"/>
    <w:lvl w:ilvl="0">
      <w:lvlJc w:val="left"/>
      <w:lvlText w:val="(%1)"/>
      <w:numFmt w:val="lowerLetter"/>
      <w:start w:val="29"/>
    </w:lvl>
  </w:abstractNum>
  <w:abstractNum w:abstractNumId="71">
    <w:nsid w:val="23D86AAC"/>
    <w:multiLevelType w:val="hybridMultilevel"/>
    <w:lvl w:ilvl="0">
      <w:lvlJc w:val="left"/>
      <w:lvlText w:val="(%1)"/>
      <w:numFmt w:val="lowerLetter"/>
      <w:start w:val="30"/>
    </w:lvl>
  </w:abstractNum>
  <w:abstractNum w:abstractNumId="72">
    <w:nsid w:val="45E6D486"/>
    <w:multiLevelType w:val="hybridMultilevel"/>
    <w:lvl w:ilvl="0">
      <w:lvlJc w:val="left"/>
      <w:lvlText w:val="(%1)"/>
      <w:numFmt w:val="lowerLetter"/>
      <w:start w:val="31"/>
    </w:lvl>
  </w:abstractNum>
  <w:abstractNum w:abstractNumId="73">
    <w:nsid w:val="5C10FE21"/>
    <w:multiLevelType w:val="hybridMultilevel"/>
    <w:lvl w:ilvl="0">
      <w:lvlJc w:val="left"/>
      <w:lvlText w:val="(%1)"/>
      <w:numFmt w:val="lowerLetter"/>
      <w:start w:val="34"/>
    </w:lvl>
  </w:abstractNum>
  <w:abstractNum w:abstractNumId="74">
    <w:nsid w:val="E7FFA2B"/>
    <w:multiLevelType w:val="hybridMultilevel"/>
    <w:lvl w:ilvl="0">
      <w:lvlJc w:val="left"/>
      <w:lvlText w:val="%1"/>
      <w:numFmt w:val="decimal"/>
      <w:start w:val="1"/>
    </w:lvl>
    <w:lvl w:ilvl="1">
      <w:lvlJc w:val="left"/>
      <w:lvlText w:val="(%2)"/>
      <w:numFmt w:val="lowerLetter"/>
      <w:start w:val="39"/>
    </w:lvl>
  </w:abstractNum>
  <w:abstractNum w:abstractNumId="75">
    <w:nsid w:val="3C5991AA"/>
    <w:multiLevelType w:val="hybridMultilevel"/>
    <w:lvl w:ilvl="0">
      <w:lvlJc w:val="left"/>
      <w:lvlText w:val="(%1)"/>
      <w:numFmt w:val="decimal"/>
      <w:start w:val="3"/>
    </w:lvl>
    <w:lvl w:ilvl="1">
      <w:lvlJc w:val="left"/>
      <w:lvlText w:val="(%2)"/>
      <w:numFmt w:val="lowerLetter"/>
      <w:start w:val="40"/>
    </w:lvl>
  </w:abstractNum>
  <w:abstractNum w:abstractNumId="76">
    <w:nsid w:val="4BD8591A"/>
    <w:multiLevelType w:val="hybridMultilevel"/>
    <w:lvl w:ilvl="0">
      <w:lvlJc w:val="left"/>
      <w:lvlText w:val="§§"/>
      <w:numFmt w:val="bullet"/>
      <w:start w:val="1"/>
    </w:lvl>
    <w:lvl w:ilvl="1">
      <w:lvlJc w:val="left"/>
      <w:lvlText w:val="(%2)"/>
      <w:numFmt w:val="lowerLetter"/>
      <w:start w:val="43"/>
    </w:lvl>
  </w:abstractNum>
  <w:abstractNum w:abstractNumId="77">
    <w:nsid w:val="78DF6A55"/>
    <w:multiLevelType w:val="hybridMultilevel"/>
    <w:lvl w:ilvl="0">
      <w:lvlJc w:val="left"/>
      <w:lvlText w:val="(%1)"/>
      <w:numFmt w:val="lowerLetter"/>
      <w:start w:val="44"/>
    </w:lvl>
  </w:abstractNum>
  <w:abstractNum w:abstractNumId="78">
    <w:nsid w:val="39B7AAA2"/>
    <w:multiLevelType w:val="hybridMultilevel"/>
    <w:lvl w:ilvl="0">
      <w:lvlJc w:val="left"/>
      <w:lvlText w:val="(%1)"/>
      <w:numFmt w:val="lowerLetter"/>
      <w:start w:val="1"/>
    </w:lvl>
    <w:lvl w:ilvl="1">
      <w:lvlJc w:val="left"/>
      <w:lvlText w:val="(%2)"/>
      <w:numFmt w:val="lowerRoman"/>
      <w:start w:val="1"/>
    </w:lvl>
  </w:abstractNum>
  <w:abstractNum w:abstractNumId="79">
    <w:nsid w:val="2B0D8DBE"/>
    <w:multiLevelType w:val="hybridMultilevel"/>
    <w:lvl w:ilvl="0">
      <w:lvlJc w:val="left"/>
      <w:lvlText w:val="(%1)"/>
      <w:numFmt w:val="lowerLetter"/>
      <w:start w:val="24"/>
    </w:lvl>
    <w:lvl w:ilvl="1">
      <w:lvlJc w:val="left"/>
      <w:lvlText w:val="(%2)"/>
      <w:numFmt w:val="lowerRoman"/>
      <w:start w:val="2"/>
    </w:lvl>
  </w:abstractNum>
  <w:abstractNum w:abstractNumId="80">
    <w:nsid w:val="6C80EC70"/>
    <w:multiLevelType w:val="hybridMultilevel"/>
    <w:lvl w:ilvl="0">
      <w:lvlJc w:val="left"/>
      <w:lvlText w:val="%1"/>
      <w:numFmt w:val="lowerRoman"/>
      <w:start w:val="1"/>
    </w:lvl>
    <w:lvl w:ilvl="1">
      <w:lvlJc w:val="left"/>
      <w:lvlText w:val="(%2)"/>
      <w:numFmt w:val="lowerRoman"/>
      <w:start w:val="5"/>
    </w:lvl>
  </w:abstractNum>
  <w:abstractNum w:abstractNumId="81">
    <w:nsid w:val="379E21B5"/>
    <w:multiLevelType w:val="hybridMultilevel"/>
    <w:lvl w:ilvl="0">
      <w:lvlJc w:val="left"/>
      <w:lvlText w:val="(%1)"/>
      <w:numFmt w:val="lowerRoman"/>
      <w:start w:val="8"/>
    </w:lvl>
    <w:lvl w:ilvl="1">
      <w:lvlJc w:val="left"/>
      <w:lvlText w:val="%2"/>
      <w:numFmt w:val="lowerRoman"/>
      <w:start w:val="1"/>
    </w:lvl>
  </w:abstractNum>
  <w:abstractNum w:abstractNumId="82">
    <w:nsid w:val="69E373"/>
    <w:multiLevelType w:val="hybridMultilevel"/>
    <w:lvl w:ilvl="0">
      <w:lvlJc w:val="left"/>
      <w:lvlText w:val="(%1)"/>
      <w:numFmt w:val="lowerLetter"/>
      <w:start w:val="3"/>
    </w:lvl>
  </w:abstractNum>
  <w:abstractNum w:abstractNumId="83">
    <w:nsid w:val="2C27173B"/>
    <w:multiLevelType w:val="hybridMultilevel"/>
    <w:lvl w:ilvl="0">
      <w:lvlJc w:val="left"/>
      <w:lvlText w:val="%1"/>
      <w:numFmt w:val="lowerLetter"/>
      <w:start w:val="1"/>
    </w:lvl>
    <w:lvl w:ilvl="1">
      <w:lvlJc w:val="left"/>
      <w:lvlText w:val="(%2)"/>
      <w:numFmt w:val="lowerLetter"/>
      <w:start w:val="1"/>
    </w:lvl>
  </w:abstractNum>
  <w:abstractNum w:abstractNumId="84">
    <w:nsid w:val="4C9B0904"/>
    <w:multiLevelType w:val="hybridMultilevel"/>
    <w:lvl w:ilvl="0">
      <w:lvlJc w:val="left"/>
      <w:lvlText w:val="(%1)"/>
      <w:numFmt w:val="lowerLetter"/>
      <w:start w:val="35"/>
    </w:lvl>
    <w:lvl w:ilvl="1">
      <w:lvlJc w:val="left"/>
      <w:lvlText w:val="%2"/>
      <w:numFmt w:val="lowerLetter"/>
      <w:start w:val="1"/>
    </w:lvl>
  </w:abstractNum>
  <w:abstractNum w:abstractNumId="85">
    <w:nsid w:val="6AA7B75C"/>
    <w:multiLevelType w:val="hybridMultilevel"/>
    <w:lvl w:ilvl="0">
      <w:lvlJc w:val="left"/>
      <w:lvlText w:val="(%1)"/>
      <w:numFmt w:val="decimal"/>
      <w:start w:val="1"/>
    </w:lvl>
    <w:lvl w:ilvl="1">
      <w:lvlJc w:val="left"/>
      <w:lvlText w:val="(%2)"/>
      <w:numFmt w:val="lowerLetter"/>
      <w:start w:val="2"/>
    </w:lvl>
  </w:abstractNum>
  <w:abstractNum w:abstractNumId="86">
    <w:nsid w:val="1DF029D3"/>
    <w:multiLevelType w:val="hybridMultilevel"/>
    <w:lvl w:ilvl="0">
      <w:lvlJc w:val="left"/>
      <w:lvlText w:val="(%1)"/>
      <w:numFmt w:val="lowerLetter"/>
      <w:start w:val="4"/>
    </w:lvl>
  </w:abstractNum>
  <w:abstractNum w:abstractNumId="87">
    <w:nsid w:val="5675FF36"/>
    <w:multiLevelType w:val="hybridMultilevel"/>
    <w:lvl w:ilvl="0">
      <w:lvlJc w:val="left"/>
      <w:lvlText w:val="(%1)"/>
      <w:numFmt w:val="lowerLetter"/>
      <w:start w:val="7"/>
    </w:lvl>
  </w:abstractNum>
  <w:abstractNum w:abstractNumId="88">
    <w:nsid w:val="3DD15094"/>
    <w:multiLevelType w:val="hybridMultilevel"/>
    <w:lvl w:ilvl="0">
      <w:lvlJc w:val="left"/>
      <w:lvlText w:val="(%1)"/>
      <w:numFmt w:val="lowerRoman"/>
      <w:start w:val="1"/>
    </w:lvl>
  </w:abstractNum>
  <w:abstractNum w:abstractNumId="89">
    <w:nsid w:val="3DB012B3"/>
    <w:multiLevelType w:val="hybridMultilevel"/>
    <w:lvl w:ilvl="0">
      <w:lvlJc w:val="left"/>
      <w:lvlText w:val="(%1)"/>
      <w:numFmt w:val="lowerLetter"/>
      <w:start w:val="10"/>
    </w:lvl>
  </w:abstractNum>
  <w:abstractNum w:abstractNumId="90">
    <w:nsid w:val="2708C9AF"/>
    <w:multiLevelType w:val="hybridMultilevel"/>
    <w:lvl w:ilvl="0">
      <w:lvlJc w:val="left"/>
      <w:lvlText w:val="(%1)"/>
      <w:numFmt w:val="upperLetter"/>
      <w:start w:val="1"/>
    </w:lvl>
  </w:abstractNum>
  <w:abstractNum w:abstractNumId="91">
    <w:nsid w:val="5B25ACE2"/>
    <w:multiLevelType w:val="hybridMultilevel"/>
    <w:lvl w:ilvl="0">
      <w:lvlJc w:val="left"/>
      <w:lvlText w:val="(%1)"/>
      <w:numFmt w:val="upperLetter"/>
      <w:start w:val="2"/>
    </w:lvl>
  </w:abstractNum>
  <w:abstractNum w:abstractNumId="92">
    <w:nsid w:val="175DFCF0"/>
    <w:multiLevelType w:val="hybridMultilevel"/>
    <w:lvl w:ilvl="0">
      <w:lvlJc w:val="left"/>
      <w:lvlText w:val="(%1)"/>
      <w:numFmt w:val="lowerLetter"/>
      <w:start w:val="16"/>
    </w:lvl>
  </w:abstractNum>
  <w:abstractNum w:abstractNumId="93">
    <w:nsid w:val="4F97E3E4"/>
    <w:multiLevelType w:val="hybridMultilevel"/>
    <w:lvl w:ilvl="0">
      <w:lvlJc w:val="left"/>
      <w:lvlText w:val="%1"/>
      <w:numFmt w:val="upperLetter"/>
      <w:start w:val="1"/>
    </w:lvl>
    <w:lvl w:ilvl="1">
      <w:lvlJc w:val="left"/>
      <w:lvlText w:val="(%2)"/>
      <w:numFmt w:val="lowerLetter"/>
      <w:start w:val="17"/>
    </w:lvl>
  </w:abstractNum>
  <w:abstractNum w:abstractNumId="94">
    <w:nsid w:val="53B0A9E"/>
    <w:multiLevelType w:val="hybridMultilevel"/>
    <w:lvl w:ilvl="0">
      <w:lvlJc w:val="left"/>
      <w:lvlText w:val="(%1)"/>
      <w:numFmt w:val="upperLetter"/>
      <w:start w:val="2"/>
    </w:lvl>
    <w:lvl w:ilvl="1">
      <w:lvlJc w:val="left"/>
      <w:lvlText w:val="(%2)"/>
      <w:numFmt w:val="lowerLetter"/>
      <w:start w:val="19"/>
    </w:lvl>
  </w:abstractNum>
  <w:abstractNum w:abstractNumId="95">
    <w:nsid w:val="34FD6B4F"/>
    <w:multiLevelType w:val="hybridMultilevel"/>
    <w:lvl w:ilvl="0">
      <w:lvlJc w:val="left"/>
      <w:lvlText w:val="%1"/>
      <w:numFmt w:val="lowerRoman"/>
      <w:start w:val="1"/>
    </w:lvl>
    <w:lvl w:ilvl="1">
      <w:lvlJc w:val="left"/>
      <w:lvlText w:val="(%2)"/>
      <w:numFmt w:val="lowerRoman"/>
      <w:start w:val="5"/>
    </w:lvl>
  </w:abstractNum>
  <w:abstractNum w:abstractNumId="96">
    <w:nsid w:val="5915FF32"/>
    <w:multiLevelType w:val="hybridMultilevel"/>
    <w:lvl w:ilvl="0">
      <w:lvlJc w:val="left"/>
      <w:lvlText w:val="(%1)"/>
      <w:numFmt w:val="lowerRoman"/>
      <w:start w:val="2"/>
    </w:lvl>
    <w:lvl w:ilvl="1">
      <w:lvlJc w:val="left"/>
      <w:lvlText w:val="%2"/>
      <w:numFmt w:val="lowerRoman"/>
      <w:start w:val="1"/>
    </w:lvl>
  </w:abstractNum>
  <w:abstractNum w:abstractNumId="97">
    <w:nsid w:val="56438D15"/>
    <w:multiLevelType w:val="hybridMultilevel"/>
    <w:lvl w:ilvl="0">
      <w:lvlJc w:val="left"/>
      <w:lvlText w:val="(%1)"/>
      <w:numFmt w:val="lowerLetter"/>
      <w:start w:val="1"/>
    </w:lvl>
    <w:lvl w:ilvl="1">
      <w:lvlJc w:val="left"/>
      <w:lvlText w:val="(%2)"/>
      <w:numFmt w:val="lowerLetter"/>
      <w:start w:val="9"/>
    </w:lvl>
  </w:abstractNum>
  <w:abstractNum w:abstractNumId="98">
    <w:nsid w:val="519E3149"/>
    <w:multiLevelType w:val="hybridMultilevel"/>
    <w:lvl w:ilvl="0">
      <w:lvlJc w:val="left"/>
      <w:lvlText w:val="(%1)"/>
      <w:numFmt w:val="lowerRoman"/>
      <w:start w:val="2"/>
    </w:lvl>
  </w:abstractNum>
  <w:abstractNum w:abstractNumId="99">
    <w:nsid w:val="2C6E4AFD"/>
    <w:multiLevelType w:val="hybridMultilevel"/>
    <w:lvl w:ilvl="0">
      <w:lvlJc w:val="left"/>
      <w:lvlText w:val="(%1)"/>
      <w:numFmt w:val="lowerRoman"/>
      <w:start w:val="6"/>
    </w:lvl>
  </w:abstractNum>
  <w:abstractNum w:abstractNumId="100">
    <w:nsid w:val="17A1B582"/>
    <w:multiLevelType w:val="hybridMultilevel"/>
    <w:lvl w:ilvl="0">
      <w:lvlJc w:val="left"/>
      <w:lvlText w:val="(%1)"/>
      <w:numFmt w:val="lowerLetter"/>
      <w:start w:val="1"/>
    </w:lvl>
  </w:abstractNum>
  <w:abstractNum w:abstractNumId="101">
    <w:nsid w:val="4DF72E4E"/>
    <w:multiLevelType w:val="hybridMultilevel"/>
    <w:lvl w:ilvl="0">
      <w:lvlJc w:val="left"/>
      <w:lvlText w:val="(%1)"/>
      <w:numFmt w:val="lowerLetter"/>
      <w:start w:val="2"/>
    </w:lvl>
  </w:abstractNum>
  <w:abstractNum w:abstractNumId="102">
    <w:nsid w:val="5046B5A9"/>
    <w:multiLevelType w:val="hybridMultilevel"/>
    <w:lvl w:ilvl="0">
      <w:lvlJc w:val="left"/>
      <w:lvlText w:val="(%1)"/>
      <w:numFmt w:val="lowerLetter"/>
      <w:start w:val="4"/>
    </w:lvl>
  </w:abstractNum>
  <w:abstractNum w:abstractNumId="103">
    <w:nsid w:val="5D888A08"/>
    <w:multiLevelType w:val="hybridMultilevel"/>
    <w:lvl w:ilvl="0">
      <w:lvlJc w:val="left"/>
      <w:lvlText w:val="(%1)"/>
      <w:numFmt w:val="lowerLetter"/>
      <w:start w:val="5"/>
    </w:lvl>
  </w:abstractNum>
  <w:abstractNum w:abstractNumId="104">
    <w:nsid w:val="2A082C70"/>
    <w:multiLevelType w:val="hybridMultilevel"/>
    <w:lvl w:ilvl="0">
      <w:lvlJc w:val="left"/>
      <w:lvlText w:val="(%1)"/>
      <w:numFmt w:val="lowerRoman"/>
      <w:start w:val="2"/>
    </w:lvl>
  </w:abstractNum>
  <w:abstractNum w:abstractNumId="105">
    <w:nsid w:val="5EC6AFD4"/>
    <w:multiLevelType w:val="hybridMultilevel"/>
    <w:lvl w:ilvl="0">
      <w:lvlJc w:val="left"/>
      <w:lvlText w:val="(%1)"/>
      <w:numFmt w:val="lowerLetter"/>
      <w:start w:val="1"/>
    </w:lvl>
    <w:lvl w:ilvl="1">
      <w:lvlJc w:val="left"/>
      <w:lvlText w:val="(%2)"/>
      <w:numFmt w:val="lowerLetter"/>
      <w:start w:val="35"/>
    </w:lvl>
  </w:abstractNum>
  <w:abstractNum w:abstractNumId="106">
    <w:nsid w:val="19E21BB2"/>
    <w:multiLevelType w:val="hybridMultilevel"/>
    <w:lvl w:ilvl="0">
      <w:lvlJc w:val="left"/>
      <w:lvlText w:val="(%1)"/>
      <w:numFmt w:val="lowerLetter"/>
      <w:start w:val="1"/>
    </w:lvl>
  </w:abstractNum>
  <w:abstractNum w:abstractNumId="107">
    <w:nsid w:val="75E0858A"/>
    <w:multiLevelType w:val="hybridMultilevel"/>
    <w:lvl w:ilvl="0">
      <w:lvlJc w:val="left"/>
      <w:lvlText w:val="(%1)"/>
      <w:numFmt w:val="lowerLetter"/>
      <w:start w:val="2"/>
    </w:lvl>
  </w:abstractNum>
  <w:abstractNum w:abstractNumId="108">
    <w:nsid w:val="57A61A29"/>
    <w:multiLevelType w:val="hybridMultilevel"/>
    <w:lvl w:ilvl="0">
      <w:lvlJc w:val="left"/>
      <w:lvlText w:val="(%1)"/>
      <w:numFmt w:val="lowerLetter"/>
      <w:start w:val="3"/>
    </w:lvl>
  </w:abstractNum>
  <w:abstractNum w:abstractNumId="109">
    <w:nsid w:val="5399C654"/>
    <w:multiLevelType w:val="hybridMultilevel"/>
    <w:lvl w:ilvl="0">
      <w:lvlJc w:val="left"/>
      <w:lvlText w:val="(%1)"/>
      <w:numFmt w:val="lowerLetter"/>
      <w:start w:val="5"/>
    </w:lvl>
  </w:abstractNum>
  <w:abstractNum w:abstractNumId="110">
    <w:nsid w:val="20EE1348"/>
    <w:multiLevelType w:val="hybridMultilevel"/>
    <w:lvl w:ilvl="0">
      <w:lvlJc w:val="left"/>
      <w:lvlText w:val="(%1)"/>
      <w:numFmt w:val="lowerLetter"/>
      <w:start w:val="8"/>
    </w:lvl>
  </w:abstractNum>
  <w:abstractNum w:abstractNumId="111">
    <w:nsid w:val="4427069A"/>
    <w:multiLevelType w:val="hybridMultilevel"/>
    <w:lvl w:ilvl="0">
      <w:lvlJc w:val="left"/>
      <w:lvlText w:val="["/>
      <w:numFmt w:val="bullet"/>
      <w:start w:val="1"/>
    </w:lvl>
  </w:abstractNum>
  <w:abstractNum w:abstractNumId="112">
    <w:nsid w:val="B37E80A"/>
    <w:multiLevelType w:val="hybridMultilevel"/>
    <w:lvl w:ilvl="0">
      <w:lvlJc w:val="left"/>
      <w:lvlText w:val="["/>
      <w:numFmt w:val="bullet"/>
      <w:start w:val="1"/>
    </w:lvl>
  </w:abstractNum>
  <w:abstractNum w:abstractNumId="113">
    <w:nsid w:val="2157F6BC"/>
    <w:multiLevelType w:val="hybridMultilevel"/>
    <w:lvl w:ilvl="0">
      <w:lvlJc w:val="left"/>
      <w:lvlText w:val="(%1)"/>
      <w:numFmt w:val="lowerLetter"/>
      <w:start w:val="1"/>
    </w:lvl>
  </w:abstractNum>
  <w:abstractNum w:abstractNumId="114">
    <w:nsid w:val="704E1DD5"/>
    <w:multiLevelType w:val="hybridMultilevel"/>
    <w:lvl w:ilvl="0">
      <w:lvlJc w:val="left"/>
      <w:lvlText w:val="(%1)"/>
      <w:numFmt w:val="lowerLetter"/>
      <w:start w:val="1"/>
    </w:lvl>
  </w:abstractNum>
  <w:abstractNum w:abstractNumId="115">
    <w:nsid w:val="57D2F10E"/>
    <w:multiLevelType w:val="hybridMultilevel"/>
    <w:lvl w:ilvl="0">
      <w:lvlJc w:val="left"/>
      <w:lvlText w:val="(%1)"/>
      <w:numFmt w:val="lowerLetter"/>
      <w:start w:val="1"/>
    </w:lvl>
  </w:abstractNum>
  <w:abstractNum w:abstractNumId="116">
    <w:nsid w:val="BFFAE18"/>
    <w:multiLevelType w:val="hybridMultilevel"/>
    <w:lvl w:ilvl="0">
      <w:lvlJc w:val="left"/>
      <w:lvlText w:val="(%1)"/>
      <w:numFmt w:val="lowerLetter"/>
      <w:start w:val="1"/>
    </w:lvl>
    <w:lvl w:ilvl="1">
      <w:lvlJc w:val="left"/>
      <w:lvlText w:val="(%2)"/>
      <w:numFmt w:val="lowerLetter"/>
      <w:start w:val="9"/>
    </w:lvl>
  </w:abstractNum>
  <w:abstractNum w:abstractNumId="117">
    <w:nsid w:val="E3E47A8"/>
    <w:multiLevelType w:val="hybridMultilevel"/>
    <w:lvl w:ilvl="0">
      <w:lvlJc w:val="left"/>
      <w:lvlText w:val="%1"/>
      <w:numFmt w:val="lowerLetter"/>
      <w:start w:val="1"/>
    </w:lvl>
    <w:lvl w:ilvl="1">
      <w:lvlJc w:val="left"/>
      <w:lvlText w:val="(%2)"/>
      <w:numFmt w:val="lowerRoman"/>
      <w:start w:val="2"/>
    </w:lvl>
  </w:abstractNum>
  <w:abstractNum w:abstractNumId="118">
    <w:nsid w:val="2E48F044"/>
    <w:multiLevelType w:val="hybridMultilevel"/>
    <w:lvl w:ilvl="0">
      <w:lvlJc w:val="left"/>
      <w:lvlText w:val="(%1)"/>
      <w:numFmt w:val="lowerLetter"/>
      <w:start w:val="5"/>
    </w:lvl>
    <w:lvl w:ilvl="1">
      <w:lvlJc w:val="left"/>
      <w:lvlText w:val="(%2)"/>
      <w:numFmt w:val="lowerRoman"/>
      <w:start w:val="1"/>
    </w:lvl>
  </w:abstractNum>
  <w:abstractNum w:abstractNumId="119">
    <w:nsid w:val="49D0FEAC"/>
    <w:multiLevelType w:val="hybridMultilevel"/>
    <w:lvl w:ilvl="0">
      <w:lvlJc w:val="left"/>
      <w:lvlText w:val="(%1)"/>
      <w:numFmt w:val="lowerLetter"/>
      <w:start w:val="6"/>
    </w:lvl>
  </w:abstractNum>
  <w:abstractNum w:abstractNumId="120">
    <w:nsid w:val="4BEE5A5B"/>
    <w:multiLevelType w:val="hybridMultilevel"/>
    <w:lvl w:ilvl="0">
      <w:lvlJc w:val="left"/>
      <w:lvlText w:val="(%1)"/>
      <w:numFmt w:val="lowerLetter"/>
      <w:start w:val="5"/>
    </w:lvl>
  </w:abstractNum>
  <w:abstractNum w:abstractNumId="121">
    <w:nsid w:val="5551B9F3"/>
    <w:multiLevelType w:val="hybridMultilevel"/>
    <w:lvl w:ilvl="0">
      <w:lvlJc w:val="left"/>
      <w:lvlText w:val="(%1)"/>
      <w:numFmt w:val="lowerLetter"/>
      <w:start w:val="1"/>
    </w:lvl>
  </w:abstractNum>
  <w:abstractNum w:abstractNumId="122">
    <w:nsid w:val="24F6AB8E"/>
    <w:multiLevelType w:val="hybridMultilevel"/>
    <w:lvl w:ilvl="0">
      <w:lvlJc w:val="left"/>
      <w:lvlText w:val="(%1)"/>
      <w:numFmt w:val="lowerLetter"/>
      <w:start w:val="1"/>
    </w:lvl>
  </w:abstractNum>
  <w:abstractNum w:abstractNumId="123">
    <w:nsid w:val="634C574C"/>
    <w:multiLevelType w:val="hybridMultilevel"/>
    <w:lvl w:ilvl="0">
      <w:lvlJc w:val="left"/>
      <w:lvlText w:val="(%1)"/>
      <w:numFmt w:val="lowerLetter"/>
      <w:start w:val="1"/>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lowerLetter"/>
      <w:start w:val="1"/>
    </w:lvl>
    <w:lvl w:ilvl="1">
      <w:lvlJc w:val="left"/>
      <w:lvlText w:val="(%2)"/>
      <w:numFmt w:val="lowerRoman"/>
      <w:start w:val="1"/>
    </w:lvl>
  </w:abstractNum>
  <w:abstractNum w:abstractNumId="126">
    <w:nsid w:val="1849C29B"/>
    <w:multiLevelType w:val="hybridMultilevel"/>
    <w:lvl w:ilvl="0">
      <w:lvlJc w:val="left"/>
      <w:lvlText w:val="(%1)"/>
      <w:numFmt w:val="lowerLetter"/>
      <w:start w:val="3"/>
    </w:lvl>
    <w:lvl w:ilvl="1">
      <w:lvlJc w:val="left"/>
      <w:lvlText w:val="(%2)"/>
      <w:numFmt w:val="lowerRoman"/>
      <w:start w:val="1"/>
    </w:lvl>
  </w:abstractNum>
  <w:abstractNum w:abstractNumId="127">
    <w:nsid w:val="7DFF9D09"/>
    <w:multiLevelType w:val="hybridMultilevel"/>
    <w:lvl w:ilvl="0">
      <w:lvlJc w:val="left"/>
      <w:lvlText w:val="(%1)"/>
      <w:numFmt w:val="lowerLetter"/>
      <w:start w:val="5"/>
    </w:lvl>
  </w:abstractNum>
  <w:abstractNum w:abstractNumId="128">
    <w:nsid w:val="754342"/>
    <w:multiLevelType w:val="hybridMultilevel"/>
    <w:lvl w:ilvl="0">
      <w:lvlJc w:val="left"/>
      <w:lvlText w:val="(%1)"/>
      <w:numFmt w:val="lowerLetter"/>
      <w:start w:val="1"/>
    </w:lvl>
  </w:abstractNum>
  <w:abstractNum w:abstractNumId="129">
    <w:nsid w:val="69E7F3E5"/>
    <w:multiLevelType w:val="hybridMultilevel"/>
    <w:lvl w:ilvl="0">
      <w:lvlJc w:val="left"/>
      <w:lvlText w:val="(%1)"/>
      <w:numFmt w:val="lowerLetter"/>
      <w:start w:val="7"/>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1)"/>
      <w:numFmt w:val="lowerLetter"/>
      <w:start w:val="2"/>
    </w:lvl>
  </w:abstractNum>
  <w:abstractNum w:abstractNumId="132">
    <w:nsid w:val="37DF2233"/>
    <w:multiLevelType w:val="hybridMultilevel"/>
    <w:lvl w:ilvl="0">
      <w:lvlJc w:val="left"/>
      <w:lvlText w:val="(%1)"/>
      <w:numFmt w:val="lowerLetter"/>
      <w:start w:val="3"/>
    </w:lvl>
  </w:abstractNum>
  <w:abstractNum w:abstractNumId="133">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34">
    <w:nsid w:val="759F82CD"/>
    <w:multiLevelType w:val="hybridMultilevel"/>
    <w:lvl w:ilvl="0">
      <w:lvlJc w:val="left"/>
      <w:lvlText w:val="(%1)"/>
      <w:numFmt w:val="decimal"/>
      <w:start w:val="4"/>
    </w:lvl>
  </w:abstractNum>
  <w:abstractNum w:abstractNumId="135">
    <w:nsid w:val="61E74EA3"/>
    <w:multiLevelType w:val="hybridMultilevel"/>
    <w:lvl w:ilvl="0">
      <w:lvlJc w:val="left"/>
      <w:lvlText w:val="(%1)"/>
      <w:numFmt w:val="lowerLetter"/>
      <w:start w:val="2"/>
    </w:lvl>
  </w:abstractNum>
  <w:abstractNum w:abstractNumId="136">
    <w:nsid w:val="597B4D84"/>
    <w:multiLevelType w:val="hybridMultilevel"/>
    <w:lvl w:ilvl="0">
      <w:lvlJc w:val="left"/>
      <w:lvlText w:val="(%1)"/>
      <w:numFmt w:val="lowerLetter"/>
      <w:start w:val="1"/>
    </w:lvl>
  </w:abstractNum>
  <w:abstractNum w:abstractNumId="137">
    <w:nsid w:val="F819E7F"/>
    <w:multiLevelType w:val="hybridMultilevel"/>
    <w:lvl w:ilvl="0">
      <w:lvlJc w:val="left"/>
      <w:lvlText w:val="(%1)"/>
      <w:numFmt w:val="lowerLetter"/>
      <w:start w:val="1"/>
    </w:lvl>
  </w:abstractNum>
  <w:abstractNum w:abstractNumId="138">
    <w:nsid w:val="57C7D42D"/>
    <w:multiLevelType w:val="hybridMultilevel"/>
    <w:lvl w:ilvl="0">
      <w:lvlJc w:val="left"/>
      <w:lvlText w:val="(%1)"/>
      <w:numFmt w:val="lowerLetter"/>
      <w:start w:val="5"/>
    </w:lvl>
  </w:abstractNum>
  <w:abstractNum w:abstractNumId="139">
    <w:nsid w:val="312167AD"/>
    <w:multiLevelType w:val="hybridMultilevel"/>
    <w:lvl w:ilvl="0">
      <w:lvlJc w:val="left"/>
      <w:lvlText w:val="(%1)"/>
      <w:numFmt w:val="lowerLetter"/>
      <w:start w:val="7"/>
    </w:lvl>
  </w:abstractNum>
  <w:abstractNum w:abstractNumId="140">
    <w:nsid w:val="631B64D4"/>
    <w:multiLevelType w:val="hybridMultilevel"/>
    <w:lvl w:ilvl="0">
      <w:lvlJc w:val="left"/>
      <w:lvlText w:val="(%1)"/>
      <w:numFmt w:val="lowerLetter"/>
      <w:start w:val="1"/>
    </w:lvl>
  </w:abstractNum>
  <w:abstractNum w:abstractNumId="141">
    <w:nsid w:val="78B5E776"/>
    <w:multiLevelType w:val="hybridMultilevel"/>
    <w:lvl w:ilvl="0">
      <w:lvlJc w:val="left"/>
      <w:lvlText w:val="(%1)"/>
      <w:numFmt w:val="lowerLetter"/>
      <w:start w:val="2"/>
    </w:lvl>
  </w:abstractNum>
  <w:abstractNum w:abstractNumId="142">
    <w:nsid w:val="75486E47"/>
    <w:multiLevelType w:val="hybridMultilevel"/>
    <w:lvl w:ilvl="0">
      <w:lvlJc w:val="left"/>
      <w:lvlText w:val="(%1)"/>
      <w:numFmt w:val="lowerLetter"/>
      <w:start w:val="1"/>
    </w:lvl>
  </w:abstractNum>
  <w:abstractNum w:abstractNumId="143">
    <w:nsid w:val="6E534CDE"/>
    <w:multiLevelType w:val="hybridMultilevel"/>
    <w:lvl w:ilvl="0">
      <w:lvlJc w:val="left"/>
      <w:lvlText w:val="(%1)"/>
      <w:numFmt w:val="lowerLetter"/>
      <w:start w:val="11"/>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lowerLetter"/>
      <w:start w:val="6"/>
    </w:lvl>
  </w:abstractNum>
  <w:abstractNum w:abstractNumId="146">
    <w:nsid w:val="46263DEC"/>
    <w:multiLevelType w:val="hybridMultilevel"/>
    <w:lvl w:ilvl="0">
      <w:lvlJc w:val="left"/>
      <w:lvlText w:val="["/>
      <w:numFmt w:val="bullet"/>
      <w:start w:val="1"/>
    </w:lvl>
  </w:abstractNum>
  <w:abstractNum w:abstractNumId="147">
    <w:nsid w:val="260D8C4A"/>
    <w:multiLevelType w:val="hybridMultilevel"/>
    <w:lvl w:ilvl="0">
      <w:lvlJc w:val="left"/>
      <w:lvlText w:val="["/>
      <w:numFmt w:val="bullet"/>
      <w:start w:val="1"/>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lowerLetter"/>
      <w:start w:val="2"/>
    </w:lvl>
  </w:abstractNum>
  <w:abstractNum w:abstractNumId="150">
    <w:nsid w:val="6FDE8AF6"/>
    <w:multiLevelType w:val="hybridMultilevel"/>
    <w:lvl w:ilvl="0">
      <w:lvlJc w:val="left"/>
      <w:lvlText w:val="(%1)"/>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2019-12-07T10:34:13Z</dcterms:created>
  <dcterms:modified xsi:type="dcterms:W3CDTF">2019-12-07T10:34:13Z</dcterms:modified>
</cp:coreProperties>
</file>