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January 4, 2023</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65 Grove Street, Watertown, MA 02472</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(617) 923-1400</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SELB</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5.02. Departure of Directors or Certain Officers; Election of Directors; Appointment of Certain Officers; Compensatory Arrangements of Certain Officers.</w:t>
      </w:r>
    </w:p>
    <w:p>
      <w:pPr>
        <w:spacing w:after="0" w:line="73" w:lineRule="exact"/>
        <w:rPr>
          <w:sz w:val="20"/>
          <w:szCs w:val="20"/>
          <w:color w:val="auto"/>
        </w:rPr>
      </w:pPr>
    </w:p>
    <w:p>
      <w:pPr>
        <w:ind w:right="140" w:firstLine="216"/>
        <w:spacing w:after="0" w:line="249" w:lineRule="auto"/>
        <w:rPr>
          <w:sz w:val="20"/>
          <w:szCs w:val="20"/>
          <w:color w:val="auto"/>
        </w:rPr>
      </w:pPr>
      <w:r>
        <w:rPr>
          <w:rFonts w:ascii="Times New Roman" w:cs="Times New Roman" w:eastAsia="Times New Roman" w:hAnsi="Times New Roman"/>
          <w:sz w:val="12"/>
          <w:szCs w:val="12"/>
          <w:color w:val="auto"/>
        </w:rPr>
        <w:t>On January 4, 2023, Göran A. Ando, M.D., a member of the Board of Directors (the “Board”) of Selecta Biosciences, Inc. (the “Company”), notified the Company that he is retiring from the Company’s Board effective immediately. Prior to his retirement, Dr. Ando served on the Board’s Compensation and Research and Development Committees, and will cease service on each committee in connection with his retirement. Dr. Ando’s retirement was not the result of a disagreement with the Company on any matter relating to the Company’s operations, policies or practices.</w:t>
      </w:r>
    </w:p>
    <w:p>
      <w:pPr>
        <w:spacing w:after="0" w:line="147"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Dr. Ando has been a valued member of the Company’s Board since April 2020, providing exemplary service and many important contributions to the Company during his tenure on the Board. The Company thanks Dr. Ando for his advice and leadership as a member of the Company’s Board and wishes Dr. Ando well in his retirement.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On January 9, 2023, the Company issued a press release announcing certain information relating to its business. A copy of the press release is attached to this Current Report on Form 8-K as Exhibit 99.1. The Company undertakes no obligation to update, supplement or amend the materials attached hereto as Exhibit 99.1.</w:t>
      </w:r>
    </w:p>
    <w:p>
      <w:pPr>
        <w:spacing w:after="0" w:line="39"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On January 9, 2023, the Company issued a press release announcing certain information relating to its business. A copy of the press release is attached to this Current Report on Form 8-K as Exhibit 99.2. The Company undertakes no obligation to update, supplement or amend the materials attached hereto as Exhibit 99.2.</w:t>
      </w:r>
    </w:p>
    <w:p>
      <w:pPr>
        <w:spacing w:after="0" w:line="39"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Additionally, the Company from time to time presents and/or distributes to the investment community at various industry and other conferences slide presentations to provide updates and summaries of its business. A copy of its current corporate slide presentation is attached to this Current Report on Form 8-K as Exhibit 99.3. The Company undertakes no obligation to update, supplement or amend the materials attached hereto as Exhibit 99.3.</w:t>
      </w:r>
    </w:p>
    <w:p>
      <w:pPr>
        <w:spacing w:after="0" w:line="39"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information in Item 7.01 of this Form 8-K, including Exhibit 99.1, Exhibit 99.2, and Exhibit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840" w:type="dxa"/>
            <w:vAlign w:val="bottom"/>
            <w:vMerge w:val="restart"/>
          </w:tcPr>
          <w:p>
            <w:pPr>
              <w:ind w:left="8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584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720" w:type="dxa"/>
            <w:vAlign w:val="bottom"/>
            <w:gridSpan w:val="2"/>
          </w:tcPr>
          <w:p>
            <w:pPr>
              <w:jc w:val="center"/>
              <w:ind w:left="463"/>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Issued on January 9,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gridSpan w:val="2"/>
          </w:tcPr>
          <w:p>
            <w:pPr>
              <w:jc w:val="center"/>
              <w:ind w:left="463"/>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Press Release Issued on January 9,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gridSpan w:val="2"/>
          </w:tcPr>
          <w:p>
            <w:pPr>
              <w:jc w:val="center"/>
              <w:ind w:left="463"/>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3</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Corporate slide presentation of Selecta Biosciences, Inc. dated January 2023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341"/>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798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SELECTA BIOSCIENCES, INC.</w:t>
            </w:r>
          </w:p>
        </w:tc>
      </w:tr>
      <w:tr>
        <w:trPr>
          <w:trHeight w:val="45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January 9, 2023</w:t>
            </w:r>
          </w:p>
        </w:tc>
        <w:tc>
          <w:tcPr>
            <w:tcW w:w="282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846070" cy="422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740"/>
        <w:spacing w:after="0"/>
        <w:rPr>
          <w:sz w:val="20"/>
          <w:szCs w:val="20"/>
          <w:color w:val="auto"/>
        </w:rPr>
      </w:pPr>
      <w:r>
        <w:rPr>
          <w:rFonts w:ascii="Arial" w:cs="Arial" w:eastAsia="Arial" w:hAnsi="Arial"/>
          <w:sz w:val="23"/>
          <w:szCs w:val="23"/>
          <w:color w:val="918F90"/>
        </w:rPr>
        <w:t>Press Release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Selecta Biosciences and Astellas Announce Exclusive Licensing and Development Agreement for Xork IgG Protease</w:t>
      </w:r>
    </w:p>
    <w:p>
      <w:pPr>
        <w:spacing w:after="0" w:line="172" w:lineRule="exact"/>
        <w:rPr>
          <w:sz w:val="20"/>
          <w:szCs w:val="20"/>
          <w:color w:val="auto"/>
        </w:rPr>
      </w:pPr>
    </w:p>
    <w:p>
      <w:pPr>
        <w:ind w:left="200" w:right="500" w:firstLine="274"/>
        <w:spacing w:after="0" w:line="485" w:lineRule="auto"/>
        <w:rPr>
          <w:sz w:val="20"/>
          <w:szCs w:val="20"/>
          <w:color w:val="auto"/>
        </w:rPr>
      </w:pPr>
      <w:r>
        <w:rPr>
          <w:rFonts w:ascii="Times New Roman" w:cs="Times New Roman" w:eastAsia="Times New Roman" w:hAnsi="Times New Roman"/>
          <w:sz w:val="14"/>
          <w:szCs w:val="14"/>
          <w:i w:val="1"/>
          <w:iCs w:val="1"/>
          <w:color w:val="auto"/>
        </w:rPr>
        <w:t>Next-generation IgG protease candidate Xork to be licensed for development with AT845, an investigational Astellas Gene Therapies’ product, for the treatment of Pompe Disease Selecta to receive a $10M upfront payment and eligible to receive up to $340M for certain additional development and commercial milestones plus royalties on commercial sales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WATERTOWN, Mass. and TOKYO, Japan, January 9, 2023 </w:t>
      </w:r>
      <w:r>
        <w:rPr>
          <w:rFonts w:ascii="Times New Roman" w:cs="Times New Roman" w:eastAsia="Times New Roman" w:hAnsi="Times New Roman"/>
          <w:sz w:val="13"/>
          <w:szCs w:val="13"/>
          <w:color w:val="auto"/>
        </w:rPr>
        <w:t>-- Selecta Biosciences, Inc. (NASDAQ: SELB, President and CEO: Carsten Brunn, Ph.D., “Selecta”), and Astellas Pharma Inc. (TSE: 4503,</w:t>
      </w:r>
    </w:p>
    <w:p>
      <w:pPr>
        <w:spacing w:after="0" w:line="11"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3"/>
          <w:szCs w:val="13"/>
          <w:color w:val="auto"/>
        </w:rPr>
        <w:t>President and CEO: Kenji Yasukawa, Ph.D., “Astellas” or “Astellas Gene Therapies”) today announced an exclusive licensing and development agreement for IdeXork (Xork). Xork is being studied as a potential next generation immunoglobulin G (IgG) protease that will be developed by Astellas for use with AT845, an investigational, adeno-associated virus (AAV)-based treatment for Late-Onset Pompe disease (LOPD)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adults.</w:t>
      </w:r>
    </w:p>
    <w:p>
      <w:pPr>
        <w:spacing w:after="0" w:line="89"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13"/>
          <w:szCs w:val="13"/>
          <w:color w:val="auto"/>
        </w:rPr>
        <w:t>“Currently many patients are ineligible for clinical trials with investigational AAV gene therapy products due to the presence of naturally occurring antibodies against AAV gene therapy capsids,” said Carsten Brunn, Ph.D., President and Chief Executive Officer of Selecta. “Xork has the potential to expand access to life-changing gene therapies by addressing pre-existing immunity to AAV. Most other IgG proteases in</w:t>
      </w:r>
    </w:p>
    <w:p>
      <w:pPr>
        <w:ind w:right="20"/>
        <w:spacing w:after="0" w:line="244" w:lineRule="auto"/>
        <w:rPr>
          <w:sz w:val="20"/>
          <w:szCs w:val="20"/>
          <w:color w:val="auto"/>
        </w:rPr>
      </w:pPr>
      <w:r>
        <w:rPr>
          <w:rFonts w:ascii="Times New Roman" w:cs="Times New Roman" w:eastAsia="Times New Roman" w:hAnsi="Times New Roman"/>
          <w:sz w:val="13"/>
          <w:szCs w:val="13"/>
          <w:color w:val="auto"/>
        </w:rPr>
        <w:t>development are derived from common human pathogens, and as a result there is a high prevalence of pre-existing antibodies against these proteases that can restrict their use. Xork is differentiated by its low cross-reactivity to pre-existing antibodies in human serum. We are thrilled to partner with Astellas as they advance their robust gene therapy portfolio through the clinic.”</w:t>
      </w:r>
    </w:p>
    <w:p>
      <w:pPr>
        <w:spacing w:after="0" w:line="69" w:lineRule="exact"/>
        <w:rPr>
          <w:sz w:val="20"/>
          <w:szCs w:val="20"/>
          <w:color w:val="auto"/>
        </w:rPr>
      </w:pPr>
    </w:p>
    <w:p>
      <w:pPr>
        <w:jc w:val="both"/>
        <w:ind w:right="200"/>
        <w:spacing w:after="0" w:line="248" w:lineRule="auto"/>
        <w:rPr>
          <w:sz w:val="20"/>
          <w:szCs w:val="20"/>
          <w:color w:val="auto"/>
        </w:rPr>
      </w:pPr>
      <w:r>
        <w:rPr>
          <w:rFonts w:ascii="Times New Roman" w:cs="Times New Roman" w:eastAsia="Times New Roman" w:hAnsi="Times New Roman"/>
          <w:sz w:val="13"/>
          <w:szCs w:val="13"/>
          <w:color w:val="auto"/>
        </w:rPr>
        <w:t>Naoki Okamura, Chief Strategy Officer of Astellas added, “We are looking forward to partnering with Selecta as we strive to expand our therapies to a broader range of patients living with debilitating diseases, who have limited treatment options. This agreement provides an opportunity to deliver potentially transformative gene therapy treatments to a specific population of LOPD adult patients who might otherwise be ineligible for clinical trials or treatment with Astellas’ investigational product.”</w:t>
      </w:r>
    </w:p>
    <w:p>
      <w:pPr>
        <w:spacing w:after="0" w:line="68"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3"/>
          <w:szCs w:val="13"/>
          <w:color w:val="auto"/>
        </w:rPr>
        <w:t>Under the terms of the agreement, Selecta will receive a $10M upfront payment and is eligible to receive up to $340M for certain additional development and commercial milestones plus royalties on any potential commercial sales where Xork is used as a pre-treatment for AT845. Selecta is responsible for the development and manufacturing of Xork and will maintain the rights for the development of additional indications</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3"/>
          <w:szCs w:val="13"/>
          <w:color w:val="auto"/>
        </w:rPr>
        <w:t>beyond Pompe disease. Astellas would have the sole and exclusive right to commercialize Xork for use in Pompe disease with an Astellas gene therapy investigational or authorized product, with a current focus on AT845.</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Selecta Biosciences, Inc.</w:t>
      </w:r>
    </w:p>
    <w:p>
      <w:pPr>
        <w:spacing w:after="0" w:line="11"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3"/>
          <w:szCs w:val="13"/>
          <w:color w:val="auto"/>
        </w:rPr>
        <w:t>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w:t>
      </w:r>
    </w:p>
    <w:p>
      <w:pPr>
        <w:spacing w:after="0" w:line="1" w:lineRule="exact"/>
        <w:rPr>
          <w:sz w:val="20"/>
          <w:szCs w:val="20"/>
          <w:color w:val="auto"/>
        </w:rPr>
      </w:pPr>
    </w:p>
    <w:p>
      <w:pPr>
        <w:ind w:right="360"/>
        <w:spacing w:after="0" w:line="244" w:lineRule="auto"/>
        <w:rPr>
          <w:sz w:val="20"/>
          <w:szCs w:val="20"/>
          <w:color w:val="auto"/>
        </w:rPr>
      </w:pPr>
      <w:r>
        <w:rPr>
          <w:rFonts w:ascii="Times New Roman" w:cs="Times New Roman" w:eastAsia="Times New Roman" w:hAnsi="Times New Roman"/>
          <w:sz w:val="13"/>
          <w:szCs w:val="13"/>
          <w:color w:val="auto"/>
        </w:rPr>
        <w:t xml:space="preserve">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Times New Roman" w:cs="Times New Roman" w:eastAsia="Times New Roman" w:hAnsi="Times New Roman"/>
          <w:sz w:val="13"/>
          <w:szCs w:val="13"/>
          <w:u w:val="single" w:color="auto"/>
          <w:color w:val="0000FF"/>
        </w:rPr>
        <w:t>www.selectabio.com</w:t>
      </w:r>
      <w:r>
        <w:rPr>
          <w:rFonts w:ascii="Times New Roman" w:cs="Times New Roman" w:eastAsia="Times New Roman" w:hAnsi="Times New Roman"/>
          <w:sz w:val="13"/>
          <w:szCs w:val="13"/>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AT845 for the treatment of Late-Onset Pompe Disease (LOPD)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557" w:right="299" w:bottom="1440" w:gutter="0" w:footer="0" w:header="0"/>
        </w:sectPr>
      </w:pPr>
    </w:p>
    <w:bookmarkStart w:id="4" w:name="page5"/>
    <w:bookmarkEnd w:id="4"/>
    <w:p>
      <w:pPr>
        <w:ind w:right="140"/>
        <w:spacing w:after="0" w:line="269" w:lineRule="auto"/>
        <w:rPr>
          <w:sz w:val="20"/>
          <w:szCs w:val="20"/>
          <w:color w:val="auto"/>
        </w:rPr>
      </w:pPr>
      <w:r>
        <w:rPr>
          <w:rFonts w:ascii="Times New Roman" w:cs="Times New Roman" w:eastAsia="Times New Roman" w:hAnsi="Times New Roman"/>
          <w:sz w:val="13"/>
          <w:szCs w:val="13"/>
          <w:color w:val="auto"/>
        </w:rPr>
        <w:t xml:space="preserve">Astellas is developing AT845, a novel gene replacement therapy using an AAV8 vector under a muscle-specific promotor to deliver a functional copy of the </w:t>
      </w:r>
      <w:r>
        <w:rPr>
          <w:rFonts w:ascii="Times New Roman" w:cs="Times New Roman" w:eastAsia="Times New Roman" w:hAnsi="Times New Roman"/>
          <w:sz w:val="13"/>
          <w:szCs w:val="13"/>
          <w:i w:val="1"/>
          <w:iCs w:val="1"/>
          <w:color w:val="auto"/>
        </w:rPr>
        <w:t>GAA</w:t>
      </w:r>
      <w:r>
        <w:rPr>
          <w:rFonts w:ascii="Times New Roman" w:cs="Times New Roman" w:eastAsia="Times New Roman" w:hAnsi="Times New Roman"/>
          <w:sz w:val="13"/>
          <w:szCs w:val="13"/>
          <w:color w:val="auto"/>
        </w:rPr>
        <w:t xml:space="preserve"> gene, for the treatment of adult LOPD. AT845 is being investigated to determine whether it can deliver a functional </w:t>
      </w:r>
      <w:r>
        <w:rPr>
          <w:rFonts w:ascii="Times New Roman" w:cs="Times New Roman" w:eastAsia="Times New Roman" w:hAnsi="Times New Roman"/>
          <w:sz w:val="13"/>
          <w:szCs w:val="13"/>
          <w:i w:val="1"/>
          <w:iCs w:val="1"/>
          <w:color w:val="auto"/>
        </w:rPr>
        <w:t>GAA</w:t>
      </w:r>
      <w:r>
        <w:rPr>
          <w:rFonts w:ascii="Times New Roman" w:cs="Times New Roman" w:eastAsia="Times New Roman" w:hAnsi="Times New Roman"/>
          <w:sz w:val="13"/>
          <w:szCs w:val="13"/>
          <w:color w:val="auto"/>
        </w:rPr>
        <w:t xml:space="preserve"> gene that is efficiently transduced to express GAA directly in tissues affected by the disease, including skeletal and cardiac muscle.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Astellas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Astellas Pharma Inc. is a pharmaceutical company conducting business in more than 70 countries around the world. We are promoting the Focus Area Approach that is designed to identify opportunities for the</w:t>
      </w:r>
    </w:p>
    <w:p>
      <w:pPr>
        <w:ind w:right="160"/>
        <w:spacing w:after="0" w:line="196" w:lineRule="auto"/>
        <w:rPr>
          <w:sz w:val="20"/>
          <w:szCs w:val="20"/>
          <w:color w:val="auto"/>
        </w:rPr>
      </w:pPr>
      <w:r>
        <w:rPr>
          <w:rFonts w:ascii="Times New Roman" w:cs="Times New Roman" w:eastAsia="Times New Roman" w:hAnsi="Times New Roman"/>
          <w:sz w:val="13"/>
          <w:szCs w:val="13"/>
          <w:color w:val="auto"/>
        </w:rPr>
        <w:t>continuous creation of new drugs to address diseases with high unmet medical needs by focusing on Biology and Modality. Furthermore, we are also looking beyond our foundational Rx focus to create Rx+</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healthcare solutions that combine our expertise and knowledge with cutting-edge technology in different fields of external partners. Through these efforts, Astellas stands on the forefront of healthcare change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turn innovative science into VALUE for patients. For more information, please visit our website at </w:t>
      </w:r>
      <w:r>
        <w:rPr>
          <w:rFonts w:ascii="Times New Roman" w:cs="Times New Roman" w:eastAsia="Times New Roman" w:hAnsi="Times New Roman"/>
          <w:sz w:val="13"/>
          <w:szCs w:val="13"/>
          <w:u w:val="single" w:color="auto"/>
          <w:color w:val="0000FF"/>
        </w:rPr>
        <w:t>https://www.astellas.com/en</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Astellas Gene Therapies</w:t>
      </w:r>
    </w:p>
    <w:p>
      <w:pPr>
        <w:spacing w:after="0" w:line="11"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3"/>
          <w:szCs w:val="13"/>
          <w:color w:val="auto"/>
        </w:rPr>
        <w:t>Astellas Gene Therapies is an Astellas Center of Excellence developing genetic medicines with the potential to deliver transformative value for patients. Our gene therapy drug discovery engine is built around innovative science, a validated AAV platform, and industry leading internal manufacturing capability with a particular focus on rare diseases of the eye, CNS and neuromuscular system. Astellas Gene Therapies</w:t>
      </w:r>
    </w:p>
    <w:p>
      <w:pPr>
        <w:spacing w:after="0" w:line="1"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13"/>
          <w:szCs w:val="13"/>
          <w:color w:val="auto"/>
        </w:rPr>
        <w:t>will also be advancing additional Astellas gene therapy programs toward clinical investigation. Astellas Gene Therapies is based in San Francisco, with manufacturing and laboratory facilities in South San Francisco, Calif., Sanford, N.C. and Tsukuba, Japan.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Astellas Cautionary Notes</w:t>
      </w:r>
    </w:p>
    <w:p>
      <w:pPr>
        <w:spacing w:after="0" w:line="11"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3"/>
          <w:szCs w:val="13"/>
          <w:color w:val="auto"/>
        </w:rPr>
        <w:t>In this press release, statements made with respect to current plans, estimates, strategies and beliefs and other statements that are not historical facts are forward-looking statements about the future performance of Astellas. These statements are based on management’s current assumptions and beliefs in light of the information currently available to it and involve known and unknown risks and uncertainties. A number of</w:t>
      </w:r>
    </w:p>
    <w:p>
      <w:pPr>
        <w:spacing w:after="0" w:line="233" w:lineRule="auto"/>
        <w:rPr>
          <w:sz w:val="20"/>
          <w:szCs w:val="20"/>
          <w:color w:val="auto"/>
        </w:rPr>
      </w:pPr>
      <w:r>
        <w:rPr>
          <w:rFonts w:ascii="Times New Roman" w:cs="Times New Roman" w:eastAsia="Times New Roman" w:hAnsi="Times New Roman"/>
          <w:sz w:val="13"/>
          <w:szCs w:val="13"/>
          <w:color w:val="auto"/>
        </w:rPr>
        <w:t>factors could cause actual results to differ materially from those discussed in the forward-looking statements. Such factors include, but are not limited to: (i) changes in general economic conditions and in laws and</w:t>
      </w:r>
    </w:p>
    <w:p>
      <w:pPr>
        <w:jc w:val="both"/>
        <w:ind w:right="200"/>
        <w:spacing w:after="0" w:line="223" w:lineRule="auto"/>
        <w:rPr>
          <w:sz w:val="20"/>
          <w:szCs w:val="20"/>
          <w:color w:val="auto"/>
        </w:rPr>
      </w:pPr>
      <w:r>
        <w:rPr>
          <w:rFonts w:ascii="Times New Roman" w:cs="Times New Roman" w:eastAsia="Times New Roman" w:hAnsi="Times New Roman"/>
          <w:sz w:val="13"/>
          <w:szCs w:val="13"/>
          <w:color w:val="auto"/>
        </w:rPr>
        <w:t>regulations, relating to pharmaceutical markets, (ii) currency exchange rate fluctuations, (iii) delays in new product launches, (iv) the inability of Astellas to market existing and new products effectively, (v) the inability of Astellas to continue to effectively research and develop products accepted by customers in highly competitive markets, and (vi) infringements of Astellas’ intellectual property rights by third parties.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Information about pharmaceutical products (including products currently in development) which is included in this press release is not intended to constitute an advertisement or medical advice.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Selecta Forward-Looking Statements</w:t>
      </w:r>
    </w:p>
    <w:p>
      <w:pPr>
        <w:spacing w:after="0" w:line="1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3"/>
          <w:szCs w:val="13"/>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its partners, the anticipated benefits of the Company’s licensing and development agreement with Astellas related to Xork,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anticipated timing or outcome of selection of developmental product candidates,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w:t>
      </w: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40"/>
          </w:cols>
          <w:pgMar w:left="300" w:top="546" w:right="359" w:bottom="1440" w:gutter="0" w:footer="0" w:header="0"/>
        </w:sectPr>
      </w:pPr>
    </w:p>
    <w:bookmarkStart w:id="5" w:name="page6"/>
    <w:bookmarkEnd w:id="5"/>
    <w:p>
      <w:pPr>
        <w:spacing w:after="0" w:line="248" w:lineRule="auto"/>
        <w:rPr>
          <w:sz w:val="20"/>
          <w:szCs w:val="20"/>
          <w:color w:val="auto"/>
        </w:rPr>
      </w:pPr>
      <w:r>
        <w:rPr>
          <w:rFonts w:ascii="Times New Roman" w:cs="Times New Roman" w:eastAsia="Times New Roman" w:hAnsi="Times New Roman"/>
          <w:sz w:val="13"/>
          <w:szCs w:val="13"/>
          <w:i w:val="1"/>
          <w:iCs w:val="1"/>
          <w:color w:val="auto"/>
        </w:rPr>
        <w:t>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Selecta Bio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Investors: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Bruce Mackle</w:t>
      </w:r>
    </w:p>
    <w:p>
      <w:pPr>
        <w:spacing w:after="0"/>
        <w:rPr>
          <w:sz w:val="20"/>
          <w:szCs w:val="20"/>
          <w:color w:val="auto"/>
        </w:rPr>
      </w:pPr>
      <w:r>
        <w:rPr>
          <w:rFonts w:ascii="Times New Roman" w:cs="Times New Roman" w:eastAsia="Times New Roman" w:hAnsi="Times New Roman"/>
          <w:sz w:val="13"/>
          <w:szCs w:val="13"/>
          <w:color w:val="auto"/>
        </w:rPr>
        <w:t>LifeSci Advisors, LLC</w:t>
      </w:r>
    </w:p>
    <w:p>
      <w:pPr>
        <w:spacing w:after="0" w:line="236" w:lineRule="auto"/>
        <w:rPr>
          <w:sz w:val="20"/>
          <w:szCs w:val="20"/>
          <w:color w:val="auto"/>
        </w:rPr>
      </w:pPr>
      <w:r>
        <w:rPr>
          <w:rFonts w:ascii="Times New Roman" w:cs="Times New Roman" w:eastAsia="Times New Roman" w:hAnsi="Times New Roman"/>
          <w:sz w:val="13"/>
          <w:szCs w:val="13"/>
          <w:color w:val="auto"/>
        </w:rPr>
        <w:t>+1-929-469-3859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bmackle@lifesciadvisors.com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Media: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Brittany Leigh, Ph.D.</w:t>
      </w:r>
    </w:p>
    <w:p>
      <w:pPr>
        <w:spacing w:after="0"/>
        <w:rPr>
          <w:sz w:val="20"/>
          <w:szCs w:val="20"/>
          <w:color w:val="auto"/>
        </w:rPr>
      </w:pPr>
      <w:r>
        <w:rPr>
          <w:rFonts w:ascii="Times New Roman" w:cs="Times New Roman" w:eastAsia="Times New Roman" w:hAnsi="Times New Roman"/>
          <w:sz w:val="13"/>
          <w:szCs w:val="13"/>
          <w:color w:val="auto"/>
        </w:rPr>
        <w:t>LifeSci Communications, LLC</w:t>
      </w:r>
    </w:p>
    <w:p>
      <w:pPr>
        <w:spacing w:after="0" w:line="236" w:lineRule="auto"/>
        <w:rPr>
          <w:sz w:val="20"/>
          <w:szCs w:val="20"/>
          <w:color w:val="auto"/>
        </w:rPr>
      </w:pPr>
      <w:r>
        <w:rPr>
          <w:rFonts w:ascii="Times New Roman" w:cs="Times New Roman" w:eastAsia="Times New Roman" w:hAnsi="Times New Roman"/>
          <w:sz w:val="13"/>
          <w:szCs w:val="13"/>
          <w:color w:val="auto"/>
        </w:rPr>
        <w:t>+1-646-751-4366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bleigh@lifescicomms.com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Astellas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Astellas Portfolio Communications</w:t>
      </w:r>
    </w:p>
    <w:p>
      <w:pPr>
        <w:spacing w:after="0" w:line="236" w:lineRule="auto"/>
        <w:rPr>
          <w:sz w:val="20"/>
          <w:szCs w:val="20"/>
          <w:color w:val="auto"/>
        </w:rPr>
      </w:pPr>
      <w:r>
        <w:rPr>
          <w:rFonts w:ascii="Times New Roman" w:cs="Times New Roman" w:eastAsia="Times New Roman" w:hAnsi="Times New Roman"/>
          <w:sz w:val="13"/>
          <w:szCs w:val="13"/>
          <w:color w:val="auto"/>
        </w:rPr>
        <w:t>Sara Zelkovic</w:t>
      </w:r>
    </w:p>
    <w:p>
      <w:pPr>
        <w:spacing w:after="0" w:line="232" w:lineRule="auto"/>
        <w:rPr>
          <w:sz w:val="20"/>
          <w:szCs w:val="20"/>
          <w:color w:val="auto"/>
        </w:rPr>
      </w:pPr>
      <w:r>
        <w:rPr>
          <w:rFonts w:ascii="Times New Roman" w:cs="Times New Roman" w:eastAsia="Times New Roman" w:hAnsi="Times New Roman"/>
          <w:sz w:val="13"/>
          <w:szCs w:val="13"/>
          <w:color w:val="auto"/>
        </w:rPr>
        <w:t>+1-347-226-1459</w:t>
      </w:r>
    </w:p>
    <w:p>
      <w:pPr>
        <w:spacing w:after="0"/>
        <w:rPr>
          <w:sz w:val="20"/>
          <w:szCs w:val="20"/>
          <w:color w:val="auto"/>
        </w:rPr>
      </w:pPr>
      <w:r>
        <w:rPr>
          <w:rFonts w:ascii="Times New Roman" w:cs="Times New Roman" w:eastAsia="Times New Roman" w:hAnsi="Times New Roman"/>
          <w:sz w:val="13"/>
          <w:szCs w:val="13"/>
          <w:u w:val="single" w:color="auto"/>
          <w:color w:val="0000FF"/>
        </w:rPr>
        <w:t>Sara.zelkovic@astellas.com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Astellas Pharma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Corporate Advocacy &amp; Relations</w:t>
      </w:r>
    </w:p>
    <w:p>
      <w:pPr>
        <w:spacing w:after="0"/>
        <w:rPr>
          <w:sz w:val="20"/>
          <w:szCs w:val="20"/>
          <w:color w:val="auto"/>
        </w:rPr>
      </w:pPr>
      <w:r>
        <w:rPr>
          <w:rFonts w:ascii="Times New Roman" w:cs="Times New Roman" w:eastAsia="Times New Roman" w:hAnsi="Times New Roman"/>
          <w:sz w:val="13"/>
          <w:szCs w:val="13"/>
          <w:color w:val="auto"/>
        </w:rPr>
        <w:t>+81-3-3244-3201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20"/>
          </w:cols>
          <w:pgMar w:left="300" w:top="555"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165860" cy="422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586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Selecta Biosciences Provides Business Update and Outlook for 2023</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-Expected topline data for Phase 3 DISSOLVE I &amp; II programs of SEL-212 in chronic refractory gout in Q1 2023-</w:t>
      </w:r>
    </w:p>
    <w:p>
      <w:pPr>
        <w:spacing w:after="0" w:line="172" w:lineRule="exact"/>
        <w:rPr>
          <w:sz w:val="20"/>
          <w:szCs w:val="20"/>
          <w:color w:val="auto"/>
        </w:rPr>
      </w:pPr>
    </w:p>
    <w:p>
      <w:pPr>
        <w:jc w:val="center"/>
        <w:ind w:right="220"/>
        <w:spacing w:after="0" w:line="271" w:lineRule="auto"/>
        <w:rPr>
          <w:sz w:val="20"/>
          <w:szCs w:val="20"/>
          <w:color w:val="auto"/>
        </w:rPr>
      </w:pPr>
      <w:r>
        <w:rPr>
          <w:rFonts w:ascii="Times New Roman" w:cs="Times New Roman" w:eastAsia="Times New Roman" w:hAnsi="Times New Roman"/>
          <w:sz w:val="14"/>
          <w:szCs w:val="14"/>
          <w:i w:val="1"/>
          <w:iCs w:val="1"/>
          <w:color w:val="auto"/>
        </w:rPr>
        <w:t>-To receive $10 million upfront for the execution of a license agreement- for Xork the Company’s next-generation immunoglobulin G (IgG) protease candidate to be developed with Astellas Gene Therapies’ AT845, an investigational product for the treatment of Pompe disease-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-Selected an interleukin-2 (IL-2) development candidate to be studied in combination with ImmTOR™ further expanding pipeline in autoimmune disease-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-Initiated ReiMMAgine, the Phase 1/2 clinical trial for the treatment of methylmalonic acidemia (MMA) with the potential to further validate the ImmTOR™ platform in the field of gene therapy-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-Selected immunoglobulin A (IgA) protease development candidate from IGAN Biosciences for the treatment of IgA nephropathy (IgAN)-</w:t>
      </w:r>
    </w:p>
    <w:p>
      <w:pPr>
        <w:spacing w:after="0" w:line="149"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3"/>
          <w:szCs w:val="13"/>
          <w:b w:val="1"/>
          <w:bCs w:val="1"/>
          <w:color w:val="auto"/>
        </w:rPr>
        <w:t xml:space="preserve">WATERTOWN, Mass. January 9, 2023 </w:t>
      </w:r>
      <w:r>
        <w:rPr>
          <w:rFonts w:ascii="Times New Roman" w:cs="Times New Roman" w:eastAsia="Times New Roman" w:hAnsi="Times New Roman"/>
          <w:sz w:val="13"/>
          <w:szCs w:val="13"/>
          <w:color w:val="auto"/>
        </w:rPr>
        <w:t>-- Selecta Biosciences, Inc. (NASDAQ: SELB), a biotechnology company leveraging its clinically validated ImmTOR™ platform to develop tolerogenic therapies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autoimmune diseases and gene therapies, today provided a corporate update, including its roadmap for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Key 2023 Anticipated Milestones</w:t>
      </w:r>
    </w:p>
    <w:p>
      <w:pPr>
        <w:spacing w:after="0" w:line="85"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top-line data from Phase 3 DISSOLVE I &amp; II programs of SEL-212 in chronic refractory gout in Q1 2023</w:t>
      </w:r>
    </w:p>
    <w:p>
      <w:pPr>
        <w:spacing w:after="0" w:line="8" w:lineRule="exact"/>
        <w:rPr>
          <w:rFonts w:ascii="Times New Roman" w:cs="Times New Roman" w:eastAsia="Times New Roman" w:hAnsi="Times New Roman"/>
          <w:sz w:val="13"/>
          <w:szCs w:val="13"/>
          <w:color w:val="auto"/>
        </w:rPr>
      </w:pPr>
    </w:p>
    <w:p>
      <w:pPr>
        <w:ind w:left="420" w:hanging="212"/>
        <w:spacing w:after="0" w:line="231"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Preliminary Phase 1 SEL-302 data in gene therapy for MMA</w:t>
      </w:r>
    </w:p>
    <w:p>
      <w:pPr>
        <w:ind w:left="420" w:hanging="212"/>
        <w:spacing w:after="0" w:line="231" w:lineRule="auto"/>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Initiate IND enabling studies with the selected IL-2 candidate to further advance and expand the immune tolerance platform in autoimmune disease</w:t>
      </w:r>
    </w:p>
    <w:p>
      <w:pPr>
        <w:ind w:left="420" w:hanging="212"/>
        <w:spacing w:after="0"/>
        <w:tabs>
          <w:tab w:leader="none" w:pos="4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 IND enabling studies with the selected IgA protease candidate from IGAN Biosciences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2022, we delivered on key milestones that further validated the value and breadth of our innovative ImmTOR® and ImmTOR-IL™ immune tolerance platforms, continued to advance our diversified clinical</w:t>
      </w:r>
    </w:p>
    <w:p>
      <w:pPr>
        <w:spacing w:after="0" w:line="9"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3"/>
          <w:szCs w:val="13"/>
          <w:color w:val="auto"/>
        </w:rPr>
        <w:t>pipeline and established strategic collaborations that will propel our next-generation programs toward multiple IND filings,” said Carsten Brunn, Ph.D., President and Chief Executive Officer of Selecta. “Building on the momentum of our recently announced deal with Astellas Gene Therapies’ for Xork in Pompe disease, the initiation of the Phase 1/2 trial in methylmalonic acidemia, the identification of an IL-2 candidate</w:t>
      </w:r>
    </w:p>
    <w:p>
      <w:pPr>
        <w:spacing w:after="0" w:line="1"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3"/>
          <w:szCs w:val="13"/>
          <w:color w:val="auto"/>
        </w:rPr>
        <w:t>and selection of an IgA protease candidate, we also expect joint topline data from the Phase 3 DISSOLVE clinical program investigating SEL-212 in chronic refractory gout in Q1 2023. We are at a pivotal moment in the Company’s growth trajectory and as we look ahead, we believe we are well positioned to take a potentially generational leap forward for our precision immune tolerance platform, advance our pipeline in autoimmune disease and continue to explore additional collaborations to maximize the value of our ImmTOR platform and pipeline.”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Clinical Development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Tolerogenic Therapies for Autoimmune Disease:</w:t>
      </w:r>
    </w:p>
    <w:p>
      <w:pPr>
        <w:spacing w:after="0" w:line="87"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3"/>
          <w:szCs w:val="13"/>
          <w:color w:val="auto"/>
        </w:rPr>
        <w:t>ImmTOR-IL: In December 2022, the Company opted into an agreement for an identified IL-2 candidate and is currently negotiating the terms of the license. The IL-2 candidate will be studied in combination with ImmTOR to further advance and expand the pipeline in autoimmune disease. The combination of ImmTOR and IL-2 (ImmTOR-IL) represents an evolution of the precision immune tolerance platform to further enhance the magnitude and duration of antigen-specific immune tolerance for the treatment of patients with autoimmune diseases.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557" w:right="299" w:bottom="1440" w:gutter="0" w:footer="0" w:header="0"/>
        </w:sectPr>
      </w:pPr>
    </w:p>
    <w:bookmarkStart w:id="7" w:name="page8"/>
    <w:bookmarkEnd w:id="7"/>
    <w:p>
      <w:pPr>
        <w:ind w:left="420" w:hanging="212"/>
        <w:spacing w:after="0"/>
        <w:tabs>
          <w:tab w:leader="none" w:pos="4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plans to initiate IND enabling studies in 2023 while also exploring multiple autoimmune indications that would be suitable for study with ImmTOR-IL.</w:t>
      </w:r>
    </w:p>
    <w:p>
      <w:pPr>
        <w:spacing w:after="0" w:line="82" w:lineRule="exact"/>
        <w:rPr>
          <w:rFonts w:ascii="Times New Roman" w:cs="Times New Roman" w:eastAsia="Times New Roman" w:hAnsi="Times New Roman"/>
          <w:sz w:val="13"/>
          <w:szCs w:val="13"/>
          <w:color w:val="auto"/>
        </w:rPr>
      </w:pPr>
    </w:p>
    <w:p>
      <w:pPr>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Gene Therapies:</w:t>
      </w:r>
    </w:p>
    <w:p>
      <w:pPr>
        <w:spacing w:after="0" w:line="9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3"/>
          <w:szCs w:val="13"/>
          <w:color w:val="auto"/>
        </w:rPr>
        <w:t>SEL-302 for Methylmalonic Acidemia (MMA): In December 2022, Selecta initiated ReiMMAgine, the Phase 1/2 clinical trial of SEL-302, an adeno-associated virus (AAV) gene therapy combined with ImmTOR for the treatment of MMA.</w:t>
      </w:r>
    </w:p>
    <w:p>
      <w:pPr>
        <w:spacing w:after="0" w:line="47"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ReiMMAgine trial is now enrolling patients and aims to evaluate the safety, tolerability and efficacy of SEL-302, a combination of ImmTOR and AAV gene therapy.</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3"/>
          <w:szCs w:val="13"/>
          <w:color w:val="auto"/>
        </w:rPr>
        <w:t>SEL-018 IgG Protease (Xork) for Pompe Disease: In January 2023, the Company announced an exclusive licensing and development agreement for IdeXork (Xork), a next-generation immunoglobulin G (IgG) protease, to be developed for use with AT845, Astellas Gene Therapies’ investigational AAV-based treatment for Late-Onset Pompe disease (LOPD) in adults.</w:t>
      </w:r>
    </w:p>
    <w:p>
      <w:pPr>
        <w:spacing w:after="0" w:line="47" w:lineRule="exact"/>
        <w:rPr>
          <w:sz w:val="20"/>
          <w:szCs w:val="20"/>
          <w:color w:val="auto"/>
        </w:rPr>
      </w:pPr>
    </w:p>
    <w:p>
      <w:pPr>
        <w:ind w:left="420" w:right="400" w:hanging="212"/>
        <w:spacing w:after="0" w:line="242" w:lineRule="auto"/>
        <w:tabs>
          <w:tab w:leader="none" w:pos="412"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Xork has the potential to expand access of life-changing gene therapies to more patients by addressing pre-existing immunity to AAV. Xork is differentiated by its low cross reactivity to pre-existing antibodies in human serum.</w:t>
      </w:r>
    </w:p>
    <w:p>
      <w:pPr>
        <w:ind w:left="420" w:right="160" w:hanging="212"/>
        <w:spacing w:after="0" w:line="244" w:lineRule="auto"/>
        <w:tabs>
          <w:tab w:leader="none" w:pos="412"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Under the terms of the agreement, Selecta will receive a $10M upfront payment and is eligible to receive up to $340M for certain additional development and commercial milestones plus royalties on commercial sales. Selecta is responsible for the early development activities and manufacturing of Xork and will maintain the rights for the development of additional indications beyond Pompe disease.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Biologic Therapies:</w:t>
      </w:r>
    </w:p>
    <w:p>
      <w:pPr>
        <w:spacing w:after="0" w:line="9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3"/>
          <w:szCs w:val="13"/>
          <w:color w:val="auto"/>
        </w:rPr>
        <w:t>SEL-212 for chronic refractory gout: DISSOLVE, the Phase 3 development program of SEL-212, which has been licensed to Sobi continues to advance. DISSOLVE I &amp; II trials are on track for joint topline data expected in Q1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ImmTOR with IgA Protease for IgA Nephropathy: In December 2022, the Company selected the next generation Immunoglobulin A (IgA) protease from IGAN Biosciences for the treatment of IgAN.</w:t>
      </w:r>
    </w:p>
    <w:p>
      <w:pPr>
        <w:spacing w:after="0" w:line="85" w:lineRule="exact"/>
        <w:rPr>
          <w:sz w:val="20"/>
          <w:szCs w:val="20"/>
          <w:color w:val="auto"/>
        </w:rPr>
      </w:pPr>
    </w:p>
    <w:p>
      <w:pPr>
        <w:ind w:left="420" w:right="120" w:hanging="212"/>
        <w:spacing w:after="0" w:line="266" w:lineRule="auto"/>
        <w:tabs>
          <w:tab w:leader="none" w:pos="412"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Identified a new class of IgA protease from commensal bacteria with a lower level of baseline anti-drug antibodies (ADAs). Combining ImmTOR with this next generation IgA protease candidate has the potential to mitigate the formation of new ADAs and address the underlying pathophysiology of IgAN.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Further Corporate Updates:</w:t>
      </w:r>
    </w:p>
    <w:p>
      <w:pPr>
        <w:spacing w:after="0" w:line="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3"/>
          <w:szCs w:val="13"/>
          <w:color w:val="auto"/>
        </w:rPr>
        <w:t>In November 2022, Blaine Davis was appointed as Chief Financial Officer. Mr. Davis brings more than 25 years of experience in investor relations, business development, corporate affairs and sales and marketing at life sciences companies, with a particular focus on rare diseases.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Selecta Biosciences, Inc.</w:t>
      </w:r>
    </w:p>
    <w:p>
      <w:pPr>
        <w:spacing w:after="0" w:line="9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3"/>
          <w:szCs w:val="13"/>
          <w:color w:val="auto"/>
        </w:rPr>
        <w:t>Selecta Biosciences Inc. (NASDAQ: SELB) is a clinical stage biotechnology company leveraging its ImmTOR™ platform to develop tolerogenic therapies that selectively mitigate unwanted immune responses. With a proven ability to induce tolerance to highly immunogenic proteins, ImmTOR has the potential to amplify the efficacy of biologic therapies, including redosing of life-saving gene therapies, as well as restore</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3"/>
          <w:szCs w:val="13"/>
          <w:color w:val="auto"/>
        </w:rPr>
        <w:t xml:space="preserve">the body’s natural self-tolerance in autoimmune diseases. Selecta has several proprietary and partnered programs in its pipeline focused on enzyme therapies, gene therapies, and autoimmune diseases. Selecta Biosciences is headquartered in the Greater Boston area. For more information, please visit </w:t>
      </w:r>
      <w:r>
        <w:rPr>
          <w:rFonts w:ascii="Times New Roman" w:cs="Times New Roman" w:eastAsia="Times New Roman" w:hAnsi="Times New Roman"/>
          <w:sz w:val="13"/>
          <w:szCs w:val="13"/>
          <w:u w:val="single" w:color="auto"/>
          <w:color w:val="0000FF"/>
        </w:rPr>
        <w:t>www.selectabio.com</w:t>
      </w:r>
      <w:r>
        <w:rPr>
          <w:rFonts w:ascii="Times New Roman" w:cs="Times New Roman" w:eastAsia="Times New Roman" w:hAnsi="Times New Roman"/>
          <w:sz w:val="13"/>
          <w:szCs w:val="13"/>
          <w:color w:val="auto"/>
        </w:rPr>
        <w: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Selecta Forward-Looking Statements</w:t>
      </w:r>
    </w:p>
    <w:p>
      <w:pPr>
        <w:spacing w:after="0" w:line="85"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3"/>
          <w:szCs w:val="13"/>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its partners,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 clinical trials and preclinical studies, the timing or making of any regulatory filings, the anticipated timing or outcome of selection of developmental product candidates, the potential treatment applications of product candidates utilizing the ImmTOR platform in areas such as gene therapy, gout and autoimmune disease, the ability of the Company and its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40"/>
          </w:cols>
          <w:pgMar w:left="300" w:top="548" w:right="359" w:bottom="1440" w:gutter="0" w:footer="0" w:header="0"/>
        </w:sectPr>
      </w:pPr>
    </w:p>
    <w:bookmarkStart w:id="8" w:name="page9"/>
    <w:bookmarkEnd w:id="8"/>
    <w:p>
      <w:pPr>
        <w:ind w:right="180"/>
        <w:spacing w:after="0" w:line="244" w:lineRule="auto"/>
        <w:rPr>
          <w:sz w:val="20"/>
          <w:szCs w:val="20"/>
          <w:color w:val="auto"/>
        </w:rPr>
      </w:pPr>
      <w:r>
        <w:rPr>
          <w:rFonts w:ascii="Times New Roman" w:cs="Times New Roman" w:eastAsia="Times New Roman" w:hAnsi="Times New Roman"/>
          <w:sz w:val="13"/>
          <w:szCs w:val="13"/>
          <w:i w:val="1"/>
          <w:iCs w:val="1"/>
          <w:color w:val="auto"/>
        </w:rPr>
        <w:t>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w:t>
      </w:r>
    </w:p>
    <w:p>
      <w:pPr>
        <w:ind w:right="120"/>
        <w:spacing w:after="0" w:line="223" w:lineRule="auto"/>
        <w:rPr>
          <w:sz w:val="20"/>
          <w:szCs w:val="20"/>
          <w:color w:val="auto"/>
        </w:rPr>
      </w:pPr>
      <w:r>
        <w:rPr>
          <w:rFonts w:ascii="Times New Roman" w:cs="Times New Roman" w:eastAsia="Times New Roman" w:hAnsi="Times New Roman"/>
          <w:sz w:val="13"/>
          <w:szCs w:val="13"/>
          <w:i w:val="1"/>
          <w:iCs w:val="1"/>
          <w:color w:val="auto"/>
        </w:rPr>
        <w:t>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w:t>
      </w:r>
    </w:p>
    <w:p>
      <w:pPr>
        <w:spacing w:after="0" w:line="1"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13"/>
          <w:szCs w:val="13"/>
          <w:i w:val="1"/>
          <w:iCs w:val="1"/>
          <w:color w:val="auto"/>
        </w:rPr>
        <w:t>ability to grow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w:t>
      </w:r>
    </w:p>
    <w:p>
      <w:pPr>
        <w:ind w:right="340"/>
        <w:spacing w:after="0" w:line="223" w:lineRule="auto"/>
        <w:rPr>
          <w:sz w:val="20"/>
          <w:szCs w:val="20"/>
          <w:color w:val="auto"/>
        </w:rPr>
      </w:pPr>
      <w:r>
        <w:rPr>
          <w:rFonts w:ascii="Times New Roman" w:cs="Times New Roman" w:eastAsia="Times New Roman" w:hAnsi="Times New Roman"/>
          <w:sz w:val="13"/>
          <w:szCs w:val="13"/>
          <w:i w:val="1"/>
          <w:iCs w:val="1"/>
          <w:color w:val="auto"/>
        </w:rPr>
        <w:t>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w:t>
      </w:r>
    </w:p>
    <w:p>
      <w:pPr>
        <w:spacing w:after="0" w:line="1" w:lineRule="exact"/>
        <w:rPr>
          <w:sz w:val="20"/>
          <w:szCs w:val="20"/>
          <w:color w:val="auto"/>
        </w:rPr>
      </w:pPr>
    </w:p>
    <w:p>
      <w:pPr>
        <w:jc w:val="both"/>
        <w:ind w:right="140"/>
        <w:spacing w:after="0" w:line="231" w:lineRule="auto"/>
        <w:rPr>
          <w:sz w:val="20"/>
          <w:szCs w:val="20"/>
          <w:color w:val="auto"/>
        </w:rPr>
      </w:pPr>
      <w:r>
        <w:rPr>
          <w:rFonts w:ascii="Times New Roman" w:cs="Times New Roman" w:eastAsia="Times New Roman" w:hAnsi="Times New Roman"/>
          <w:sz w:val="13"/>
          <w:szCs w:val="13"/>
          <w:i w:val="1"/>
          <w:iCs w:val="1"/>
          <w:color w:val="auto"/>
        </w:rPr>
        <w:t>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w:t>
      </w:r>
    </w:p>
    <w:p>
      <w:pPr>
        <w:spacing w:after="0" w:line="223" w:lineRule="auto"/>
        <w:rPr>
          <w:sz w:val="20"/>
          <w:szCs w:val="20"/>
          <w:color w:val="auto"/>
        </w:rPr>
      </w:pPr>
      <w:r>
        <w:rPr>
          <w:rFonts w:ascii="Times New Roman" w:cs="Times New Roman" w:eastAsia="Times New Roman" w:hAnsi="Times New Roman"/>
          <w:sz w:val="13"/>
          <w:szCs w:val="13"/>
          <w:i w:val="1"/>
          <w:iCs w:val="1"/>
          <w:color w:val="auto"/>
        </w:rPr>
        <w:t>Factors” section of the Company’s most recent Annual Report on Form 10-K and subsequent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of any subsequent date. The Company specifically disclaims any intention to update any forward-looking statements included in this press release, except as required by law.</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Investors: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Bruce Mackle</w:t>
      </w:r>
    </w:p>
    <w:p>
      <w:pPr>
        <w:spacing w:after="0" w:line="236" w:lineRule="auto"/>
        <w:rPr>
          <w:sz w:val="20"/>
          <w:szCs w:val="20"/>
          <w:color w:val="auto"/>
        </w:rPr>
      </w:pPr>
      <w:r>
        <w:rPr>
          <w:rFonts w:ascii="Times New Roman" w:cs="Times New Roman" w:eastAsia="Times New Roman" w:hAnsi="Times New Roman"/>
          <w:sz w:val="13"/>
          <w:szCs w:val="13"/>
          <w:color w:val="auto"/>
        </w:rPr>
        <w:t>LifeSci Advisors, LLC</w:t>
      </w:r>
    </w:p>
    <w:p>
      <w:pPr>
        <w:spacing w:after="0" w:line="232" w:lineRule="auto"/>
        <w:rPr>
          <w:sz w:val="20"/>
          <w:szCs w:val="20"/>
          <w:color w:val="auto"/>
        </w:rPr>
      </w:pPr>
      <w:r>
        <w:rPr>
          <w:rFonts w:ascii="Times New Roman" w:cs="Times New Roman" w:eastAsia="Times New Roman" w:hAnsi="Times New Roman"/>
          <w:sz w:val="13"/>
          <w:szCs w:val="13"/>
          <w:color w:val="auto"/>
        </w:rPr>
        <w:t>+1-929-469-3859</w:t>
      </w:r>
    </w:p>
    <w:p>
      <w:pPr>
        <w:spacing w:after="0"/>
        <w:rPr>
          <w:sz w:val="20"/>
          <w:szCs w:val="20"/>
          <w:color w:val="auto"/>
        </w:rPr>
      </w:pPr>
      <w:r>
        <w:rPr>
          <w:rFonts w:ascii="Times New Roman" w:cs="Times New Roman" w:eastAsia="Times New Roman" w:hAnsi="Times New Roman"/>
          <w:sz w:val="13"/>
          <w:szCs w:val="13"/>
          <w:u w:val="single" w:color="auto"/>
          <w:color w:val="0000FF"/>
        </w:rPr>
        <w:t>bmackle@lifesciadvisors.com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 Media: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Brittany Leigh, Ph.D.</w:t>
      </w:r>
    </w:p>
    <w:p>
      <w:pPr>
        <w:spacing w:after="0" w:line="236" w:lineRule="auto"/>
        <w:rPr>
          <w:sz w:val="20"/>
          <w:szCs w:val="20"/>
          <w:color w:val="auto"/>
        </w:rPr>
      </w:pPr>
      <w:r>
        <w:rPr>
          <w:rFonts w:ascii="Times New Roman" w:cs="Times New Roman" w:eastAsia="Times New Roman" w:hAnsi="Times New Roman"/>
          <w:sz w:val="13"/>
          <w:szCs w:val="13"/>
          <w:color w:val="auto"/>
        </w:rPr>
        <w:t>LifeSci Communications,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+1-646-751-4366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bleigh@lifescicomms.com</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60"/>
          </w:cols>
          <w:pgMar w:left="300" w:top="546" w:right="339" w:bottom="1440"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3760470</wp:posOffset>
            </wp:positionV>
            <wp:extent cx="713041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2023-01-09T07:08:06Z</dcterms:created>
  <dcterms:modified xsi:type="dcterms:W3CDTF">2023-01-09T07:08:06Z</dcterms:modified>
</cp:coreProperties>
</file>