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14,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June 14, 2024, at the 2024 Annual Meeting of Stockholders (the “Annual Meeting”) of Cartesian Therapeutics, Inc. (the “Company”), the Company’s stockholders approved the Cartesian Therapeutics, Inc. Amended and Restated 2016 Incentive Award Plan (the “2016 Incentive Award Plan”), which was previously adopted by the Company’s Board of Directors.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summary of the material terms and conditions of the 2016 Incentive Award Plan is included in the Company’s definitive proxy statement filed with the Securities and Exchange Commission on April 26, 2024 (the “Proxy Statement”) under “Proposal No. 3 - Approval of the Cartesian Therapeutics, Inc. Amended and Restated 2016 Incentive Award Plan,” which summary is incorporated herein by reference. This summary is qualified in its entirety by, and should be read in conjunction with, the 2016 Incentive Award Plan, which was included as Appendix A to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2024, the Company held the Annual Meeting. A total of 13,755,429 shares of the Company’s common stock, par value $0.0001 per share (the "common stock"), were present electronically or represented by proxy at the meeting, representing approximately 77.29% of the Company’s outstanding common stock as of the April 18, 2024 record date. The following are the voting results for the proposals considered and voted upon at the meeting, all of which were described in the Proxy Statement.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Proposal 1 - Election of two Class II Directors to serve until the 2027 Annual Meeting of Stockholders, and until their respective successors have been duly elected and qualified.</w:t>
      </w:r>
    </w:p>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NOMINEE</w:t>
            </w:r>
          </w:p>
        </w:tc>
        <w:tc>
          <w:tcPr>
            <w:tcW w:w="2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Votes FOR</w:t>
            </w:r>
          </w:p>
        </w:tc>
        <w:tc>
          <w:tcPr>
            <w:tcW w:w="2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Votes WITHHELD</w:t>
            </w:r>
          </w:p>
        </w:tc>
        <w:tc>
          <w:tcPr>
            <w:tcW w:w="18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Carrie S. Cox</w:t>
            </w:r>
          </w:p>
        </w:tc>
        <w:tc>
          <w:tcPr>
            <w:tcW w:w="2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11,829,626</w:t>
            </w:r>
          </w:p>
        </w:tc>
        <w:tc>
          <w:tcPr>
            <w:tcW w:w="25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316,083</w:t>
            </w:r>
          </w:p>
        </w:tc>
        <w:tc>
          <w:tcPr>
            <w:tcW w:w="18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1,609,720</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Murat Kalayoglu, M.D., Ph.D.</w:t>
            </w:r>
          </w:p>
        </w:tc>
        <w:tc>
          <w:tcPr>
            <w:tcW w:w="2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12,106,239</w:t>
            </w:r>
          </w:p>
        </w:tc>
        <w:tc>
          <w:tcPr>
            <w:tcW w:w="25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39,470</w:t>
            </w:r>
          </w:p>
        </w:tc>
        <w:tc>
          <w:tcPr>
            <w:tcW w:w="18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1,609,720</w:t>
            </w: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each director nominee was duly elected to serve until the Company's 2027 Annual Meeting of Stockholders, and until their respective successors have been duly elected and qualified.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2 - Approval, on a non-binding and advisory basis, of a resolution approving the compensation of the Company’s named executive officers.</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Votes FOR</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11,684,828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Votes AGAINST</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443,703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Votes ABSTAINED</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17,178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Broker Non-Votes</w:t>
      </w:r>
    </w:p>
    <w:p>
      <w:pPr>
        <w:spacing w:after="0" w:line="39"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1,609,720</w:t>
      </w:r>
    </w:p>
    <w:p>
      <w:pPr>
        <w:spacing w:after="0" w:line="193" w:lineRule="exact"/>
        <w:rPr>
          <w:sz w:val="20"/>
          <w:szCs w:val="20"/>
          <w:color w:val="auto"/>
        </w:rPr>
      </w:pPr>
    </w:p>
    <w:p>
      <w:pPr>
        <w:sectPr>
          <w:pgSz w:w="11900" w:h="16838" w:orient="portrait"/>
          <w:cols w:equalWidth="0" w:num="4">
            <w:col w:w="3160" w:space="720"/>
            <w:col w:w="1300" w:space="720"/>
            <w:col w:w="1500" w:space="720"/>
            <w:col w:w="3120"/>
          </w:cols>
          <w:pgMar w:left="320" w:top="873" w:right="339" w:bottom="1440" w:gutter="0" w:footer="0" w:header="0"/>
          <w:type w:val="continuous"/>
        </w:sect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approved on a non-binding and advisory basis, a resolution approving the compensation of our named executive officers.</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Proposal 3 - Approval of the Cartesian Therapeutics, Inc. Amended and Restated 2016 Incentive Award Plan, which is an amendment and restatement of the Selecta Biosciences, Inc. 2016 Incentive Award Plan.</w:t>
      </w:r>
    </w:p>
    <w:p>
      <w:pPr>
        <w:sectPr>
          <w:pgSz w:w="11900" w:h="16838" w:orient="portrait"/>
          <w:cols w:equalWidth="0" w:num="1">
            <w:col w:w="11240"/>
          </w:cols>
          <w:pgMar w:left="320" w:top="873" w:right="339" w:bottom="1440" w:gutter="0" w:footer="0" w:header="0"/>
          <w:type w:val="continuous"/>
        </w:sectPr>
      </w:pPr>
    </w:p>
    <w:p>
      <w:pPr>
        <w:spacing w:after="0" w:line="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Votes FOR</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11,273,065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Votes AGAINST</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856,549</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Votes ABSTAINED</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16,095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Broker Non-Votes</w:t>
      </w:r>
    </w:p>
    <w:p>
      <w:pPr>
        <w:spacing w:after="0" w:line="39"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1,609,720</w:t>
      </w:r>
    </w:p>
    <w:p>
      <w:pPr>
        <w:spacing w:after="0" w:line="200" w:lineRule="exact"/>
        <w:rPr>
          <w:sz w:val="20"/>
          <w:szCs w:val="20"/>
          <w:color w:val="auto"/>
        </w:rPr>
      </w:pPr>
    </w:p>
    <w:p>
      <w:pPr>
        <w:sectPr>
          <w:pgSz w:w="11900" w:h="16838" w:orient="portrait"/>
          <w:cols w:equalWidth="0" w:num="4">
            <w:col w:w="3160" w:space="720"/>
            <w:col w:w="1300" w:space="720"/>
            <w:col w:w="1500" w:space="720"/>
            <w:col w:w="3120"/>
          </w:cols>
          <w:pgMar w:left="320" w:top="873" w:right="339" w:bottom="1440" w:gutter="0" w:footer="0" w:header="0"/>
          <w:type w:val="continuous"/>
        </w:sectPr>
      </w:pP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the votes set forth above, the stockholders approved the Cartesian Therapeutics, Inc. Amended and Restated 2016 Incentive Award Plan.</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Proposal 4 - Ratification of the appointment of Ernst &amp; Young LLP as the Company’s independent registered public accounting firm for the year ending December 31, 2024.</w:t>
      </w:r>
    </w:p>
    <w:p>
      <w:pPr>
        <w:sectPr>
          <w:pgSz w:w="11900" w:h="16838" w:orient="portrait"/>
          <w:cols w:equalWidth="0" w:num="1">
            <w:col w:w="11240"/>
          </w:cols>
          <w:pgMar w:left="320" w:top="873" w:right="339" w:bottom="1440" w:gutter="0" w:footer="0" w:header="0"/>
          <w:type w:val="continuous"/>
        </w:sectPr>
      </w:pPr>
    </w:p>
    <w:p>
      <w:pPr>
        <w:spacing w:after="0" w:line="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Votes FOR</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13,537,162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Votes AGAINST</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212,286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Votes ABSTAINED</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5,981</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Broker Non-Votes</w:t>
      </w:r>
    </w:p>
    <w:p>
      <w:pPr>
        <w:spacing w:after="0" w:line="39"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160" w:space="720"/>
            <w:col w:w="1300" w:space="720"/>
            <w:col w:w="1500" w:space="720"/>
            <w:col w:w="3120"/>
          </w:cols>
          <w:pgMar w:left="320" w:top="873" w:right="339" w:bottom="1440" w:gutter="0" w:footer="0" w:header="0"/>
          <w:type w:val="continuous"/>
        </w:sectPr>
      </w:pPr>
    </w:p>
    <w:p>
      <w:pPr>
        <w:spacing w:after="0" w:line="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ratified the appointment of Ernst &amp; Young LLP as the Company’s independent registered public accounting firm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2024</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2024-06-17T07:00:13Z</dcterms:created>
  <dcterms:modified xsi:type="dcterms:W3CDTF">2024-06-17T07:00:13Z</dcterms:modified>
</cp:coreProperties>
</file>