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90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9"/>
              </w:rPr>
            </w:pPr>
            <w:hyperlink r:id="rId13">
              <w:r>
                <w:rPr>
                  <w:rFonts w:ascii="Arial" w:cs="Arial" w:eastAsia="Arial" w:hAnsi="Arial"/>
                  <w:sz w:val="21"/>
                  <w:szCs w:val="21"/>
                  <w:u w:val="single" w:color="auto"/>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SELECTA BIOSCIENCES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10/21/2020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bottom w:val="single" w:sz="8" w:color="2C2C2C"/>
            </w:tcBorders>
            <w:gridSpan w:val="3"/>
          </w:tcPr>
          <w:p>
            <w:pPr>
              <w:spacing w:after="0"/>
              <w:rPr>
                <w:sz w:val="12"/>
                <w:szCs w:val="12"/>
                <w:color w:val="auto"/>
              </w:rPr>
            </w:pPr>
          </w:p>
        </w:tc>
        <w:tc>
          <w:tcPr>
            <w:tcW w:w="2560" w:type="dxa"/>
            <w:vAlign w:val="bottom"/>
            <w:tcBorders>
              <w:bottom w:val="single" w:sz="8" w:color="2C2C2C"/>
            </w:tcBorders>
            <w:gridSpan w:val="5"/>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3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10/21/2020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1"/>
              </w:rPr>
              <w:t>880,000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2.4994</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11,716,256</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10/22/2020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9"/>
              </w:rPr>
              <w:t>1,770,204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2.6306</w:t>
            </w:r>
            <w:r>
              <w:rPr>
                <w:rFonts w:ascii="Arial" w:cs="Arial" w:eastAsia="Arial" w:hAnsi="Arial"/>
                <w:sz w:val="22"/>
                <w:szCs w:val="22"/>
                <w:color w:val="008000"/>
                <w:w w:val="95"/>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13,486,460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10/23/2020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1"/>
              </w:rPr>
              <w:t>994,488</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2.7147</w:t>
            </w:r>
            <w:r>
              <w:rPr>
                <w:rFonts w:ascii="Arial" w:cs="Arial" w:eastAsia="Arial" w:hAnsi="Arial"/>
                <w:sz w:val="22"/>
                <w:szCs w:val="22"/>
                <w:color w:val="008000"/>
                <w:w w:val="9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14,480,948</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7"/>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-4244340</wp:posOffset>
            </wp:positionV>
            <wp:extent cx="7031355"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90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$2.26 to $2.60. The Reporting Person undertakes to provide upon request to the SEC staff, the Issuer, or any stockholder of the Issuer, full information regarding the number of shares purchased at each separate price within the range set forth in this footnote.</w:t>
      </w: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5"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$2.5389 to $2.70. The Reporting Person undertakes to provide upon request to the SEC staff, the Issuer, or any stockholder of the Issuer, full information regarding the number of shares purchased at each separate price within the range set forth in this footnote.</w:t>
      </w:r>
    </w:p>
    <w:p>
      <w:pPr>
        <w:ind w:left="40" w:right="3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$2.64 to $2.80.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10/23/2020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2020-10-23T16:30:11Z</dcterms:created>
  <dcterms:modified xsi:type="dcterms:W3CDTF">2020-10-23T16:30:11Z</dcterms:modified>
</cp:coreProperties>
</file>