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OrbiMed Advisors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OrbiMed Capital GP III LLC</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Lexington Avenue, 54th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Receive Notices and Communications)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November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both"/>
        <w:ind w:firstLine="63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0" w:lineRule="exact"/>
        <w:rPr>
          <w:sz w:val="24"/>
          <w:szCs w:val="24"/>
          <w:color w:val="auto"/>
        </w:rPr>
      </w:pPr>
    </w:p>
    <w:p>
      <w:pPr>
        <w:jc w:val="both"/>
        <w:ind w:firstLine="63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240.13d-7(b) for other parties to whom copies are to be sent.</w:t>
      </w:r>
    </w:p>
    <w:p>
      <w:pPr>
        <w:spacing w:after="0" w:line="197" w:lineRule="exact"/>
        <w:rPr>
          <w:sz w:val="24"/>
          <w:szCs w:val="24"/>
          <w:color w:val="auto"/>
        </w:rPr>
      </w:pPr>
    </w:p>
    <w:p>
      <w:pPr>
        <w:jc w:val="both"/>
        <w:ind w:firstLine="63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jc w:val="both"/>
        <w:ind w:firstLine="63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280" w:type="dxa"/>
            <w:vAlign w:val="bottom"/>
            <w:tcBorders>
              <w:top w:val="single" w:sz="8" w:color="auto"/>
              <w:left w:val="single" w:sz="8" w:color="auto"/>
            </w:tcBorders>
            <w:gridSpan w:val="4"/>
          </w:tcPr>
          <w:p>
            <w:pPr>
              <w:ind w:left="100"/>
              <w:spacing w:after="0"/>
              <w:rPr>
                <w:sz w:val="20"/>
                <w:szCs w:val="20"/>
                <w:color w:val="auto"/>
              </w:rPr>
            </w:pPr>
            <w:r>
              <w:rPr>
                <w:rFonts w:ascii="Arial" w:cs="Arial" w:eastAsia="Arial" w:hAnsi="Arial"/>
                <w:sz w:val="18"/>
                <w:szCs w:val="18"/>
                <w:color w:val="auto"/>
              </w:rPr>
              <w:t>CUSIP No. 816212104</w:t>
            </w:r>
          </w:p>
        </w:tc>
        <w:tc>
          <w:tcPr>
            <w:tcW w:w="620" w:type="dxa"/>
            <w:vAlign w:val="bottom"/>
            <w:tcBorders>
              <w:top w:val="single" w:sz="8" w:color="auto"/>
            </w:tcBorders>
          </w:tcPr>
          <w:p>
            <w:pPr>
              <w:spacing w:after="0"/>
              <w:rPr>
                <w:sz w:val="24"/>
                <w:szCs w:val="24"/>
                <w:color w:val="auto"/>
              </w:rPr>
            </w:pPr>
          </w:p>
        </w:tc>
        <w:tc>
          <w:tcPr>
            <w:tcW w:w="784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2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900" w:type="dxa"/>
            <w:vAlign w:val="bottom"/>
            <w:tcBorders>
              <w:bottom w:val="single" w:sz="8" w:color="auto"/>
              <w:right w:val="single" w:sz="8" w:color="auto"/>
            </w:tcBorders>
            <w:gridSpan w:val="4"/>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1</w:t>
            </w:r>
          </w:p>
        </w:tc>
        <w:tc>
          <w:tcPr>
            <w:tcW w:w="220" w:type="dxa"/>
            <w:vAlign w:val="bottom"/>
            <w:tcBorders>
              <w:right w:val="single" w:sz="8" w:color="auto"/>
            </w:tcBorders>
          </w:tcPr>
          <w:p>
            <w:pPr>
              <w:spacing w:after="0"/>
              <w:rPr>
                <w:sz w:val="23"/>
                <w:szCs w:val="23"/>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color w:val="auto"/>
              </w:rPr>
              <w:t>OrbiMed Advisors LLC</w:t>
            </w:r>
          </w:p>
        </w:tc>
        <w:tc>
          <w:tcPr>
            <w:tcW w:w="78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9900" w:type="dxa"/>
            <w:vAlign w:val="bottom"/>
            <w:tcBorders>
              <w:bottom w:val="single" w:sz="8" w:color="auto"/>
              <w:right w:val="single" w:sz="8" w:color="auto"/>
            </w:tcBorders>
            <w:gridSpan w:val="4"/>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2</w:t>
            </w:r>
          </w:p>
        </w:tc>
        <w:tc>
          <w:tcPr>
            <w:tcW w:w="220" w:type="dxa"/>
            <w:vAlign w:val="bottom"/>
            <w:tcBorders>
              <w:right w:val="single" w:sz="8" w:color="auto"/>
            </w:tcBorders>
          </w:tcPr>
          <w:p>
            <w:pPr>
              <w:spacing w:after="0"/>
              <w:rPr>
                <w:sz w:val="20"/>
                <w:szCs w:val="20"/>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3</w:t>
            </w:r>
          </w:p>
        </w:tc>
        <w:tc>
          <w:tcPr>
            <w:tcW w:w="220" w:type="dxa"/>
            <w:vAlign w:val="bottom"/>
            <w:tcBorders>
              <w:right w:val="single" w:sz="8" w:color="auto"/>
            </w:tcBorders>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620" w:type="dxa"/>
            <w:vAlign w:val="bottom"/>
          </w:tcPr>
          <w:p>
            <w:pPr>
              <w:spacing w:after="0"/>
              <w:rPr>
                <w:sz w:val="24"/>
                <w:szCs w:val="24"/>
                <w:color w:val="auto"/>
              </w:rPr>
            </w:pPr>
          </w:p>
        </w:tc>
        <w:tc>
          <w:tcPr>
            <w:tcW w:w="78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2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2060" w:type="dxa"/>
            <w:vAlign w:val="bottom"/>
            <w:tcBorders>
              <w:bottom w:val="single" w:sz="8" w:color="auto"/>
            </w:tcBorders>
            <w:gridSpan w:val="3"/>
          </w:tcPr>
          <w:p>
            <w:pPr>
              <w:spacing w:after="0"/>
              <w:rPr>
                <w:sz w:val="8"/>
                <w:szCs w:val="8"/>
                <w:color w:val="auto"/>
              </w:rPr>
            </w:pPr>
          </w:p>
        </w:tc>
        <w:tc>
          <w:tcPr>
            <w:tcW w:w="7840" w:type="dxa"/>
            <w:vAlign w:val="bottom"/>
            <w:tcBorders>
              <w:bottom w:val="single" w:sz="8" w:color="auto"/>
              <w:right w:val="single" w:sz="8" w:color="auto"/>
            </w:tcBorders>
          </w:tcPr>
          <w:p>
            <w:pPr>
              <w:spacing w:after="0"/>
              <w:rPr>
                <w:sz w:val="8"/>
                <w:szCs w:val="8"/>
                <w:color w:val="auto"/>
              </w:rPr>
            </w:pPr>
          </w:p>
        </w:tc>
        <w:tc>
          <w:tcPr>
            <w:tcW w:w="6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4</w:t>
            </w:r>
          </w:p>
        </w:tc>
        <w:tc>
          <w:tcPr>
            <w:tcW w:w="220" w:type="dxa"/>
            <w:vAlign w:val="bottom"/>
            <w:tcBorders>
              <w:right w:val="single" w:sz="8" w:color="auto"/>
            </w:tcBorders>
          </w:tcPr>
          <w:p>
            <w:pPr>
              <w:spacing w:after="0"/>
              <w:rPr>
                <w:sz w:val="23"/>
                <w:szCs w:val="23"/>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color w:val="auto"/>
              </w:rPr>
              <w:t>SOURCE OF FUNDS</w:t>
            </w:r>
          </w:p>
        </w:tc>
        <w:tc>
          <w:tcPr>
            <w:tcW w:w="7840" w:type="dxa"/>
            <w:vAlign w:val="bottom"/>
            <w:tcBorders>
              <w:right w:val="single" w:sz="8" w:color="auto"/>
            </w:tcBorders>
          </w:tcPr>
          <w:p>
            <w:pPr>
              <w:spacing w:after="0"/>
              <w:rPr>
                <w:sz w:val="23"/>
                <w:szCs w:val="23"/>
                <w:color w:val="auto"/>
              </w:rPr>
            </w:pP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AF</w:t>
            </w:r>
          </w:p>
        </w:tc>
        <w:tc>
          <w:tcPr>
            <w:tcW w:w="620" w:type="dxa"/>
            <w:vAlign w:val="bottom"/>
          </w:tcPr>
          <w:p>
            <w:pPr>
              <w:spacing w:after="0"/>
              <w:rPr>
                <w:sz w:val="20"/>
                <w:szCs w:val="20"/>
                <w:color w:val="auto"/>
              </w:rPr>
            </w:pPr>
          </w:p>
        </w:tc>
        <w:tc>
          <w:tcPr>
            <w:tcW w:w="78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9900" w:type="dxa"/>
            <w:vAlign w:val="bottom"/>
            <w:tcBorders>
              <w:bottom w:val="single" w:sz="8" w:color="auto"/>
              <w:right w:val="single" w:sz="8" w:color="auto"/>
            </w:tcBorders>
            <w:gridSpan w:val="4"/>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5</w:t>
            </w:r>
          </w:p>
        </w:tc>
        <w:tc>
          <w:tcPr>
            <w:tcW w:w="220" w:type="dxa"/>
            <w:vAlign w:val="bottom"/>
            <w:tcBorders>
              <w:right w:val="single" w:sz="8" w:color="auto"/>
            </w:tcBorders>
          </w:tcPr>
          <w:p>
            <w:pPr>
              <w:spacing w:after="0"/>
              <w:rPr>
                <w:sz w:val="24"/>
                <w:szCs w:val="24"/>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900" w:type="dxa"/>
            <w:vAlign w:val="bottom"/>
            <w:tcBorders>
              <w:bottom w:val="single" w:sz="8" w:color="auto"/>
              <w:right w:val="single" w:sz="8" w:color="auto"/>
            </w:tcBorders>
            <w:gridSpan w:val="4"/>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6</w:t>
            </w:r>
          </w:p>
        </w:tc>
        <w:tc>
          <w:tcPr>
            <w:tcW w:w="220" w:type="dxa"/>
            <w:vAlign w:val="bottom"/>
            <w:tcBorders>
              <w:right w:val="single" w:sz="8" w:color="auto"/>
            </w:tcBorders>
          </w:tcPr>
          <w:p>
            <w:pPr>
              <w:spacing w:after="0"/>
              <w:rPr>
                <w:sz w:val="23"/>
                <w:szCs w:val="23"/>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620" w:type="dxa"/>
            <w:vAlign w:val="bottom"/>
          </w:tcPr>
          <w:p>
            <w:pPr>
              <w:spacing w:after="0"/>
              <w:rPr>
                <w:sz w:val="20"/>
                <w:szCs w:val="20"/>
                <w:color w:val="auto"/>
              </w:rPr>
            </w:pPr>
          </w:p>
        </w:tc>
        <w:tc>
          <w:tcPr>
            <w:tcW w:w="78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8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7</w:t>
            </w:r>
          </w:p>
        </w:tc>
        <w:tc>
          <w:tcPr>
            <w:tcW w:w="7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27,136</w:t>
            </w: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78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21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Pr>
          <w:p>
            <w:pPr>
              <w:spacing w:after="0"/>
              <w:rPr>
                <w:sz w:val="23"/>
                <w:szCs w:val="23"/>
                <w:color w:val="auto"/>
              </w:rPr>
            </w:pPr>
          </w:p>
        </w:tc>
        <w:tc>
          <w:tcPr>
            <w:tcW w:w="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8</w:t>
            </w:r>
          </w:p>
        </w:tc>
        <w:tc>
          <w:tcPr>
            <w:tcW w:w="7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00" w:type="dxa"/>
            <w:vAlign w:val="bottom"/>
            <w:tcBorders>
              <w:left w:val="single" w:sz="8" w:color="auto"/>
              <w:right w:val="single" w:sz="8" w:color="auto"/>
            </w:tcBorders>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840" w:type="dxa"/>
            <w:vAlign w:val="bottom"/>
            <w:tcBorders>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2,851,928</w:t>
            </w: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1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7840" w:type="dxa"/>
            <w:vAlign w:val="bottom"/>
            <w:tcBorders>
              <w:bottom w:val="single" w:sz="8" w:color="auto"/>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100" w:type="dxa"/>
            <w:vAlign w:val="bottom"/>
            <w:tcBorders>
              <w:left w:val="single" w:sz="8" w:color="auto"/>
              <w:right w:val="single" w:sz="8" w:color="auto"/>
            </w:tcBorders>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9"/>
              </w:rPr>
              <w:t>9</w:t>
            </w:r>
          </w:p>
        </w:tc>
        <w:tc>
          <w:tcPr>
            <w:tcW w:w="7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48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5"/>
              </w:rPr>
              <w:t>OWNED</w:t>
            </w:r>
          </w:p>
        </w:tc>
        <w:tc>
          <w:tcPr>
            <w:tcW w:w="18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7840" w:type="dxa"/>
            <w:vAlign w:val="bottom"/>
            <w:tcBorders>
              <w:right w:val="single" w:sz="8" w:color="auto"/>
            </w:tcBorders>
            <w:vMerge w:val="continue"/>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1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27,136</w:t>
            </w:r>
          </w:p>
        </w:tc>
        <w:tc>
          <w:tcPr>
            <w:tcW w:w="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840" w:type="dxa"/>
            <w:vAlign w:val="bottom"/>
            <w:tcBorders>
              <w:right w:val="single" w:sz="8" w:color="auto"/>
            </w:tcBorders>
            <w:vMerge w:val="continue"/>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20" w:type="dxa"/>
            <w:vAlign w:val="bottom"/>
            <w:tcBorders>
              <w:left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9"/>
              </w:rPr>
              <w:t>10</w:t>
            </w:r>
          </w:p>
        </w:tc>
        <w:tc>
          <w:tcPr>
            <w:tcW w:w="7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2,851,928</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gridSpan w:val="2"/>
          </w:tcPr>
          <w:p>
            <w:pPr>
              <w:spacing w:after="0"/>
              <w:rPr>
                <w:sz w:val="6"/>
                <w:szCs w:val="6"/>
                <w:color w:val="auto"/>
              </w:rPr>
            </w:pPr>
          </w:p>
        </w:tc>
        <w:tc>
          <w:tcPr>
            <w:tcW w:w="78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11</w:t>
            </w:r>
          </w:p>
        </w:tc>
        <w:tc>
          <w:tcPr>
            <w:tcW w:w="220" w:type="dxa"/>
            <w:vAlign w:val="bottom"/>
            <w:tcBorders>
              <w:right w:val="single" w:sz="8" w:color="auto"/>
            </w:tcBorders>
          </w:tcPr>
          <w:p>
            <w:pPr>
              <w:spacing w:after="0"/>
              <w:rPr>
                <w:sz w:val="23"/>
                <w:szCs w:val="23"/>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260" w:type="dxa"/>
            <w:vAlign w:val="bottom"/>
          </w:tcPr>
          <w:p>
            <w:pPr>
              <w:ind w:left="80"/>
              <w:spacing w:after="0"/>
              <w:rPr>
                <w:sz w:val="20"/>
                <w:szCs w:val="20"/>
                <w:color w:val="auto"/>
              </w:rPr>
            </w:pPr>
            <w:r>
              <w:rPr>
                <w:rFonts w:ascii="Arial" w:cs="Arial" w:eastAsia="Arial" w:hAnsi="Arial"/>
                <w:sz w:val="18"/>
                <w:szCs w:val="18"/>
                <w:color w:val="auto"/>
              </w:rPr>
              <w:t>2,879,064</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78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12</w:t>
            </w:r>
          </w:p>
        </w:tc>
        <w:tc>
          <w:tcPr>
            <w:tcW w:w="220" w:type="dxa"/>
            <w:vAlign w:val="bottom"/>
            <w:tcBorders>
              <w:right w:val="single" w:sz="8" w:color="auto"/>
            </w:tcBorders>
          </w:tcPr>
          <w:p>
            <w:pPr>
              <w:spacing w:after="0"/>
              <w:rPr>
                <w:sz w:val="24"/>
                <w:szCs w:val="24"/>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78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13</w:t>
            </w:r>
          </w:p>
        </w:tc>
        <w:tc>
          <w:tcPr>
            <w:tcW w:w="220" w:type="dxa"/>
            <w:vAlign w:val="bottom"/>
            <w:tcBorders>
              <w:right w:val="single" w:sz="8" w:color="auto"/>
            </w:tcBorders>
          </w:tcPr>
          <w:p>
            <w:pPr>
              <w:spacing w:after="0"/>
              <w:rPr>
                <w:sz w:val="23"/>
                <w:szCs w:val="23"/>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260" w:type="dxa"/>
            <w:vAlign w:val="bottom"/>
          </w:tcPr>
          <w:p>
            <w:pPr>
              <w:ind w:left="80"/>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78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14</w:t>
            </w:r>
          </w:p>
        </w:tc>
        <w:tc>
          <w:tcPr>
            <w:tcW w:w="220" w:type="dxa"/>
            <w:vAlign w:val="bottom"/>
            <w:tcBorders>
              <w:right w:val="single" w:sz="8" w:color="auto"/>
            </w:tcBorders>
          </w:tcPr>
          <w:p>
            <w:pPr>
              <w:spacing w:after="0"/>
              <w:rPr>
                <w:sz w:val="23"/>
                <w:szCs w:val="23"/>
                <w:color w:val="auto"/>
              </w:rPr>
            </w:pPr>
          </w:p>
        </w:tc>
        <w:tc>
          <w:tcPr>
            <w:tcW w:w="99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6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IA</w:t>
            </w:r>
          </w:p>
        </w:tc>
        <w:tc>
          <w:tcPr>
            <w:tcW w:w="620" w:type="dxa"/>
            <w:vAlign w:val="bottom"/>
          </w:tcPr>
          <w:p>
            <w:pPr>
              <w:spacing w:after="0"/>
              <w:rPr>
                <w:sz w:val="20"/>
                <w:szCs w:val="20"/>
                <w:color w:val="auto"/>
              </w:rPr>
            </w:pPr>
          </w:p>
        </w:tc>
        <w:tc>
          <w:tcPr>
            <w:tcW w:w="78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84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1663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percentage is calculated based upon 48,196,387 shares of common stock, par value $0.0001 per share, of Selecta Biosciences,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as set forth in the Issuer’s Form 10-Q filed with the Securities and Exchange Commission on November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1"/>
        </w:trPr>
        <w:tc>
          <w:tcPr>
            <w:tcW w:w="2260" w:type="dxa"/>
            <w:vAlign w:val="bottom"/>
            <w:tcBorders>
              <w:top w:val="single" w:sz="8" w:color="auto"/>
              <w:left w:val="single" w:sz="8" w:color="auto"/>
            </w:tcBorders>
            <w:gridSpan w:val="4"/>
          </w:tcPr>
          <w:p>
            <w:pPr>
              <w:ind w:left="100"/>
              <w:spacing w:after="0"/>
              <w:rPr>
                <w:sz w:val="20"/>
                <w:szCs w:val="20"/>
                <w:color w:val="auto"/>
              </w:rPr>
            </w:pPr>
            <w:r>
              <w:rPr>
                <w:rFonts w:ascii="Arial" w:cs="Arial" w:eastAsia="Arial" w:hAnsi="Arial"/>
                <w:sz w:val="18"/>
                <w:szCs w:val="18"/>
                <w:color w:val="auto"/>
              </w:rPr>
              <w:t>CUSIP No. 816212104</w:t>
            </w:r>
          </w:p>
        </w:tc>
        <w:tc>
          <w:tcPr>
            <w:tcW w:w="620" w:type="dxa"/>
            <w:vAlign w:val="bottom"/>
            <w:tcBorders>
              <w:top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2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780" w:type="dxa"/>
            <w:vAlign w:val="bottom"/>
            <w:tcBorders>
              <w:bottom w:val="single" w:sz="8" w:color="auto"/>
              <w:right w:val="single" w:sz="8" w:color="auto"/>
            </w:tcBorders>
            <w:gridSpan w:val="4"/>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1</w:t>
            </w:r>
          </w:p>
        </w:tc>
        <w:tc>
          <w:tcPr>
            <w:tcW w:w="220" w:type="dxa"/>
            <w:vAlign w:val="bottom"/>
            <w:tcBorders>
              <w:right w:val="single" w:sz="8" w:color="auto"/>
            </w:tcBorders>
          </w:tcPr>
          <w:p>
            <w:pPr>
              <w:spacing w:after="0"/>
              <w:rPr>
                <w:sz w:val="23"/>
                <w:szCs w:val="23"/>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NAME OF REPORTING PERSON</w:t>
            </w: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OrbiMed Capital GP III LLC</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4"/>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2</w:t>
            </w:r>
          </w:p>
        </w:tc>
        <w:tc>
          <w:tcPr>
            <w:tcW w:w="220" w:type="dxa"/>
            <w:vAlign w:val="bottom"/>
            <w:tcBorders>
              <w:right w:val="single" w:sz="8" w:color="auto"/>
            </w:tcBorders>
          </w:tcPr>
          <w:p>
            <w:pPr>
              <w:spacing w:after="0"/>
              <w:rPr>
                <w:sz w:val="20"/>
                <w:szCs w:val="20"/>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8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62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7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7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3</w:t>
            </w:r>
          </w:p>
        </w:tc>
        <w:tc>
          <w:tcPr>
            <w:tcW w:w="220" w:type="dxa"/>
            <w:vAlign w:val="bottom"/>
            <w:tcBorders>
              <w:right w:val="single" w:sz="8" w:color="auto"/>
            </w:tcBorders>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w w:val="99"/>
              </w:rPr>
              <w:t>SEC USE ONLY</w:t>
            </w:r>
          </w:p>
        </w:tc>
        <w:tc>
          <w:tcPr>
            <w:tcW w:w="620" w:type="dxa"/>
            <w:vAlign w:val="bottom"/>
          </w:tcPr>
          <w:p>
            <w:pPr>
              <w:spacing w:after="0"/>
              <w:rPr>
                <w:sz w:val="24"/>
                <w:szCs w:val="24"/>
                <w:color w:val="auto"/>
              </w:rPr>
            </w:pPr>
          </w:p>
        </w:tc>
        <w:tc>
          <w:tcPr>
            <w:tcW w:w="77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20" w:type="dxa"/>
            <w:vAlign w:val="bottom"/>
            <w:tcBorders>
              <w:left w:val="single" w:sz="8" w:color="auto"/>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tcBorders>
            <w:gridSpan w:val="3"/>
          </w:tcPr>
          <w:p>
            <w:pPr>
              <w:spacing w:after="0"/>
              <w:rPr>
                <w:sz w:val="8"/>
                <w:szCs w:val="8"/>
                <w:color w:val="auto"/>
              </w:rPr>
            </w:pPr>
          </w:p>
        </w:tc>
        <w:tc>
          <w:tcPr>
            <w:tcW w:w="774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4</w:t>
            </w:r>
          </w:p>
        </w:tc>
        <w:tc>
          <w:tcPr>
            <w:tcW w:w="220" w:type="dxa"/>
            <w:vAlign w:val="bottom"/>
            <w:tcBorders>
              <w:right w:val="single" w:sz="8" w:color="auto"/>
            </w:tcBorders>
          </w:tcPr>
          <w:p>
            <w:pPr>
              <w:spacing w:after="0"/>
              <w:rPr>
                <w:sz w:val="23"/>
                <w:szCs w:val="23"/>
                <w:color w:val="auto"/>
              </w:rPr>
            </w:pPr>
          </w:p>
        </w:tc>
        <w:tc>
          <w:tcPr>
            <w:tcW w:w="2040" w:type="dxa"/>
            <w:vAlign w:val="bottom"/>
            <w:gridSpan w:val="3"/>
          </w:tcPr>
          <w:p>
            <w:pPr>
              <w:ind w:left="80"/>
              <w:spacing w:after="0"/>
              <w:rPr>
                <w:sz w:val="20"/>
                <w:szCs w:val="20"/>
                <w:color w:val="auto"/>
              </w:rPr>
            </w:pPr>
            <w:r>
              <w:rPr>
                <w:rFonts w:ascii="Arial" w:cs="Arial" w:eastAsia="Arial" w:hAnsi="Arial"/>
                <w:sz w:val="18"/>
                <w:szCs w:val="18"/>
                <w:color w:val="auto"/>
              </w:rPr>
              <w:t>SOURCE OF FUNDS</w:t>
            </w:r>
          </w:p>
        </w:tc>
        <w:tc>
          <w:tcPr>
            <w:tcW w:w="7740" w:type="dxa"/>
            <w:vAlign w:val="bottom"/>
            <w:tcBorders>
              <w:right w:val="single" w:sz="8" w:color="auto"/>
            </w:tcBorders>
          </w:tcPr>
          <w:p>
            <w:pPr>
              <w:spacing w:after="0"/>
              <w:rPr>
                <w:sz w:val="23"/>
                <w:szCs w:val="23"/>
                <w:color w:val="auto"/>
              </w:rPr>
            </w:pP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AF</w:t>
            </w:r>
          </w:p>
        </w:tc>
        <w:tc>
          <w:tcPr>
            <w:tcW w:w="620" w:type="dxa"/>
            <w:vAlign w:val="bottom"/>
          </w:tcPr>
          <w:p>
            <w:pPr>
              <w:spacing w:after="0"/>
              <w:rPr>
                <w:sz w:val="20"/>
                <w:szCs w:val="20"/>
                <w:color w:val="auto"/>
              </w:rPr>
            </w:pPr>
          </w:p>
        </w:tc>
        <w:tc>
          <w:tcPr>
            <w:tcW w:w="77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4"/>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5</w:t>
            </w:r>
          </w:p>
        </w:tc>
        <w:tc>
          <w:tcPr>
            <w:tcW w:w="220" w:type="dxa"/>
            <w:vAlign w:val="bottom"/>
            <w:tcBorders>
              <w:right w:val="single" w:sz="8" w:color="auto"/>
            </w:tcBorders>
          </w:tcPr>
          <w:p>
            <w:pPr>
              <w:spacing w:after="0"/>
              <w:rPr>
                <w:sz w:val="24"/>
                <w:szCs w:val="24"/>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8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9780" w:type="dxa"/>
            <w:vAlign w:val="bottom"/>
            <w:tcBorders>
              <w:bottom w:val="single" w:sz="8" w:color="auto"/>
              <w:right w:val="single" w:sz="8" w:color="auto"/>
            </w:tcBorders>
            <w:gridSpan w:val="4"/>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6</w:t>
            </w:r>
          </w:p>
        </w:tc>
        <w:tc>
          <w:tcPr>
            <w:tcW w:w="220" w:type="dxa"/>
            <w:vAlign w:val="bottom"/>
            <w:tcBorders>
              <w:right w:val="single" w:sz="8" w:color="auto"/>
            </w:tcBorders>
          </w:tcPr>
          <w:p>
            <w:pPr>
              <w:spacing w:after="0"/>
              <w:rPr>
                <w:sz w:val="23"/>
                <w:szCs w:val="23"/>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620" w:type="dxa"/>
            <w:vAlign w:val="bottom"/>
          </w:tcPr>
          <w:p>
            <w:pPr>
              <w:spacing w:after="0"/>
              <w:rPr>
                <w:sz w:val="20"/>
                <w:szCs w:val="20"/>
                <w:color w:val="auto"/>
              </w:rPr>
            </w:pPr>
          </w:p>
        </w:tc>
        <w:tc>
          <w:tcPr>
            <w:tcW w:w="77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7</w:t>
            </w: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8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180" w:type="dxa"/>
            <w:vAlign w:val="bottom"/>
          </w:tcPr>
          <w:p>
            <w:pPr>
              <w:spacing w:after="0"/>
              <w:rPr>
                <w:sz w:val="24"/>
                <w:szCs w:val="24"/>
                <w:color w:val="auto"/>
              </w:rPr>
            </w:pPr>
          </w:p>
        </w:tc>
        <w:tc>
          <w:tcPr>
            <w:tcW w:w="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9"/>
              </w:rPr>
              <w:t>8</w:t>
            </w: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80" w:type="dxa"/>
            <w:vAlign w:val="bottom"/>
            <w:tcBorders>
              <w:left w:val="single" w:sz="8" w:color="auto"/>
              <w:right w:val="single" w:sz="8" w:color="auto"/>
            </w:tcBorders>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774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2,851,928</w:t>
            </w: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620" w:type="dxa"/>
            <w:vAlign w:val="bottom"/>
            <w:tcBorders>
              <w:left w:val="single" w:sz="8" w:color="auto"/>
            </w:tcBorders>
          </w:tcPr>
          <w:p>
            <w:pPr>
              <w:spacing w:after="0"/>
              <w:rPr>
                <w:sz w:val="10"/>
                <w:szCs w:val="10"/>
                <w:color w:val="auto"/>
              </w:rPr>
            </w:pPr>
          </w:p>
        </w:tc>
        <w:tc>
          <w:tcPr>
            <w:tcW w:w="146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5"/>
              </w:rPr>
              <w:t>OWNED</w:t>
            </w: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7740" w:type="dxa"/>
            <w:vAlign w:val="bottom"/>
            <w:tcBorders>
              <w:bottom w:val="single" w:sz="8" w:color="auto"/>
              <w:right w:val="single" w:sz="8" w:color="auto"/>
            </w:tcBorders>
          </w:tcPr>
          <w:p>
            <w:pPr>
              <w:spacing w:after="0"/>
              <w:rPr>
                <w:sz w:val="10"/>
                <w:szCs w:val="10"/>
                <w:color w:val="auto"/>
              </w:rPr>
            </w:pPr>
          </w:p>
        </w:tc>
        <w:tc>
          <w:tcPr>
            <w:tcW w:w="8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20" w:type="dxa"/>
            <w:vAlign w:val="bottom"/>
            <w:tcBorders>
              <w:left w:val="single" w:sz="8" w:color="auto"/>
            </w:tcBorders>
          </w:tcPr>
          <w:p>
            <w:pPr>
              <w:spacing w:after="0"/>
              <w:rPr>
                <w:sz w:val="6"/>
                <w:szCs w:val="6"/>
                <w:color w:val="auto"/>
              </w:rPr>
            </w:pPr>
          </w:p>
        </w:tc>
        <w:tc>
          <w:tcPr>
            <w:tcW w:w="146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right w:val="single" w:sz="8" w:color="auto"/>
            </w:tcBorders>
            <w:vMerge w:val="restart"/>
          </w:tcPr>
          <w:p>
            <w:pPr>
              <w:jc w:val="center"/>
              <w:ind w:right="110"/>
              <w:spacing w:after="0"/>
              <w:rPr>
                <w:sz w:val="20"/>
                <w:szCs w:val="20"/>
                <w:color w:val="auto"/>
              </w:rPr>
            </w:pPr>
            <w:r>
              <w:rPr>
                <w:rFonts w:ascii="Arial" w:cs="Arial" w:eastAsia="Arial" w:hAnsi="Arial"/>
                <w:sz w:val="18"/>
                <w:szCs w:val="18"/>
                <w:color w:val="auto"/>
                <w:w w:val="99"/>
              </w:rPr>
              <w:t>9</w:t>
            </w:r>
          </w:p>
        </w:tc>
        <w:tc>
          <w:tcPr>
            <w:tcW w:w="7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8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180" w:type="dxa"/>
            <w:vAlign w:val="bottom"/>
          </w:tcPr>
          <w:p>
            <w:pPr>
              <w:spacing w:after="0"/>
              <w:rPr>
                <w:sz w:val="18"/>
                <w:szCs w:val="18"/>
                <w:color w:val="auto"/>
              </w:rPr>
            </w:pPr>
          </w:p>
        </w:tc>
        <w:tc>
          <w:tcPr>
            <w:tcW w:w="620" w:type="dxa"/>
            <w:vAlign w:val="bottom"/>
            <w:tcBorders>
              <w:right w:val="single" w:sz="8" w:color="auto"/>
            </w:tcBorders>
            <w:vMerge w:val="continue"/>
          </w:tcPr>
          <w:p>
            <w:pPr>
              <w:spacing w:after="0"/>
              <w:rPr>
                <w:sz w:val="18"/>
                <w:szCs w:val="18"/>
                <w:color w:val="auto"/>
              </w:rPr>
            </w:pPr>
          </w:p>
        </w:tc>
        <w:tc>
          <w:tcPr>
            <w:tcW w:w="7740" w:type="dxa"/>
            <w:vAlign w:val="bottom"/>
            <w:tcBorders>
              <w:right w:val="single" w:sz="8" w:color="auto"/>
            </w:tcBorders>
            <w:vMerge w:val="continue"/>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PERSON WITH</w:t>
            </w:r>
          </w:p>
        </w:tc>
        <w:tc>
          <w:tcPr>
            <w:tcW w:w="1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0</w:t>
            </w: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tcBorders>
              <w:lef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7740" w:type="dxa"/>
            <w:vAlign w:val="bottom"/>
            <w:tcBorders>
              <w:right w:val="single" w:sz="8" w:color="auto"/>
            </w:tcBorders>
            <w:vMerge w:val="continue"/>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89"/>
              </w:rPr>
              <w:t>10</w:t>
            </w: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77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2,851,928</w:t>
            </w:r>
          </w:p>
        </w:tc>
        <w:tc>
          <w:tcPr>
            <w:tcW w:w="8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gridSpan w:val="2"/>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11</w:t>
            </w:r>
          </w:p>
        </w:tc>
        <w:tc>
          <w:tcPr>
            <w:tcW w:w="220" w:type="dxa"/>
            <w:vAlign w:val="bottom"/>
            <w:tcBorders>
              <w:right w:val="single" w:sz="8" w:color="auto"/>
            </w:tcBorders>
          </w:tcPr>
          <w:p>
            <w:pPr>
              <w:spacing w:after="0"/>
              <w:rPr>
                <w:sz w:val="23"/>
                <w:szCs w:val="23"/>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2,851,928</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7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12</w:t>
            </w:r>
          </w:p>
        </w:tc>
        <w:tc>
          <w:tcPr>
            <w:tcW w:w="220" w:type="dxa"/>
            <w:vAlign w:val="bottom"/>
            <w:tcBorders>
              <w:right w:val="single" w:sz="8" w:color="auto"/>
            </w:tcBorders>
          </w:tcPr>
          <w:p>
            <w:pPr>
              <w:spacing w:after="0"/>
              <w:rPr>
                <w:sz w:val="24"/>
                <w:szCs w:val="24"/>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80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62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77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13</w:t>
            </w:r>
          </w:p>
        </w:tc>
        <w:tc>
          <w:tcPr>
            <w:tcW w:w="220" w:type="dxa"/>
            <w:vAlign w:val="bottom"/>
            <w:tcBorders>
              <w:right w:val="single" w:sz="8" w:color="auto"/>
            </w:tcBorders>
          </w:tcPr>
          <w:p>
            <w:pPr>
              <w:spacing w:after="0"/>
              <w:rPr>
                <w:sz w:val="23"/>
                <w:szCs w:val="23"/>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240" w:type="dxa"/>
            <w:vAlign w:val="bottom"/>
          </w:tcPr>
          <w:p>
            <w:pPr>
              <w:ind w:left="80"/>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7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14</w:t>
            </w:r>
          </w:p>
        </w:tc>
        <w:tc>
          <w:tcPr>
            <w:tcW w:w="220" w:type="dxa"/>
            <w:vAlign w:val="bottom"/>
            <w:tcBorders>
              <w:right w:val="single" w:sz="8" w:color="auto"/>
            </w:tcBorders>
          </w:tcPr>
          <w:p>
            <w:pPr>
              <w:spacing w:after="0"/>
              <w:rPr>
                <w:sz w:val="23"/>
                <w:szCs w:val="23"/>
                <w:color w:val="auto"/>
              </w:rPr>
            </w:pPr>
          </w:p>
        </w:tc>
        <w:tc>
          <w:tcPr>
            <w:tcW w:w="97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8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620" w:type="dxa"/>
            <w:vAlign w:val="bottom"/>
          </w:tcPr>
          <w:p>
            <w:pPr>
              <w:spacing w:after="0"/>
              <w:rPr>
                <w:sz w:val="20"/>
                <w:szCs w:val="20"/>
                <w:color w:val="auto"/>
              </w:rPr>
            </w:pPr>
          </w:p>
        </w:tc>
        <w:tc>
          <w:tcPr>
            <w:tcW w:w="77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620" w:type="dxa"/>
            <w:vAlign w:val="bottom"/>
            <w:tcBorders>
              <w:left w:val="single" w:sz="8" w:color="auto"/>
              <w:bottom w:val="single" w:sz="8" w:color="auto"/>
            </w:tcBorders>
          </w:tcPr>
          <w:p>
            <w:pPr>
              <w:spacing w:after="0"/>
              <w:rPr>
                <w:sz w:val="6"/>
                <w:szCs w:val="6"/>
                <w:color w:val="auto"/>
              </w:rPr>
            </w:pPr>
          </w:p>
        </w:tc>
        <w:tc>
          <w:tcPr>
            <w:tcW w:w="22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7740" w:type="dxa"/>
            <w:vAlign w:val="bottom"/>
            <w:tcBorders>
              <w:bottom w:val="single" w:sz="8" w:color="auto"/>
              <w:right w:val="single" w:sz="8" w:color="auto"/>
            </w:tcBorders>
          </w:tcPr>
          <w:p>
            <w:pPr>
              <w:spacing w:after="0"/>
              <w:rPr>
                <w:sz w:val="6"/>
                <w:szCs w:val="6"/>
                <w:color w:val="auto"/>
              </w:rPr>
            </w:pPr>
          </w:p>
        </w:tc>
        <w:tc>
          <w:tcPr>
            <w:tcW w:w="8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8"/>
        <w:spacing w:after="0" w:line="308" w:lineRule="auto"/>
        <w:tabs>
          <w:tab w:leader="none" w:pos="16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percentage is calculated based upon 48,196,387 shares of common stock, par value $0.0001 per share, of Selecta Biosciences,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as set forth in the Issuer’s Form 10-Q filed with the Securities and Exchange Commission on November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This Amendment No. 4 (“</w:t>
      </w:r>
      <w:r>
        <w:rPr>
          <w:rFonts w:ascii="Arial" w:cs="Arial" w:eastAsia="Arial" w:hAnsi="Arial"/>
          <w:sz w:val="18"/>
          <w:szCs w:val="18"/>
          <w:u w:val="single" w:color="auto"/>
          <w:color w:val="auto"/>
        </w:rPr>
        <w:t>Amendment No. 4</w:t>
      </w:r>
      <w:r>
        <w:rPr>
          <w:rFonts w:ascii="Arial" w:cs="Arial" w:eastAsia="Arial" w:hAnsi="Arial"/>
          <w:sz w:val="18"/>
          <w:szCs w:val="18"/>
          <w:color w:val="auto"/>
        </w:rPr>
        <w:t>”) to Schedule 13D supplements and amends the Statement on Schedule 13D of OrbiMed Advisors LLC and OrbiMed Capital GP III LLC (the “</w:t>
      </w:r>
      <w:r>
        <w:rPr>
          <w:rFonts w:ascii="Arial" w:cs="Arial" w:eastAsia="Arial" w:hAnsi="Arial"/>
          <w:sz w:val="18"/>
          <w:szCs w:val="18"/>
          <w:u w:val="single" w:color="auto"/>
          <w:color w:val="auto"/>
        </w:rPr>
        <w:t>Statement</w:t>
      </w:r>
      <w:r>
        <w:rPr>
          <w:rFonts w:ascii="Arial" w:cs="Arial" w:eastAsia="Arial" w:hAnsi="Arial"/>
          <w:sz w:val="18"/>
          <w:szCs w:val="18"/>
          <w:color w:val="auto"/>
        </w:rPr>
        <w:t>”) originally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July 7, 2016 with Samuel D. Isaly as an additional reporting person, and amended by Amendment No. 1 thereto filed with the SEC on August 15, 2017, Amendment No. 2 filed on January 26, 2018, and Amendment No. 3 filed on October 25, 2018. This Statement relates to the common stock, par value $0.0001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Selecta Biosciences, Inc., a corporation organized under the laws of Delaware (the “</w:t>
      </w:r>
      <w:r>
        <w:rPr>
          <w:rFonts w:ascii="Arial" w:cs="Arial" w:eastAsia="Arial" w:hAnsi="Arial"/>
          <w:sz w:val="18"/>
          <w:szCs w:val="18"/>
          <w:u w:val="single" w:color="auto"/>
          <w:color w:val="auto"/>
        </w:rPr>
        <w:t>Issuer</w:t>
      </w:r>
      <w:r>
        <w:rPr>
          <w:rFonts w:ascii="Arial" w:cs="Arial" w:eastAsia="Arial" w:hAnsi="Arial"/>
          <w:sz w:val="18"/>
          <w:szCs w:val="18"/>
          <w:color w:val="auto"/>
        </w:rPr>
        <w:t>”), with its principal executive offices located at 480 Arsenal Way, Watertown, Massachusetts 02472. Information given in response to each item shall be deemed incorporated by reference in all other items, as applicable.</w:t>
      </w:r>
    </w:p>
    <w:p>
      <w:pPr>
        <w:spacing w:after="0" w:line="18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On November 8, 2019, the Issuer filed its Form 10-Q for the quarterly period ended September 30, 2019, which indicated that the Issuer had increased its total number of outstanding Shares to 48,196,387 (the “</w:t>
      </w:r>
      <w:r>
        <w:rPr>
          <w:rFonts w:ascii="Arial" w:cs="Arial" w:eastAsia="Arial" w:hAnsi="Arial"/>
          <w:sz w:val="18"/>
          <w:szCs w:val="18"/>
          <w:u w:val="single" w:color="auto"/>
          <w:color w:val="auto"/>
        </w:rPr>
        <w:t>Outstanding Share Increase</w:t>
      </w:r>
      <w:r>
        <w:rPr>
          <w:rFonts w:ascii="Arial" w:cs="Arial" w:eastAsia="Arial" w:hAnsi="Arial"/>
          <w:sz w:val="18"/>
          <w:szCs w:val="18"/>
          <w:color w:val="auto"/>
        </w:rPr>
        <w:t>”). As a result of the Outstanding Share Increase, the percentage of outstanding Shares that the Reporting Persons (as defined below) may be deemed to beneficially own was reduced by more than one percent of the Issuer’s Shares outstanding since the filing of the Amendment No.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83" w:lineRule="exact"/>
        <w:rPr>
          <w:sz w:val="20"/>
          <w:szCs w:val="20"/>
          <w:color w:val="auto"/>
        </w:rPr>
      </w:pPr>
    </w:p>
    <w:p>
      <w:pPr>
        <w:jc w:val="both"/>
        <w:ind w:firstLine="368"/>
        <w:spacing w:after="0" w:line="264" w:lineRule="auto"/>
        <w:tabs>
          <w:tab w:leader="none" w:pos="132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Amendment No. 4 is being filed by OrbiMed Advisors LLC (“</w:t>
      </w:r>
      <w:r>
        <w:rPr>
          <w:rFonts w:ascii="Arial" w:cs="Arial" w:eastAsia="Arial" w:hAnsi="Arial"/>
          <w:sz w:val="18"/>
          <w:szCs w:val="18"/>
          <w:u w:val="single" w:color="auto"/>
          <w:color w:val="auto"/>
        </w:rPr>
        <w:t>Advisors</w:t>
      </w:r>
      <w:r>
        <w:rPr>
          <w:rFonts w:ascii="Arial" w:cs="Arial" w:eastAsia="Arial" w:hAnsi="Arial"/>
          <w:sz w:val="18"/>
          <w:szCs w:val="18"/>
          <w:color w:val="auto"/>
        </w:rPr>
        <w:t>”), a limited liability company organized under the laws of Delaware, and OrbiMed Capital GP III LLC (“</w:t>
      </w:r>
      <w:r>
        <w:rPr>
          <w:rFonts w:ascii="Arial" w:cs="Arial" w:eastAsia="Arial" w:hAnsi="Arial"/>
          <w:sz w:val="18"/>
          <w:szCs w:val="18"/>
          <w:u w:val="single" w:color="auto"/>
          <w:color w:val="auto"/>
        </w:rPr>
        <w:t>GP III</w:t>
      </w:r>
      <w:r>
        <w:rPr>
          <w:rFonts w:ascii="Arial" w:cs="Arial" w:eastAsia="Arial" w:hAnsi="Arial"/>
          <w:sz w:val="18"/>
          <w:szCs w:val="18"/>
          <w:color w:val="auto"/>
        </w:rPr>
        <w:t>”), a limited liability company organized under the laws of Delaware (collectively, the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jc w:val="both"/>
        <w:ind w:firstLine="368"/>
        <w:spacing w:after="0" w:line="259" w:lineRule="auto"/>
        <w:tabs>
          <w:tab w:leader="none" w:pos="622" w:val="left"/>
        </w:tabs>
        <w:numPr>
          <w:ilvl w:val="0"/>
          <w:numId w:val="2"/>
        </w:numPr>
        <w:rPr>
          <w:rFonts w:ascii="Arial" w:cs="Arial" w:eastAsia="Arial" w:hAnsi="Arial"/>
          <w:sz w:val="18"/>
          <w:szCs w:val="18"/>
          <w:color w:val="auto"/>
        </w:rPr>
      </w:pPr>
      <w:r>
        <w:rPr>
          <w:rFonts w:ascii="Arial" w:cs="Arial" w:eastAsia="Arial" w:hAnsi="Arial"/>
          <w:sz w:val="18"/>
          <w:szCs w:val="18"/>
          <w:color w:val="auto"/>
        </w:rPr>
        <w:t>– (c), (f) Advisors, a registered investment adviser under the Investment Advisers Act of 1940, as amended, is the sole general partner of OrbiMed Associates III, LP (“</w:t>
      </w:r>
      <w:r>
        <w:rPr>
          <w:rFonts w:ascii="Arial" w:cs="Arial" w:eastAsia="Arial" w:hAnsi="Arial"/>
          <w:sz w:val="18"/>
          <w:szCs w:val="18"/>
          <w:u w:val="single" w:color="auto"/>
          <w:color w:val="auto"/>
        </w:rPr>
        <w:t>Associates III</w:t>
      </w:r>
      <w:r>
        <w:rPr>
          <w:rFonts w:ascii="Arial" w:cs="Arial" w:eastAsia="Arial" w:hAnsi="Arial"/>
          <w:sz w:val="18"/>
          <w:szCs w:val="18"/>
          <w:color w:val="auto"/>
        </w:rPr>
        <w:t>”) and the sole managing member of GP III, which is the sole general partner of OrbiMed Private Investments III, LP (“</w:t>
      </w:r>
      <w:r>
        <w:rPr>
          <w:rFonts w:ascii="Arial" w:cs="Arial" w:eastAsia="Arial" w:hAnsi="Arial"/>
          <w:sz w:val="18"/>
          <w:szCs w:val="18"/>
          <w:u w:val="single" w:color="auto"/>
          <w:color w:val="auto"/>
        </w:rPr>
        <w:t>OPI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OPI III and Associates III hold Shares as described herein. Advisors and GP III have their principal offices at 601 Lexington Avenue, 54th Floor, New York, New York 10022.</w:t>
      </w:r>
    </w:p>
    <w:p>
      <w:pPr>
        <w:spacing w:after="0" w:line="21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directors and executive officers of Advisors and GP III are set forth on Schedules I and II, attached hereto. Schedules I and II set forth the following information with respect to each such person:</w:t>
      </w:r>
    </w:p>
    <w:p>
      <w:pPr>
        <w:spacing w:after="0" w:line="197" w:lineRule="exact"/>
        <w:rPr>
          <w:sz w:val="20"/>
          <w:szCs w:val="20"/>
          <w:color w:val="auto"/>
        </w:rPr>
      </w:pPr>
    </w:p>
    <w:p>
      <w:pPr>
        <w:ind w:left="820" w:hanging="44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w:t>
      </w:r>
    </w:p>
    <w:p>
      <w:pPr>
        <w:spacing w:after="0" w:line="279" w:lineRule="exact"/>
        <w:rPr>
          <w:rFonts w:ascii="Arial" w:cs="Arial" w:eastAsia="Arial" w:hAnsi="Arial"/>
          <w:sz w:val="18"/>
          <w:szCs w:val="18"/>
          <w:color w:val="auto"/>
        </w:rPr>
      </w:pPr>
    </w:p>
    <w:p>
      <w:pPr>
        <w:ind w:left="820" w:hanging="44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address;</w:t>
      </w:r>
    </w:p>
    <w:p>
      <w:pPr>
        <w:spacing w:after="0" w:line="279" w:lineRule="exact"/>
        <w:rPr>
          <w:rFonts w:ascii="Arial" w:cs="Arial" w:eastAsia="Arial" w:hAnsi="Arial"/>
          <w:sz w:val="18"/>
          <w:szCs w:val="18"/>
          <w:color w:val="auto"/>
        </w:rPr>
      </w:pPr>
    </w:p>
    <w:p>
      <w:pPr>
        <w:ind w:left="820" w:right="20" w:hanging="447"/>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 principal occupation or employment and the name, principal business and address of any corporation or other organization in which such employment is conducted;</w:t>
      </w:r>
    </w:p>
    <w:p>
      <w:pPr>
        <w:spacing w:after="0" w:line="197" w:lineRule="exact"/>
        <w:rPr>
          <w:rFonts w:ascii="Arial" w:cs="Arial" w:eastAsia="Arial" w:hAnsi="Arial"/>
          <w:sz w:val="18"/>
          <w:szCs w:val="18"/>
          <w:color w:val="auto"/>
        </w:rPr>
      </w:pPr>
    </w:p>
    <w:p>
      <w:pPr>
        <w:ind w:left="820" w:hanging="447"/>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306" w:lineRule="exact"/>
        <w:rPr>
          <w:rFonts w:ascii="Arial" w:cs="Arial" w:eastAsia="Arial" w:hAnsi="Arial"/>
          <w:sz w:val="18"/>
          <w:szCs w:val="18"/>
          <w:color w:val="auto"/>
        </w:rPr>
      </w:pPr>
    </w:p>
    <w:p>
      <w:pPr>
        <w:jc w:val="both"/>
        <w:ind w:firstLine="368"/>
        <w:spacing w:after="0" w:line="259"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 (e) During the last five years, neither the Reporting Persons nor any Person named in Schedule I or II have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3. </w:t>
      </w:r>
      <w:r>
        <w:rPr>
          <w:rFonts w:ascii="Arial" w:cs="Arial" w:eastAsia="Arial" w:hAnsi="Arial"/>
          <w:sz w:val="18"/>
          <w:szCs w:val="18"/>
          <w:b w:val="1"/>
          <w:bCs w:val="1"/>
          <w:color w:val="auto"/>
        </w:rPr>
        <w:t>Source and Amount of Funds or Other Consideration</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8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Shares initially had been acquired by the Reporting Persons for the purpose of making an investment in the Issuer and not with the intention of acquiring control of the Issuer’s business on behalf of OPI III or Associates III.</w:t>
      </w:r>
    </w:p>
    <w:p>
      <w:pPr>
        <w:spacing w:after="0" w:line="143"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the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138"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Except as set forth in this Amendment No. 4,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83" w:lineRule="exact"/>
        <w:rPr>
          <w:sz w:val="20"/>
          <w:szCs w:val="20"/>
          <w:color w:val="auto"/>
        </w:rPr>
      </w:pPr>
    </w:p>
    <w:p>
      <w:pPr>
        <w:jc w:val="both"/>
        <w:ind w:firstLine="368"/>
        <w:spacing w:after="0" w:line="288" w:lineRule="auto"/>
        <w:tabs>
          <w:tab w:leader="none" w:pos="605" w:val="left"/>
        </w:tabs>
        <w:numPr>
          <w:ilvl w:val="0"/>
          <w:numId w:val="7"/>
        </w:numPr>
        <w:rPr>
          <w:rFonts w:ascii="Arial" w:cs="Arial" w:eastAsia="Arial" w:hAnsi="Arial"/>
          <w:sz w:val="16"/>
          <w:szCs w:val="16"/>
          <w:color w:val="auto"/>
        </w:rPr>
      </w:pPr>
      <w:r>
        <w:rPr>
          <w:rFonts w:ascii="Arial" w:cs="Arial" w:eastAsia="Arial" w:hAnsi="Arial"/>
          <w:sz w:val="16"/>
          <w:szCs w:val="16"/>
          <w:color w:val="auto"/>
        </w:rPr>
        <w:t>– (b) As of the date of this filing, the Reporting Persons may be deemed, for purposes of Rule 13d-3 of the Act, directly or indirectly, including by reason of their mutual affiliation, to be the beneficial owners of the Shares. Based upon information contained in the Issuer’s Form 10-Q, filed with the SEC on November 8, 2019, such Shares deemed to be indirectly beneficially owned by GP III constitutes approximately 5.91% of the issued and outstanding Shares, and such Shares deemed to be indirectly beneficially owned by Advisors constitutes approximately 5.97% of the issued and outstanding Shares. Advisors, pursuant to its authority as the sole managing member of GP III, which is the sole general partner of OPI III, and as the sole general partner of Associates III, may be deemed to indirectly beneficially own the Shares held by OPI III and Associates IIII. GP III, pursuant to its authority as the general partner of OPI III, may be deemed to indirectly beneficially own the Shares held by OPI III. As a result, Advisors and GP III share the power to direct the vote and the disposition of the Shares held by OPI III described in Item 6 below, and Advisors has the power to direct the vote and the disposition of the Shares held by Associates III. Advisors exercises this investment and voting power through a management committee comprised of Carl L. Gordon, Sven H. Borho and Jonathan T. Silverstein, each of whom disclaims beneficial ownership of the Shares held by OPI III and Associates III.</w:t>
      </w:r>
    </w:p>
    <w:p>
      <w:pPr>
        <w:spacing w:after="0" w:line="196"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 addition, Advisors and GP III, pursuant to their authority under the limited partnership agreements of OPI III and/or Associates III, prior to the date of this filing, caused OPI III and Associates III, as applicable, to enter into the agreements referred to in Item 6 below.</w:t>
      </w:r>
    </w:p>
    <w:p>
      <w:pPr>
        <w:spacing w:after="0" w:line="19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 of the Reporting Persons has effected any transaction during the past sixty (60) days in 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 with Respect to Securities of the Issuer</w:t>
      </w:r>
    </w:p>
    <w:p>
      <w:pPr>
        <w:spacing w:after="0" w:line="25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addition to the relationships between the Reporting Persons described in Items 2 and 5 above, GP III is the sole general partner of OPI III, pursuant to the terms of the limited partnership agreement of OPI III. Advisors is the sole managing member of GP III, pursuant to the terms of the limited liability company agreement of GP III, and the sole general partner of Associates III, pursuant to the terms of the limited partnership agreement of Associates</w:t>
      </w:r>
    </w:p>
    <w:p>
      <w:pPr>
        <w:ind w:firstLine="8"/>
        <w:spacing w:after="0" w:line="292" w:lineRule="auto"/>
        <w:tabs>
          <w:tab w:leader="none" w:pos="2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Pursuant to these agreements and relationships, Advisors and GP III have discretionary investment management authority with respect to the assets of OPI III, and Advisors has discretionary investment management authority with respect to the assets of Associates III. Such authority includes the power of GP III and Advisors to vote and otherwise dispose of securities purchased by OPI III, and the power of Advisors to vote and otherwise dispose of securities purchased by Associates III. The number of outstanding Shares held by OPI III is 2,851,928 and the number of outstanding Shares held by Associates III is 27,136. Advisors may be considered to hold indirectly 2,879,064 Shares, and GP III may be considered to hold indirectly 2,851,928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380" w:type="dxa"/>
            <w:vAlign w:val="bottom"/>
          </w:tcPr>
          <w:p>
            <w:pPr>
              <w:ind w:left="2480"/>
              <w:spacing w:after="0"/>
              <w:rPr>
                <w:sz w:val="20"/>
                <w:szCs w:val="20"/>
                <w:color w:val="auto"/>
              </w:rPr>
            </w:pPr>
            <w:r>
              <w:rPr>
                <w:rFonts w:ascii="Arial" w:cs="Arial" w:eastAsia="Arial" w:hAnsi="Arial"/>
                <w:sz w:val="18"/>
                <w:szCs w:val="18"/>
                <w:b w:val="1"/>
                <w:bCs w:val="1"/>
                <w:color w:val="auto"/>
                <w:w w:val="88"/>
              </w:rPr>
              <w:t>Description</w:t>
            </w:r>
          </w:p>
        </w:tc>
      </w:tr>
    </w:tbl>
    <w:p>
      <w:pPr>
        <w:spacing w:after="0" w:line="148" w:lineRule="exact"/>
        <w:rPr>
          <w:sz w:val="20"/>
          <w:szCs w:val="20"/>
          <w:color w:val="auto"/>
        </w:rPr>
      </w:pPr>
    </w:p>
    <w:p>
      <w:pPr>
        <w:ind w:left="1260" w:hanging="732"/>
        <w:spacing w:after="0"/>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Joint Filing Agreement among OrbiMed Advisors LLC and OrbiMed Capital GP III LLC.</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13, 2019</w:t>
      </w:r>
    </w:p>
    <w:p>
      <w:pPr>
        <w:spacing w:after="0" w:line="200" w:lineRule="exact"/>
        <w:rPr>
          <w:sz w:val="20"/>
          <w:szCs w:val="20"/>
          <w:color w:val="auto"/>
        </w:rPr>
      </w:pPr>
    </w:p>
    <w:p>
      <w:pPr>
        <w:spacing w:after="0" w:line="24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OrbiMed Advisors LLC</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40640</wp:posOffset>
            </wp:positionV>
            <wp:extent cx="27444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4470" cy="17145"/>
                    </a:xfrm>
                    <a:prstGeom prst="rect">
                      <a:avLst/>
                    </a:prstGeom>
                    <a:noFill/>
                  </pic:spPr>
                </pic:pic>
              </a:graphicData>
            </a:graphic>
          </wp:anchor>
        </w:drawing>
      </w:r>
    </w:p>
    <w:p>
      <w:pPr>
        <w:spacing w:after="0" w:line="57" w:lineRule="exact"/>
        <w:rPr>
          <w:sz w:val="20"/>
          <w:szCs w:val="20"/>
          <w:color w:val="auto"/>
        </w:rPr>
      </w:pPr>
    </w:p>
    <w:p>
      <w:pPr>
        <w:ind w:left="6540"/>
        <w:spacing w:after="0"/>
        <w:tabs>
          <w:tab w:leader="none" w:pos="7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Carl L. Gordon</w:t>
      </w:r>
    </w:p>
    <w:p>
      <w:pPr>
        <w:spacing w:after="0" w:line="23"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8"/>
          <w:szCs w:val="18"/>
          <w:color w:val="auto"/>
        </w:rPr>
        <w:t>Title:</w:t>
        <w:tab/>
        <w:t>Member of OrbiMed Advisors LLC</w:t>
      </w:r>
    </w:p>
    <w:p>
      <w:pPr>
        <w:spacing w:after="0" w:line="200" w:lineRule="exact"/>
        <w:rPr>
          <w:sz w:val="20"/>
          <w:szCs w:val="20"/>
          <w:color w:val="auto"/>
        </w:rPr>
      </w:pPr>
    </w:p>
    <w:p>
      <w:pPr>
        <w:spacing w:after="0" w:line="3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OrbiMed Capital GP III LLC</w:t>
      </w:r>
    </w:p>
    <w:p>
      <w:pPr>
        <w:spacing w:after="0" w:line="27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8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40640</wp:posOffset>
            </wp:positionV>
            <wp:extent cx="31045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04515" cy="17145"/>
                    </a:xfrm>
                    <a:prstGeom prst="rect">
                      <a:avLst/>
                    </a:prstGeom>
                    <a:noFill/>
                  </pic:spPr>
                </pic:pic>
              </a:graphicData>
            </a:graphic>
          </wp:anchor>
        </w:drawing>
      </w:r>
    </w:p>
    <w:p>
      <w:pPr>
        <w:spacing w:after="0" w:line="57" w:lineRule="exact"/>
        <w:rPr>
          <w:sz w:val="20"/>
          <w:szCs w:val="20"/>
          <w:color w:val="auto"/>
        </w:rPr>
      </w:pPr>
    </w:p>
    <w:p>
      <w:pPr>
        <w:ind w:left="6540"/>
        <w:spacing w:after="0"/>
        <w:tabs>
          <w:tab w:leader="none" w:pos="7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Carl L. Gordon</w:t>
      </w:r>
    </w:p>
    <w:p>
      <w:pPr>
        <w:spacing w:after="0" w:line="36"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Schedule I</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name and present principal occupation of each of the executive officers and directors of OrbiMed Advisors LLC are set forth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below. Unless otherwise noted, each of these persons are United States citizens and have as their business address 601 Lexington Avenue, 54th Floor,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York, NY 10022.</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600" w:type="dxa"/>
            <w:vAlign w:val="bottom"/>
            <w:tcBorders>
              <w:top w:val="single" w:sz="8" w:color="auto"/>
              <w:left w:val="single" w:sz="8" w:color="auto"/>
              <w:right w:val="single" w:sz="8" w:color="auto"/>
            </w:tcBorders>
          </w:tcPr>
          <w:p>
            <w:pPr>
              <w:spacing w:after="0"/>
              <w:rPr>
                <w:sz w:val="23"/>
                <w:szCs w:val="23"/>
                <w:color w:val="auto"/>
              </w:rPr>
            </w:pPr>
          </w:p>
        </w:tc>
        <w:tc>
          <w:tcPr>
            <w:tcW w:w="342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Position with Reporting</w:t>
            </w:r>
          </w:p>
        </w:tc>
        <w:tc>
          <w:tcPr>
            <w:tcW w:w="3400" w:type="dxa"/>
            <w:vAlign w:val="bottom"/>
            <w:tcBorders>
              <w:top w:val="single" w:sz="8" w:color="auto"/>
              <w:right w:val="single" w:sz="8" w:color="auto"/>
            </w:tcBorders>
          </w:tcPr>
          <w:p>
            <w:pPr>
              <w:spacing w:after="0"/>
              <w:rPr>
                <w:sz w:val="23"/>
                <w:szCs w:val="23"/>
                <w:color w:val="auto"/>
              </w:rPr>
            </w:pPr>
          </w:p>
        </w:tc>
      </w:tr>
      <w:tr>
        <w:trPr>
          <w:trHeight w:val="230"/>
        </w:trPr>
        <w:tc>
          <w:tcPr>
            <w:tcW w:w="4600" w:type="dxa"/>
            <w:vAlign w:val="bottom"/>
            <w:tcBorders>
              <w:left w:val="single" w:sz="8" w:color="auto"/>
              <w:right w:val="single" w:sz="8" w:color="auto"/>
            </w:tcBorders>
          </w:tcPr>
          <w:p>
            <w:pPr>
              <w:ind w:left="2080"/>
              <w:spacing w:after="0"/>
              <w:rPr>
                <w:sz w:val="20"/>
                <w:szCs w:val="20"/>
                <w:color w:val="auto"/>
              </w:rPr>
            </w:pPr>
            <w:r>
              <w:rPr>
                <w:rFonts w:ascii="Arial" w:cs="Arial" w:eastAsia="Arial" w:hAnsi="Arial"/>
                <w:sz w:val="18"/>
                <w:szCs w:val="18"/>
                <w:color w:val="auto"/>
              </w:rPr>
              <w:t>Name</w:t>
            </w:r>
          </w:p>
        </w:tc>
        <w:tc>
          <w:tcPr>
            <w:tcW w:w="342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Person</w:t>
            </w:r>
          </w:p>
        </w:tc>
        <w:tc>
          <w:tcPr>
            <w:tcW w:w="34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Principal Occupation</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Carl L. Gordon</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Sven H. Borho</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 and Swedish Citizen</w:t>
            </w: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Jonathan T. Silverstein</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 Carter Neild</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Geoffrey C. Hsu</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 Scotland Stevens</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Trey Block</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3262"/>
        </w:trPr>
        <w:tc>
          <w:tcPr>
            <w:tcW w:w="46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business and operations of OrbiMed Capital GP III LLC are managed by the executive officers and directors of its managing member, OrbiMed Advisors LLC, set forth on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3084830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8" w:name="page9"/>
    <w:bookmarkEnd w:id="8"/>
    <w:p>
      <w:pPr>
        <w:ind w:left="466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172085</wp:posOffset>
            </wp:positionV>
            <wp:extent cx="7246620"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360" w:type="dxa"/>
            <w:vAlign w:val="bottom"/>
          </w:tcPr>
          <w:p>
            <w:pPr>
              <w:ind w:left="2480"/>
              <w:spacing w:after="0"/>
              <w:rPr>
                <w:sz w:val="20"/>
                <w:szCs w:val="20"/>
                <w:color w:val="auto"/>
              </w:rPr>
            </w:pPr>
            <w:r>
              <w:rPr>
                <w:rFonts w:ascii="Arial" w:cs="Arial" w:eastAsia="Arial" w:hAnsi="Arial"/>
                <w:sz w:val="18"/>
                <w:szCs w:val="18"/>
                <w:b w:val="1"/>
                <w:bCs w:val="1"/>
                <w:color w:val="auto"/>
                <w:w w:val="86"/>
              </w:rPr>
              <w:t>Description</w:t>
            </w:r>
          </w:p>
        </w:tc>
      </w:tr>
    </w:tbl>
    <w:p>
      <w:pPr>
        <w:spacing w:after="0" w:line="148" w:lineRule="exact"/>
        <w:rPr>
          <w:sz w:val="20"/>
          <w:szCs w:val="20"/>
          <w:color w:val="auto"/>
        </w:rPr>
      </w:pPr>
    </w:p>
    <w:p>
      <w:pPr>
        <w:ind w:left="1000" w:hanging="778"/>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Joint Filing Agreement among OrbiMed Advisors LLC and OrbiMed Capital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1684655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9859"/>
          </w:cols>
          <w:pgMar w:left="600" w:top="580" w:right="1440" w:bottom="1440" w:gutter="0" w:footer="0" w:header="0"/>
        </w:sectPr>
      </w:pPr>
    </w:p>
    <w:bookmarkStart w:id="9" w:name="page10"/>
    <w:bookmarkEnd w:id="9"/>
    <w:p>
      <w:pPr>
        <w:ind w:left="10520"/>
        <w:spacing w:after="0"/>
        <w:rPr>
          <w:sz w:val="20"/>
          <w:szCs w:val="20"/>
          <w:color w:val="auto"/>
        </w:rPr>
      </w:pPr>
      <w:r>
        <w:rPr>
          <w:rFonts w:ascii="Arial" w:cs="Arial" w:eastAsia="Arial" w:hAnsi="Arial"/>
          <w:sz w:val="18"/>
          <w:szCs w:val="18"/>
          <w:b w:val="1"/>
          <w:bCs w:val="1"/>
          <w:color w:val="auto"/>
        </w:rPr>
        <w:t>EXHIBIT 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1426"/>
        <w:spacing w:after="0" w:line="297" w:lineRule="auto"/>
        <w:rPr>
          <w:sz w:val="20"/>
          <w:szCs w:val="20"/>
          <w:color w:val="auto"/>
        </w:rPr>
      </w:pPr>
      <w:r>
        <w:rPr>
          <w:rFonts w:ascii="Arial" w:cs="Arial" w:eastAsia="Arial" w:hAnsi="Arial"/>
          <w:sz w:val="16"/>
          <w:szCs w:val="16"/>
          <w:color w:val="auto"/>
        </w:rPr>
        <w:t>The undersigned hereby agree that the Statement on this Schedule 13D, dated November 13, 2019 (the “</w:t>
      </w:r>
      <w:r>
        <w:rPr>
          <w:rFonts w:ascii="Arial" w:cs="Arial" w:eastAsia="Arial" w:hAnsi="Arial"/>
          <w:sz w:val="16"/>
          <w:szCs w:val="16"/>
          <w:u w:val="single" w:color="auto"/>
          <w:color w:val="auto"/>
        </w:rPr>
        <w:t>Schedule 13D</w:t>
      </w:r>
      <w:r>
        <w:rPr>
          <w:rFonts w:ascii="Arial" w:cs="Arial" w:eastAsia="Arial" w:hAnsi="Arial"/>
          <w:sz w:val="16"/>
          <w:szCs w:val="16"/>
          <w:color w:val="auto"/>
        </w:rPr>
        <w:t>”), with respect to the Common Stock, of Selecta Biosciences, Inc. is filed on behalf of each of us pursuant to and in accordance with the provisions of Rule 13d-1(k) under the Securities Exchange Act of 1934, as amended, and that this Agreement shall be included as an Exhibit to this Schedule 13D. Each of the undersigned agrees to be responsible for the timely filing of the Schedule 13D, and for the completeness and accuracy of the information concerning itself contained therein. This Agreement may be executed in any number of counterparts, all of which taken together shall constitute one and the same instrument.</w:t>
      </w:r>
    </w:p>
    <w:p>
      <w:pPr>
        <w:spacing w:after="0" w:line="1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 WITNESS WHEREOF, the undersigned have executed this Agreement as of the 13</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2019.</w:t>
      </w:r>
    </w:p>
    <w:p>
      <w:pPr>
        <w:spacing w:after="0" w:line="1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OrbiMed Advisors LLC</w:t>
      </w:r>
    </w:p>
    <w:p>
      <w:pPr>
        <w:spacing w:after="0" w:line="252" w:lineRule="exact"/>
        <w:rPr>
          <w:sz w:val="20"/>
          <w:szCs w:val="20"/>
          <w:color w:val="auto"/>
        </w:rPr>
      </w:pPr>
    </w:p>
    <w:p>
      <w:pPr>
        <w:ind w:left="6060"/>
        <w:spacing w:after="0"/>
        <w:tabs>
          <w:tab w:leader="none" w:pos="6500" w:val="left"/>
        </w:tabs>
        <w:rPr>
          <w:sz w:val="20"/>
          <w:szCs w:val="20"/>
          <w:color w:val="auto"/>
        </w:rPr>
      </w:pPr>
      <w:r>
        <w:rPr>
          <w:rFonts w:ascii="Arial" w:cs="Arial" w:eastAsia="Arial" w:hAnsi="Arial"/>
          <w:sz w:val="18"/>
          <w:szCs w:val="18"/>
          <w:color w:val="auto"/>
        </w:rPr>
        <w:t>By:</w:t>
        <w:tab/>
        <w:t>/s/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40640</wp:posOffset>
            </wp:positionV>
            <wp:extent cx="27527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57" w:lineRule="exact"/>
        <w:rPr>
          <w:sz w:val="20"/>
          <w:szCs w:val="20"/>
          <w:color w:val="auto"/>
        </w:rPr>
      </w:pPr>
    </w:p>
    <w:p>
      <w:pPr>
        <w:ind w:left="6520"/>
        <w:spacing w:after="0"/>
        <w:tabs>
          <w:tab w:leader="none" w:pos="7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Carl L. Gordon</w:t>
      </w:r>
    </w:p>
    <w:p>
      <w:pPr>
        <w:spacing w:after="0" w:line="23"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Member of OrbiMed Advisors LLC</w:t>
      </w:r>
    </w:p>
    <w:p>
      <w:pPr>
        <w:spacing w:after="0" w:line="200" w:lineRule="exact"/>
        <w:rPr>
          <w:sz w:val="20"/>
          <w:szCs w:val="20"/>
          <w:color w:val="auto"/>
        </w:rPr>
      </w:pPr>
    </w:p>
    <w:p>
      <w:pPr>
        <w:spacing w:after="0" w:line="3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OrbiMed Capital GP III LLC</w:t>
      </w:r>
    </w:p>
    <w:p>
      <w:pPr>
        <w:spacing w:after="0" w:line="279" w:lineRule="exact"/>
        <w:rPr>
          <w:sz w:val="20"/>
          <w:szCs w:val="20"/>
          <w:color w:val="auto"/>
        </w:rPr>
      </w:pPr>
    </w:p>
    <w:p>
      <w:pPr>
        <w:ind w:left="6060"/>
        <w:spacing w:after="0"/>
        <w:tabs>
          <w:tab w:leader="none" w:pos="6500" w:val="left"/>
        </w:tabs>
        <w:rPr>
          <w:sz w:val="20"/>
          <w:szCs w:val="20"/>
          <w:color w:val="auto"/>
        </w:rPr>
      </w:pPr>
      <w:r>
        <w:rPr>
          <w:rFonts w:ascii="Arial" w:cs="Arial" w:eastAsia="Arial" w:hAnsi="Arial"/>
          <w:sz w:val="18"/>
          <w:szCs w:val="18"/>
          <w:color w:val="auto"/>
        </w:rPr>
        <w:t>By:</w:t>
        <w:tab/>
        <w:t>OrbiMed Advisors LLC</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its Managing Member</w:t>
      </w:r>
    </w:p>
    <w:p>
      <w:pPr>
        <w:spacing w:after="0" w:line="200" w:lineRule="exact"/>
        <w:rPr>
          <w:sz w:val="20"/>
          <w:szCs w:val="20"/>
          <w:color w:val="auto"/>
        </w:rPr>
      </w:pPr>
    </w:p>
    <w:p>
      <w:pPr>
        <w:spacing w:after="0" w:line="281" w:lineRule="exact"/>
        <w:rPr>
          <w:sz w:val="20"/>
          <w:szCs w:val="20"/>
          <w:color w:val="auto"/>
        </w:rPr>
      </w:pPr>
    </w:p>
    <w:p>
      <w:pPr>
        <w:ind w:left="6060"/>
        <w:spacing w:after="0"/>
        <w:tabs>
          <w:tab w:leader="none" w:pos="6500" w:val="left"/>
        </w:tabs>
        <w:rPr>
          <w:sz w:val="20"/>
          <w:szCs w:val="20"/>
          <w:color w:val="auto"/>
        </w:rPr>
      </w:pPr>
      <w:r>
        <w:rPr>
          <w:rFonts w:ascii="Arial" w:cs="Arial" w:eastAsia="Arial" w:hAnsi="Arial"/>
          <w:sz w:val="18"/>
          <w:szCs w:val="18"/>
          <w:color w:val="auto"/>
        </w:rPr>
        <w:t>By:</w:t>
        <w:tab/>
        <w:t>/s/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40640</wp:posOffset>
            </wp:positionV>
            <wp:extent cx="31127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57" w:lineRule="exact"/>
        <w:rPr>
          <w:sz w:val="20"/>
          <w:szCs w:val="20"/>
          <w:color w:val="auto"/>
        </w:rPr>
      </w:pPr>
    </w:p>
    <w:p>
      <w:pPr>
        <w:ind w:left="6520"/>
        <w:spacing w:after="0"/>
        <w:tabs>
          <w:tab w:leader="none" w:pos="7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Carl L. Gordon</w:t>
      </w:r>
    </w:p>
    <w:p>
      <w:pPr>
        <w:spacing w:after="0" w:line="36" w:lineRule="exact"/>
        <w:rPr>
          <w:sz w:val="20"/>
          <w:szCs w:val="20"/>
          <w:color w:val="auto"/>
        </w:rPr>
      </w:pPr>
    </w:p>
    <w:p>
      <w:pPr>
        <w:ind w:left="6520"/>
        <w:spacing w:after="0"/>
        <w:tabs>
          <w:tab w:leader="none" w:pos="7080" w:val="left"/>
        </w:tabs>
        <w:rPr>
          <w:sz w:val="20"/>
          <w:szCs w:val="20"/>
          <w:color w:val="auto"/>
        </w:rPr>
      </w:pPr>
      <w:r>
        <w:rPr>
          <w:rFonts w:ascii="Arial" w:cs="Arial" w:eastAsia="Arial" w:hAnsi="Arial"/>
          <w:sz w:val="18"/>
          <w:szCs w:val="18"/>
          <w:color w:val="auto"/>
        </w:rPr>
        <w:t>Title:</w:t>
        <w:tab/>
        <w:t>Member of OrbiMed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1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9"/>
    </w:lvl>
    <w:lvl w:ilvl="1">
      <w:lvlJc w:val="left"/>
      <w:lvlText w:val="%2"/>
      <w:numFmt w:val="lowerRoman"/>
      <w:start w:val="1"/>
    </w:lvl>
  </w:abstractNum>
  <w:abstractNum w:abstractNumId="3">
    <w:nsid w:val="7545E146"/>
    <w:multiLevelType w:val="hybridMultilevel"/>
    <w:lvl w:ilvl="0">
      <w:lvlJc w:val="left"/>
      <w:lvlText w:val="(%1)"/>
      <w:numFmt w:val="lowerLetter"/>
      <w:start w:val="35"/>
    </w:lvl>
    <w:lvl w:ilvl="1">
      <w:lvlJc w:val="left"/>
      <w:lvlText w:val="%2"/>
      <w:numFmt w:val="lowerRoman"/>
      <w:start w:val="1"/>
    </w:lvl>
  </w:abstractNum>
  <w:abstractNum w:abstractNumId="4">
    <w:nsid w:val="515F007C"/>
    <w:multiLevelType w:val="hybridMultilevel"/>
    <w:lvl w:ilvl="0">
      <w:lvlJc w:val="left"/>
      <w:lvlText w:val="(%1)"/>
      <w:numFmt w:val="lowerLetter"/>
      <w:start w:val="61"/>
    </w:lvl>
    <w:lvl w:ilvl="1">
      <w:lvlJc w:val="left"/>
      <w:lvlText w:val="(%2)"/>
      <w:numFmt w:val="lowerRoman"/>
      <w:start w:val="4"/>
    </w:lvl>
  </w:abstractNum>
  <w:abstractNum w:abstractNumId="5">
    <w:nsid w:val="5BD062C2"/>
    <w:multiLevelType w:val="hybridMultilevel"/>
    <w:lvl w:ilvl="0">
      <w:lvlJc w:val="left"/>
      <w:lvlText w:val="(%1)"/>
      <w:numFmt w:val="lowerLetter"/>
      <w:start w:val="4"/>
    </w:lvl>
    <w:lvl w:ilvl="1">
      <w:lvlJc w:val="left"/>
      <w:lvlText w:val="%2"/>
      <w:numFmt w:val="lowerRoman"/>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3"/>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upperLetter"/>
      <w:start w:val="6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2019-11-28T07:29:53Z</dcterms:created>
  <dcterms:modified xsi:type="dcterms:W3CDTF">2019-11-28T07:29:53Z</dcterms:modified>
</cp:coreProperties>
</file>