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132"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0" w:lineRule="exact"/>
        <w:rPr>
          <w:sz w:val="24"/>
          <w:szCs w:val="24"/>
          <w:color w:val="auto"/>
        </w:rPr>
      </w:pPr>
    </w:p>
    <w:p>
      <w:pPr>
        <w:ind w:left="20"/>
        <w:spacing w:after="0" w:line="207" w:lineRule="exact"/>
        <w:tabs>
          <w:tab w:leader="none" w:pos="2020" w:val="left"/>
          <w:tab w:leader="none" w:pos="4460" w:val="left"/>
          <w:tab w:leader="none" w:pos="7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100965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84455</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44" w:lineRule="exact"/>
        <w:rPr>
          <w:sz w:val="24"/>
          <w:szCs w:val="24"/>
          <w:color w:val="auto"/>
        </w:rPr>
      </w:pPr>
    </w:p>
    <w:p>
      <w:pPr>
        <w:ind w:left="36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1140" w:right="200" w:hanging="427"/>
        <w:spacing w:after="0" w:line="234" w:lineRule="auto"/>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 w:lineRule="exact"/>
        <w:rPr>
          <w:rFonts w:ascii="Arial" w:cs="Arial" w:eastAsia="Arial" w:hAnsi="Arial"/>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54" w:lineRule="auto"/>
        <w:tabs>
          <w:tab w:leader="none" w:pos="11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1140" w:hanging="427"/>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246"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You are cordially invited to attend the 2021 Annual Meeting of Stockholders of Selecta Biosciences, Inc. (the “Company”) to be held on Friday, June 18, 2021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Arial" w:cs="Arial" w:eastAsia="Arial" w:hAnsi="Arial"/>
          <w:sz w:val="17"/>
          <w:szCs w:val="17"/>
          <w:i w:val="1"/>
          <w:iCs w:val="1"/>
          <w:color w:val="auto"/>
        </w:rPr>
        <w:t>www.virtualshareholdermeeting.com/SELB2021</w:t>
      </w:r>
      <w:r>
        <w:rPr>
          <w:rFonts w:ascii="Arial" w:cs="Arial" w:eastAsia="Arial" w:hAnsi="Arial"/>
          <w:sz w:val="17"/>
          <w:szCs w:val="17"/>
          <w:color w:val="auto"/>
        </w:rPr>
        <w:t>. You will also be able to vote your shares electronically at the Annual Meeting.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be using the latest technology to increase access, to improve communication and to obtain cost savings for our stockholders and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Use of a virtual meeting will enable increased stockholder attendance and participation as stockholders can participate from any location.</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2021 Annual Meeting?” on page 3 of the Proxy Statement for more information.</w:t>
      </w:r>
    </w:p>
    <w:p>
      <w:pPr>
        <w:spacing w:after="0" w:line="7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online Annual Meeting, you will be able to vote your shares electronically, even if you have previously submitted your proxy.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Sincerely,</w:t>
            </w:r>
          </w:p>
        </w:tc>
      </w:tr>
      <w:tr>
        <w:trPr>
          <w:trHeight w:val="459"/>
        </w:trPr>
        <w:tc>
          <w:tcPr>
            <w:tcW w:w="6300" w:type="dxa"/>
            <w:vAlign w:val="bottom"/>
          </w:tcPr>
          <w:p>
            <w:pPr>
              <w:spacing w:after="0"/>
              <w:rPr>
                <w:sz w:val="20"/>
                <w:szCs w:val="20"/>
                <w:color w:val="auto"/>
              </w:rPr>
            </w:pPr>
            <w:r>
              <w:rPr>
                <w:rFonts w:ascii="Arial" w:cs="Arial" w:eastAsia="Arial" w:hAnsi="Arial"/>
                <w:sz w:val="18"/>
                <w:szCs w:val="18"/>
                <w:color w:val="auto"/>
              </w:rPr>
              <w:t>April 29, 2021</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63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 and Director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2"/>
          </w:tcPr>
          <w:p>
            <w:pPr>
              <w:ind w:left="40"/>
              <w:spacing w:after="0"/>
              <w:rPr>
                <w:sz w:val="20"/>
                <w:szCs w:val="20"/>
                <w:color w:val="auto"/>
              </w:rPr>
            </w:pPr>
            <w:r>
              <w:rPr>
                <w:rFonts w:ascii="Arial" w:cs="Arial" w:eastAsia="Arial" w:hAnsi="Arial"/>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1"/>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76"/>
              </w:rPr>
              <w:t>Page</w:t>
            </w:r>
          </w:p>
        </w:tc>
      </w:tr>
      <w:tr>
        <w:trPr>
          <w:trHeight w:val="209"/>
        </w:trPr>
        <w:tc>
          <w:tcPr>
            <w:tcW w:w="3080" w:type="dxa"/>
            <w:vAlign w:val="bottom"/>
            <w:gridSpan w:val="8"/>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Notice of Annual Meeting of Stockholders</w:t>
              </w:r>
            </w:hyperlink>
          </w:p>
        </w:tc>
        <w:tc>
          <w:tcPr>
            <w:tcW w:w="7780" w:type="dxa"/>
            <w:vAlign w:val="bottom"/>
            <w:gridSpan w:val="5"/>
          </w:tcPr>
          <w:p>
            <w:pPr>
              <w:spacing w:after="0"/>
              <w:rPr>
                <w:sz w:val="18"/>
                <w:szCs w:val="18"/>
                <w:color w:val="auto"/>
              </w:rPr>
            </w:pPr>
          </w:p>
        </w:tc>
        <w:tc>
          <w:tcPr>
            <w:tcW w:w="3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080" w:type="dxa"/>
            <w:vAlign w:val="bottom"/>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Proxy Statement</w:t>
              </w:r>
            </w:hyperlink>
          </w:p>
        </w:tc>
        <w:tc>
          <w:tcPr>
            <w:tcW w:w="7780" w:type="dxa"/>
            <w:vAlign w:val="bottom"/>
            <w:gridSpan w:val="5"/>
          </w:tcPr>
          <w:p>
            <w:pPr>
              <w:spacing w:after="0"/>
              <w:rPr>
                <w:sz w:val="18"/>
                <w:szCs w:val="18"/>
                <w:color w:val="auto"/>
              </w:rPr>
            </w:pPr>
          </w:p>
        </w:tc>
        <w:tc>
          <w:tcPr>
            <w:tcW w:w="3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6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Questions and Answers About the 2021 Annual Meeting of Stockholders</w:t>
              </w:r>
            </w:hyperlink>
          </w:p>
        </w:tc>
        <w:tc>
          <w:tcPr>
            <w:tcW w:w="34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260" w:type="dxa"/>
            <w:vAlign w:val="bottom"/>
            <w:gridSpan w:val="12"/>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Proposal No. 1</w:t>
              </w:r>
            </w:hyperlink>
          </w:p>
        </w:tc>
        <w:tc>
          <w:tcPr>
            <w:tcW w:w="5600" w:type="dxa"/>
            <w:vAlign w:val="bottom"/>
          </w:tcPr>
          <w:p>
            <w:pPr>
              <w:spacing w:after="0"/>
              <w:rPr>
                <w:sz w:val="18"/>
                <w:szCs w:val="18"/>
                <w:color w:val="auto"/>
              </w:rPr>
            </w:pPr>
          </w:p>
        </w:tc>
        <w:tc>
          <w:tcPr>
            <w:tcW w:w="34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1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Proposal No. 2</w:t>
              </w:r>
            </w:hyperlink>
          </w:p>
        </w:tc>
        <w:tc>
          <w:tcPr>
            <w:tcW w:w="34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1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Report of the Audit Committee of the Board of Directors</w:t>
              </w:r>
            </w:hyperlink>
          </w:p>
        </w:tc>
        <w:tc>
          <w:tcPr>
            <w:tcW w:w="34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r>
      <w:tr>
        <w:trPr>
          <w:trHeight w:val="20"/>
        </w:trPr>
        <w:tc>
          <w:tcPr>
            <w:tcW w:w="10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60" w:type="dxa"/>
            <w:vAlign w:val="bottom"/>
            <w:gridSpan w:val="13"/>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Independent Registered Public Accounting Firm Fees and Other Matters</w:t>
              </w:r>
            </w:hyperlink>
          </w:p>
        </w:tc>
        <w:tc>
          <w:tcPr>
            <w:tcW w:w="3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r>
      <w:tr>
        <w:trPr>
          <w:trHeight w:val="210"/>
        </w:trPr>
        <w:tc>
          <w:tcPr>
            <w:tcW w:w="13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16">
              <w:r>
                <w:rPr>
                  <w:rFonts w:ascii="Arial" w:cs="Arial" w:eastAsia="Arial" w:hAnsi="Arial"/>
                  <w:sz w:val="18"/>
                  <w:szCs w:val="18"/>
                  <w:color w:val="0000FF"/>
                  <w:w w:val="92"/>
                </w:rPr>
                <w:t>Executive Officers</w:t>
              </w:r>
            </w:hyperlink>
          </w:p>
        </w:tc>
        <w:tc>
          <w:tcPr>
            <w:tcW w:w="3900" w:type="dxa"/>
            <w:vAlign w:val="bottom"/>
            <w:tcBorders>
              <w:top w:val="single" w:sz="8" w:color="0000FF"/>
            </w:tcBorders>
            <w:gridSpan w:val="9"/>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14</w:t>
              </w:r>
            </w:hyperlink>
          </w:p>
        </w:tc>
      </w:tr>
      <w:tr>
        <w:trPr>
          <w:trHeight w:val="209"/>
        </w:trPr>
        <w:tc>
          <w:tcPr>
            <w:tcW w:w="16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17">
              <w:r>
                <w:rPr>
                  <w:rFonts w:ascii="Arial" w:cs="Arial" w:eastAsia="Arial" w:hAnsi="Arial"/>
                  <w:sz w:val="18"/>
                  <w:szCs w:val="18"/>
                  <w:color w:val="0000FF"/>
                  <w:w w:val="88"/>
                </w:rPr>
                <w:t>Corporate Governance</w:t>
              </w:r>
            </w:hyperlink>
          </w:p>
        </w:tc>
        <w:tc>
          <w:tcPr>
            <w:tcW w:w="922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209"/>
        </w:trPr>
        <w:tc>
          <w:tcPr>
            <w:tcW w:w="2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Executive and Director Compensation</w:t>
              </w:r>
            </w:hyperlink>
          </w:p>
        </w:tc>
        <w:tc>
          <w:tcPr>
            <w:tcW w:w="810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21</w:t>
              </w:r>
            </w:hyperlink>
          </w:p>
        </w:tc>
      </w:tr>
      <w:tr>
        <w:trPr>
          <w:trHeight w:val="209"/>
        </w:trPr>
        <w:tc>
          <w:tcPr>
            <w:tcW w:w="10860" w:type="dxa"/>
            <w:vAlign w:val="bottom"/>
            <w:gridSpan w:val="1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Security Ownership of Certain Beneficial Owners and Management</w:t>
              </w:r>
            </w:hyperlink>
          </w:p>
        </w:tc>
        <w:tc>
          <w:tcPr>
            <w:tcW w:w="3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9"/>
        </w:trPr>
        <w:tc>
          <w:tcPr>
            <w:tcW w:w="39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31">
              <w:r>
                <w:rPr>
                  <w:rFonts w:ascii="Arial" w:cs="Arial" w:eastAsia="Arial" w:hAnsi="Arial"/>
                  <w:sz w:val="18"/>
                  <w:szCs w:val="18"/>
                  <w:color w:val="0000FF"/>
                  <w:w w:val="88"/>
                </w:rPr>
                <w:t>Certain Relationships and Related Person Transactions</w:t>
              </w:r>
            </w:hyperlink>
          </w:p>
        </w:tc>
        <w:tc>
          <w:tcPr>
            <w:tcW w:w="920" w:type="dxa"/>
            <w:vAlign w:val="bottom"/>
            <w:tcBorders>
              <w:top w:val="single" w:sz="8" w:color="0000FF"/>
            </w:tcBorders>
            <w:gridSpan w:val="2"/>
          </w:tcPr>
          <w:p>
            <w:pPr>
              <w:spacing w:after="0"/>
              <w:rPr>
                <w:sz w:val="18"/>
                <w:szCs w:val="18"/>
                <w:color w:val="auto"/>
              </w:rPr>
            </w:pPr>
          </w:p>
        </w:tc>
        <w:tc>
          <w:tcPr>
            <w:tcW w:w="5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10"/>
        </w:trPr>
        <w:tc>
          <w:tcPr>
            <w:tcW w:w="10860" w:type="dxa"/>
            <w:vAlign w:val="bottom"/>
            <w:gridSpan w:val="1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Stockholders’ Proposals</w:t>
              </w:r>
            </w:hyperlink>
          </w:p>
        </w:tc>
        <w:tc>
          <w:tcPr>
            <w:tcW w:w="34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9"/>
        </w:trPr>
        <w:tc>
          <w:tcPr>
            <w:tcW w:w="1080" w:type="dxa"/>
            <w:vAlign w:val="bottom"/>
            <w:tcBorders>
              <w:top w:val="single" w:sz="8" w:color="0000FF"/>
              <w:bottom w:val="single" w:sz="8" w:color="0000FF"/>
            </w:tcBorders>
          </w:tcPr>
          <w:p>
            <w:pPr>
              <w:spacing w:after="0"/>
              <w:rPr>
                <w:rFonts w:ascii="Arial" w:cs="Arial" w:eastAsia="Arial" w:hAnsi="Arial"/>
                <w:sz w:val="18"/>
                <w:szCs w:val="18"/>
                <w:color w:val="0000FF"/>
                <w:w w:val="94"/>
              </w:rPr>
            </w:pPr>
            <w:hyperlink w:anchor="page34">
              <w:r>
                <w:rPr>
                  <w:rFonts w:ascii="Arial" w:cs="Arial" w:eastAsia="Arial" w:hAnsi="Arial"/>
                  <w:sz w:val="18"/>
                  <w:szCs w:val="18"/>
                  <w:color w:val="0000FF"/>
                  <w:w w:val="94"/>
                </w:rPr>
                <w:t>Other Matters</w:t>
              </w:r>
            </w:hyperlink>
          </w:p>
        </w:tc>
        <w:tc>
          <w:tcPr>
            <w:tcW w:w="660" w:type="dxa"/>
            <w:vAlign w:val="bottom"/>
            <w:tcBorders>
              <w:top w:val="single" w:sz="8" w:color="0000FF"/>
            </w:tcBorders>
            <w:gridSpan w:val="5"/>
          </w:tcPr>
          <w:p>
            <w:pPr>
              <w:spacing w:after="0"/>
              <w:rPr>
                <w:sz w:val="18"/>
                <w:szCs w:val="18"/>
                <w:color w:val="auto"/>
              </w:rPr>
            </w:pPr>
          </w:p>
        </w:tc>
        <w:tc>
          <w:tcPr>
            <w:tcW w:w="912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31</w:t>
              </w:r>
            </w:hyperlink>
          </w:p>
        </w:tc>
      </w:tr>
      <w:tr>
        <w:trPr>
          <w:trHeight w:val="209"/>
        </w:trPr>
        <w:tc>
          <w:tcPr>
            <w:tcW w:w="162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Solicitation of Proxies</w:t>
              </w:r>
            </w:hyperlink>
          </w:p>
        </w:tc>
        <w:tc>
          <w:tcPr>
            <w:tcW w:w="9240" w:type="dxa"/>
            <w:vAlign w:val="bottom"/>
            <w:gridSpan w:val="9"/>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31</w:t>
              </w:r>
            </w:hyperlink>
          </w:p>
        </w:tc>
      </w:tr>
      <w:tr>
        <w:trPr>
          <w:trHeight w:val="209"/>
        </w:trPr>
        <w:tc>
          <w:tcPr>
            <w:tcW w:w="410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Selecta Biosciences, Inc.’s Annual Report on Form 10-K</w:t>
              </w:r>
            </w:hyperlink>
          </w:p>
        </w:tc>
        <w:tc>
          <w:tcPr>
            <w:tcW w:w="67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bl>
    <w:p>
      <w:pPr>
        <w:sectPr>
          <w:pgSz w:w="11900" w:h="16838" w:orient="portrait"/>
          <w:cols w:equalWidth="0" w:num="1">
            <w:col w:w="11200"/>
          </w:cols>
          <w:pgMar w:left="340" w:top="769"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400685</wp:posOffset>
            </wp:positionV>
            <wp:extent cx="214312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June 18, 2021</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Annual Meeting of Stockholders (the “Annual Meeting”) of Selecta Biosciences, Inc., a Delaware corporation (the “Company”), will be held at</w:t>
      </w:r>
    </w:p>
    <w:p>
      <w:pPr>
        <w:spacing w:after="0" w:line="4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 xml:space="preserve">10:00 a.m., Eastern Time, on Friday, June 18, 2021, by virtual meeting online at </w:t>
      </w:r>
      <w:r>
        <w:rPr>
          <w:rFonts w:ascii="Arial" w:cs="Arial" w:eastAsia="Arial" w:hAnsi="Arial"/>
          <w:sz w:val="18"/>
          <w:szCs w:val="18"/>
          <w:i w:val="1"/>
          <w:iCs w:val="1"/>
          <w:color w:val="auto"/>
        </w:rPr>
        <w:t>www.virtualshareholdermeeting.com/SELB2021</w:t>
      </w:r>
      <w:r>
        <w:rPr>
          <w:rFonts w:ascii="Arial" w:cs="Arial" w:eastAsia="Arial" w:hAnsi="Arial"/>
          <w:sz w:val="18"/>
          <w:szCs w:val="18"/>
          <w:color w:val="auto"/>
        </w:rPr>
        <w:t>, for the following purposes:</w:t>
      </w:r>
    </w:p>
    <w:p>
      <w:pPr>
        <w:spacing w:after="0" w:line="77" w:lineRule="exact"/>
        <w:rPr>
          <w:sz w:val="20"/>
          <w:szCs w:val="20"/>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Göran Ando, M.D., Carrie S. Cox, and Aymeric Sallin as Class II Directors to serve until the 2024 Annual Meeting of Stockholders, and until their respective successors shall have been duly elected and qualified;</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Holders of record of our common stock as of the close of business on April 21, 2021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Company stock. The list of these stockholders will also be available on the bottom panel of your screen during the meeting at </w:t>
      </w:r>
      <w:r>
        <w:rPr>
          <w:rFonts w:ascii="Arial" w:cs="Arial" w:eastAsia="Arial" w:hAnsi="Arial"/>
          <w:sz w:val="18"/>
          <w:szCs w:val="18"/>
          <w:i w:val="1"/>
          <w:iCs w:val="1"/>
          <w:color w:val="auto"/>
        </w:rPr>
        <w:t>www.virtualshareholdermeeting.com/SELB2021</w:t>
      </w:r>
      <w:r>
        <w:rPr>
          <w:rFonts w:ascii="Arial" w:cs="Arial" w:eastAsia="Arial" w:hAnsi="Arial"/>
          <w:sz w:val="18"/>
          <w:szCs w:val="18"/>
          <w:color w:val="auto"/>
        </w:rPr>
        <w:t xml:space="preserve">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the novel coronavirus outbreak,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200" w:lineRule="exact"/>
        <w:rPr>
          <w:sz w:val="20"/>
          <w:szCs w:val="20"/>
          <w:color w:val="auto"/>
        </w:rPr>
      </w:pPr>
    </w:p>
    <w:p>
      <w:pPr>
        <w:spacing w:after="0" w:line="26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251"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Watertown, Massachusetts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80"/>
          </w:cols>
          <w:pgMar w:left="320" w:top="125" w:right="39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400685</wp:posOffset>
            </wp:positionV>
            <wp:extent cx="214312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Watertown, Massachusetts 02472</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This proxy statement is furnished in connection with the solicitation by the Board of Directors (the “Board of Directors”) of Selecta Biosciences, Inc. of proxies to be voted at our Annual Meeting of Stockholders to be held on Friday, June 18, 2021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7"/>
          <w:szCs w:val="17"/>
          <w:i w:val="1"/>
          <w:iCs w:val="1"/>
          <w:color w:val="auto"/>
        </w:rPr>
        <w:t xml:space="preserve">www.virtualshareholdermeeting.com/SELB2021 </w:t>
      </w:r>
      <w:r>
        <w:rPr>
          <w:rFonts w:ascii="Arial" w:cs="Arial" w:eastAsia="Arial" w:hAnsi="Arial"/>
          <w:sz w:val="17"/>
          <w:szCs w:val="17"/>
          <w:color w:val="auto"/>
        </w:rPr>
        <w:t>and entering your 16-digit control number included on your Notice of Internet Availability of Proxy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(the “Internet Notice”), on your proxy card or on the instructions that accompanied your proxy materials. Holders of record of shares of common stock, $0.0001 par value (“Common Stock”), as of the close of business on April 21, 2021 (the “Record Date”), will be entitled to notice of and to vote at the Annual Meeting and any continuation, postponement, or adjournment of the Annual Meeting. As of the Record Date, there were 113,193,597 shares of Common Stock outstanding and entitled to vote at the Annual Meeting. Each share of Common Stock is entitled to one vote on any matter presented to stockholders at the Annual Meeting.</w:t>
      </w:r>
    </w:p>
    <w:p>
      <w:pPr>
        <w:spacing w:after="0" w:line="7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This proxy statement and the Company’s Annual Report on Form 10-K for the year ended December 31, 2020 (the “2020 Annual Report”) will be released on or about April 29, 2021 to our stockholders on the Record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STOCKHOLDER MEETING TO BE HELD ON FRIDAY, JUNE 18,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Proxy Statement and our 2020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our stockholders will be asked:</w:t>
      </w:r>
    </w:p>
    <w:p>
      <w:pPr>
        <w:spacing w:after="0" w:line="117" w:lineRule="exact"/>
        <w:rPr>
          <w:sz w:val="20"/>
          <w:szCs w:val="20"/>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Göran Ando, M.D., Carrie S. Cox, and Aymeric Sallin as Class II Directors to serve until the 2024 Annual Meeting of Stockholders, and until their respective successors shall have been duly elected and qualified;</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 and</w:t>
      </w:r>
    </w:p>
    <w:p>
      <w:pPr>
        <w:spacing w:after="0" w:line="62"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Stockholders at an annual meeting will only be able to consider proposals or nominations specified in the Notice of Annual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you direct. If not otherwise specified, the shares of Common Stock represented by the proxies will be voted in accordance with the recommendations of the Board of Directors. The Board of Directors recommends that you vote:</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Göran Ando, M.D., Carrie S. Cox, and Aymeric Sallin as Class II Directors; and</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2021.</w:t>
      </w:r>
    </w:p>
    <w:p>
      <w:pPr>
        <w:spacing w:after="0" w:line="6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17" w:lineRule="exact"/>
        <w:rPr>
          <w:sz w:val="20"/>
          <w:szCs w:val="20"/>
          <w:color w:val="auto"/>
        </w:rPr>
      </w:pPr>
    </w:p>
    <w:p>
      <w:pPr>
        <w:jc w:val="both"/>
        <w:ind w:right="100" w:firstLine="324"/>
        <w:spacing w:after="0" w:line="289" w:lineRule="auto"/>
        <w:rPr>
          <w:sz w:val="20"/>
          <w:szCs w:val="20"/>
          <w:color w:val="auto"/>
        </w:rPr>
      </w:pPr>
      <w:r>
        <w:rPr>
          <w:rFonts w:ascii="Arial" w:cs="Arial" w:eastAsia="Arial" w:hAnsi="Arial"/>
          <w:sz w:val="17"/>
          <w:szCs w:val="17"/>
          <w:b w:val="1"/>
          <w:bCs w:val="1"/>
          <w:color w:val="auto"/>
        </w:rPr>
        <w:t>Why you received this Proxy Statement</w:t>
      </w:r>
      <w:r>
        <w:rPr>
          <w:rFonts w:ascii="Arial" w:cs="Arial" w:eastAsia="Arial" w:hAnsi="Arial"/>
          <w:sz w:val="17"/>
          <w:szCs w:val="17"/>
          <w:color w:val="auto"/>
        </w:rPr>
        <w:t>. You are viewing or have received these proxy materials because Selecta’s Board of Directors is soliciting</w:t>
      </w:r>
      <w:r>
        <w:rPr>
          <w:rFonts w:ascii="Arial" w:cs="Arial" w:eastAsia="Arial" w:hAnsi="Arial"/>
          <w:sz w:val="17"/>
          <w:szCs w:val="17"/>
          <w:b w:val="1"/>
          <w:bCs w:val="1"/>
          <w:color w:val="auto"/>
        </w:rPr>
        <w:t xml:space="preserve"> </w:t>
      </w:r>
      <w:r>
        <w:rPr>
          <w:rFonts w:ascii="Arial" w:cs="Arial" w:eastAsia="Arial" w:hAnsi="Arial"/>
          <w:sz w:val="17"/>
          <w:szCs w:val="17"/>
          <w:color w:val="auto"/>
        </w:rPr>
        <w:t>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50"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b w:val="1"/>
          <w:bCs w:val="1"/>
          <w:color w:val="auto"/>
        </w:rPr>
        <w:t>Notice of Internet Availability of Proxy Materials</w:t>
      </w:r>
      <w:r>
        <w:rPr>
          <w:rFonts w:ascii="Arial" w:cs="Arial" w:eastAsia="Arial" w:hAnsi="Arial"/>
          <w:sz w:val="17"/>
          <w:szCs w:val="17"/>
          <w:color w:val="auto"/>
        </w:rPr>
        <w:t>. As permitted by SEC rules, Selecta is making this proxy statement and its 2020 Annual Report</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its stockholders electronically via the Internet. On or about April 29, 2021, we mailed to our stockholders an Internet Notice containing instructions on how to access this proxy statement and our 2020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2020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64"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on the proxy card included in the materials.</w:t>
      </w:r>
    </w:p>
    <w:p>
      <w:pPr>
        <w:spacing w:after="0" w:line="5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b w:val="1"/>
          <w:bCs w:val="1"/>
          <w:color w:val="auto"/>
        </w:rPr>
        <w:t>Householding</w:t>
      </w:r>
      <w:r>
        <w:rPr>
          <w:rFonts w:ascii="Arial" w:cs="Arial" w:eastAsia="Arial" w:hAnsi="Arial"/>
          <w:sz w:val="16"/>
          <w:szCs w:val="16"/>
          <w:color w:val="auto"/>
        </w:rPr>
        <w:t>. The SEC’s rules permit us to deliver a single set of proxy materials to one address shared by two or more of our stockholders. This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2021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Record Date for the Annual Meeting is April 21, 2021.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113,193,597 shares of Common Stock outstanding and entitled to vote at the Annual Meeting.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2021 Annual Meeting?</w:t>
      </w:r>
    </w:p>
    <w:p>
      <w:pPr>
        <w:spacing w:after="0" w:line="12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You may attend the online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8"/>
          <w:szCs w:val="18"/>
          <w:i w:val="1"/>
          <w:iCs w:val="1"/>
          <w:color w:val="auto"/>
        </w:rPr>
        <w:t>www.virtualshareholdermeeting.com/SELB2021</w:t>
      </w:r>
      <w:r>
        <w:rPr>
          <w:rFonts w:ascii="Arial" w:cs="Arial" w:eastAsia="Arial" w:hAnsi="Arial"/>
          <w:sz w:val="18"/>
          <w:szCs w:val="18"/>
          <w:color w:val="auto"/>
        </w:rPr>
        <w:t>. You also will be able to vote your shares electronically at the Annual Meeting.</w:t>
      </w:r>
    </w:p>
    <w:p>
      <w:pPr>
        <w:spacing w:after="0" w:line="7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 virtual meeting?</w:t>
      </w:r>
    </w:p>
    <w:p>
      <w:pPr>
        <w:spacing w:after="0" w:line="12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Hosting a virtual meeting will enable increased stockholder attendance and participation since stockholders can participate from any location around the world. Furthermore, as part of our effort to maintain a safe and healthy environment for our directors, members of management and stockholders who wish to attend the Annual Meeting, in light of the novel coronavirus disease, COVID-19, we believe that hosting a virtual meeting is in the best interest of the Company and its stockholders. You will be able to attend the Annual Meeting online and submit your questions by visiting </w:t>
      </w:r>
      <w:r>
        <w:rPr>
          <w:rFonts w:ascii="Arial" w:cs="Arial" w:eastAsia="Arial" w:hAnsi="Arial"/>
          <w:sz w:val="17"/>
          <w:szCs w:val="17"/>
          <w:i w:val="1"/>
          <w:iCs w:val="1"/>
          <w:color w:val="auto"/>
        </w:rPr>
        <w:t>www.virtualshareholdermeeting.com/SELB2021</w:t>
      </w:r>
      <w:r>
        <w:rPr>
          <w:rFonts w:ascii="Arial" w:cs="Arial" w:eastAsia="Arial" w:hAnsi="Arial"/>
          <w:sz w:val="17"/>
          <w:szCs w:val="17"/>
          <w:color w:val="auto"/>
        </w:rPr>
        <w:t>.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during the check-in time or during the annual meeting I have technical difficulties or trouble assessing the virtual meeting website?</w:t>
      </w:r>
    </w:p>
    <w:p>
      <w:pPr>
        <w:spacing w:after="0" w:line="14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may adjourn the Annual Meeting until a quorum is present or represented.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We recommend that stockholders vote by proxy even if they plan to participate in the online Annual Meeting and vote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electronically during the meeting. If you are a stockholder of record, you may vote:</w:t>
      </w:r>
    </w:p>
    <w:p>
      <w:pPr>
        <w:spacing w:after="0" w:line="6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and following the instructions on the proxy card;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 - You can vote over the Internet at www.proxyvote.com by following the instructions on the proxy card or Internet Notice;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 or</w:t>
      </w:r>
    </w:p>
    <w:p>
      <w:pPr>
        <w:spacing w:after="0" w:line="117" w:lineRule="exact"/>
        <w:rPr>
          <w:rFonts w:ascii="Arial" w:cs="Arial" w:eastAsia="Arial" w:hAnsi="Arial"/>
          <w:sz w:val="18"/>
          <w:szCs w:val="18"/>
          <w:color w:val="auto"/>
        </w:rPr>
      </w:pPr>
    </w:p>
    <w:p>
      <w:pPr>
        <w:jc w:val="both"/>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Electronically at the Meeting - You may vote at the Annual Meeting by visiting </w:t>
      </w:r>
      <w:r>
        <w:rPr>
          <w:rFonts w:ascii="Arial" w:cs="Arial" w:eastAsia="Arial" w:hAnsi="Arial"/>
          <w:sz w:val="18"/>
          <w:szCs w:val="18"/>
          <w:i w:val="1"/>
          <w:iCs w:val="1"/>
          <w:color w:val="auto"/>
        </w:rPr>
        <w:t>www.virtualshareholdermeeting.com/SELB2021</w:t>
      </w:r>
      <w:r>
        <w:rPr>
          <w:rFonts w:ascii="Arial" w:cs="Arial" w:eastAsia="Arial" w:hAnsi="Arial"/>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18, 2021.</w:t>
      </w:r>
    </w:p>
    <w:p>
      <w:pPr>
        <w:spacing w:after="0" w:line="76"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17, 2021. To participate in the Annual Meeting, including to vote via the Internet or telephone, you will need the 16-digit control number included on your Internet Notice, on your proxy card or on the instructions that accompanied your proxy materials.</w:t>
      </w:r>
    </w:p>
    <w:p>
      <w:pPr>
        <w:spacing w:after="0" w:line="7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Beneficial Owners of Shares Held in </w:t>
      </w:r>
      <w:r>
        <w:rPr>
          <w:rFonts w:ascii="Arial" w:cs="Arial" w:eastAsia="Arial" w:hAnsi="Arial"/>
          <w:sz w:val="17"/>
          <w:szCs w:val="17"/>
          <w:color w:val="auto"/>
        </w:rPr>
        <w:t>“</w:t>
      </w:r>
      <w:r>
        <w:rPr>
          <w:rFonts w:ascii="Arial" w:cs="Arial" w:eastAsia="Arial" w:hAnsi="Arial"/>
          <w:sz w:val="17"/>
          <w:szCs w:val="17"/>
          <w:i w:val="1"/>
          <w:iCs w:val="1"/>
          <w:color w:val="auto"/>
        </w:rPr>
        <w:t>Street Name.</w:t>
      </w:r>
      <w:r>
        <w:rPr>
          <w:rFonts w:ascii="Arial" w:cs="Arial" w:eastAsia="Arial" w:hAnsi="Arial"/>
          <w:sz w:val="17"/>
          <w:szCs w:val="17"/>
          <w:color w:val="auto"/>
        </w:rPr>
        <w:t>” If your shares are held in “street name” through a bank or broker, you will receive instructions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Arial" w:cs="Arial" w:eastAsia="Arial" w:hAnsi="Arial"/>
          <w:sz w:val="17"/>
          <w:szCs w:val="17"/>
          <w:i w:val="1"/>
          <w:iCs w:val="1"/>
          <w:color w:val="auto"/>
        </w:rPr>
        <w:t>www.virtualshareholdermeeting.com/SELB2021</w:t>
      </w:r>
      <w:r>
        <w:rPr>
          <w:rFonts w:ascii="Arial" w:cs="Arial" w:eastAsia="Arial" w:hAnsi="Arial"/>
          <w:sz w:val="17"/>
          <w:szCs w:val="17"/>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the Company prior to the Annual Meeting; 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electronically at the online Annual Meeting.</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Your most recent proxy card or telephone or Internet proxy is the one that is counted. Your participation in the online Annual Meeting by itself will not revoke your proxy unless you give written notice of revocation to the Secretary before your proxy is voted or you vote electronically at the online Annual Meeting.</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electronically at the online Annual Meeting by following the instructions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21"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for the approval of the proposals to be voted upon and how will abstentions and broker non-votes be treated?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720" w:type="dxa"/>
            <w:vAlign w:val="bottom"/>
          </w:tcPr>
          <w:p>
            <w:pPr>
              <w:ind w:left="1700"/>
              <w:spacing w:after="0"/>
              <w:rPr>
                <w:sz w:val="20"/>
                <w:szCs w:val="20"/>
                <w:color w:val="auto"/>
              </w:rPr>
            </w:pPr>
            <w:r>
              <w:rPr>
                <w:rFonts w:ascii="Arial" w:cs="Arial" w:eastAsia="Arial" w:hAnsi="Arial"/>
                <w:sz w:val="18"/>
                <w:szCs w:val="18"/>
                <w:b w:val="1"/>
                <w:bCs w:val="1"/>
                <w:color w:val="auto"/>
              </w:rPr>
              <w:t>Effect of Votes</w:t>
            </w:r>
          </w:p>
        </w:tc>
        <w:tc>
          <w:tcPr>
            <w:tcW w:w="0" w:type="dxa"/>
            <w:vAlign w:val="bottom"/>
          </w:tcPr>
          <w:p>
            <w:pPr>
              <w:spacing w:after="0"/>
              <w:rPr>
                <w:sz w:val="1"/>
                <w:szCs w:val="1"/>
                <w:color w:val="auto"/>
              </w:rPr>
            </w:pPr>
          </w:p>
        </w:tc>
      </w:tr>
      <w:tr>
        <w:trPr>
          <w:trHeight w:val="176"/>
        </w:trPr>
        <w:tc>
          <w:tcPr>
            <w:tcW w:w="2220" w:type="dxa"/>
            <w:vAlign w:val="bottom"/>
            <w:vMerge w:val="restart"/>
          </w:tcPr>
          <w:p>
            <w:pPr>
              <w:spacing w:after="0"/>
              <w:rPr>
                <w:sz w:val="20"/>
                <w:szCs w:val="20"/>
                <w:color w:val="auto"/>
              </w:rPr>
            </w:pPr>
            <w:r>
              <w:rPr>
                <w:rFonts w:ascii="Arial" w:cs="Arial" w:eastAsia="Arial" w:hAnsi="Arial"/>
                <w:sz w:val="18"/>
                <w:szCs w:val="18"/>
                <w:b w:val="1"/>
                <w:bCs w:val="1"/>
                <w:color w:val="auto"/>
              </w:rPr>
              <w:t>Proposal</w:t>
            </w:r>
          </w:p>
        </w:tc>
        <w:tc>
          <w:tcPr>
            <w:tcW w:w="436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Votes required</w:t>
            </w:r>
          </w:p>
        </w:tc>
        <w:tc>
          <w:tcPr>
            <w:tcW w:w="3720" w:type="dxa"/>
            <w:vAlign w:val="bottom"/>
          </w:tcPr>
          <w:p>
            <w:pPr>
              <w:ind w:left="1700"/>
              <w:spacing w:after="0" w:line="176" w:lineRule="exact"/>
              <w:rPr>
                <w:sz w:val="20"/>
                <w:szCs w:val="20"/>
                <w:color w:val="auto"/>
              </w:rPr>
            </w:pPr>
            <w:r>
              <w:rPr>
                <w:rFonts w:ascii="Arial" w:cs="Arial" w:eastAsia="Arial" w:hAnsi="Arial"/>
                <w:sz w:val="18"/>
                <w:szCs w:val="18"/>
                <w:b w:val="1"/>
                <w:bCs w:val="1"/>
                <w:color w:val="auto"/>
                <w:w w:val="90"/>
              </w:rPr>
              <w:t>Withheld/Abstentions and</w:t>
            </w:r>
          </w:p>
        </w:tc>
        <w:tc>
          <w:tcPr>
            <w:tcW w:w="0" w:type="dxa"/>
            <w:vAlign w:val="bottom"/>
          </w:tcPr>
          <w:p>
            <w:pPr>
              <w:spacing w:after="0"/>
              <w:rPr>
                <w:sz w:val="1"/>
                <w:szCs w:val="1"/>
                <w:color w:val="auto"/>
              </w:rPr>
            </w:pPr>
          </w:p>
        </w:tc>
      </w:tr>
      <w:tr>
        <w:trPr>
          <w:trHeight w:val="234"/>
        </w:trPr>
        <w:tc>
          <w:tcPr>
            <w:tcW w:w="2220" w:type="dxa"/>
            <w:vAlign w:val="bottom"/>
            <w:vMerge w:val="continue"/>
          </w:tcPr>
          <w:p>
            <w:pPr>
              <w:spacing w:after="0"/>
              <w:rPr>
                <w:sz w:val="20"/>
                <w:szCs w:val="20"/>
                <w:color w:val="auto"/>
              </w:rPr>
            </w:pPr>
          </w:p>
        </w:tc>
        <w:tc>
          <w:tcPr>
            <w:tcW w:w="4360" w:type="dxa"/>
            <w:vAlign w:val="bottom"/>
            <w:vMerge w:val="continue"/>
          </w:tcPr>
          <w:p>
            <w:pPr>
              <w:spacing w:after="0"/>
              <w:rPr>
                <w:sz w:val="20"/>
                <w:szCs w:val="20"/>
                <w:color w:val="auto"/>
              </w:rPr>
            </w:pPr>
          </w:p>
        </w:tc>
        <w:tc>
          <w:tcPr>
            <w:tcW w:w="3720" w:type="dxa"/>
            <w:vAlign w:val="bottom"/>
          </w:tcPr>
          <w:p>
            <w:pPr>
              <w:ind w:left="170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tabs>
          <w:tab w:leader="none" w:pos="3740" w:val="left"/>
        </w:tabs>
        <w:rPr>
          <w:sz w:val="20"/>
          <w:szCs w:val="20"/>
          <w:color w:val="auto"/>
        </w:rPr>
      </w:pPr>
      <w:r>
        <w:rPr>
          <w:rFonts w:ascii="Arial" w:cs="Arial" w:eastAsia="Arial" w:hAnsi="Arial"/>
          <w:sz w:val="18"/>
          <w:szCs w:val="18"/>
          <w:color w:val="auto"/>
        </w:rPr>
        <w:t>Proposal 1: Election of Directors</w:t>
      </w:r>
      <w:r>
        <w:rPr>
          <w:sz w:val="20"/>
          <w:szCs w:val="20"/>
          <w:color w:val="auto"/>
        </w:rPr>
        <w:tab/>
      </w:r>
      <w:r>
        <w:rPr>
          <w:rFonts w:ascii="Arial" w:cs="Arial" w:eastAsia="Arial" w:hAnsi="Arial"/>
          <w:sz w:val="16"/>
          <w:szCs w:val="16"/>
          <w:color w:val="auto"/>
        </w:rPr>
        <w:t>The plurality of the votes cast. This means that the three</w:t>
      </w:r>
    </w:p>
    <w:p>
      <w:pPr>
        <w:ind w:left="3760"/>
        <w:spacing w:after="0" w:line="203" w:lineRule="auto"/>
        <w:rPr>
          <w:sz w:val="20"/>
          <w:szCs w:val="20"/>
          <w:color w:val="auto"/>
        </w:rPr>
      </w:pPr>
      <w:r>
        <w:rPr>
          <w:rFonts w:ascii="Arial" w:cs="Arial" w:eastAsia="Arial" w:hAnsi="Arial"/>
          <w:sz w:val="18"/>
          <w:szCs w:val="18"/>
          <w:color w:val="auto"/>
        </w:rPr>
        <w:t>nominees receiving the</w:t>
      </w:r>
    </w:p>
    <w:p>
      <w:pPr>
        <w:ind w:left="3760"/>
        <w:spacing w:after="0" w:line="229" w:lineRule="auto"/>
        <w:rPr>
          <w:sz w:val="20"/>
          <w:szCs w:val="20"/>
          <w:color w:val="auto"/>
        </w:rPr>
      </w:pPr>
      <w:r>
        <w:rPr>
          <w:rFonts w:ascii="Arial" w:cs="Arial" w:eastAsia="Arial" w:hAnsi="Arial"/>
          <w:sz w:val="16"/>
          <w:szCs w:val="16"/>
          <w:color w:val="auto"/>
        </w:rPr>
        <w:t>highest number of affirmative “FOR” votes will be elected as</w:t>
      </w:r>
    </w:p>
    <w:p>
      <w:pPr>
        <w:ind w:left="3760"/>
        <w:spacing w:after="0"/>
        <w:rPr>
          <w:sz w:val="20"/>
          <w:szCs w:val="20"/>
          <w:color w:val="auto"/>
        </w:rPr>
      </w:pPr>
      <w:r>
        <w:rPr>
          <w:rFonts w:ascii="Arial" w:cs="Arial" w:eastAsia="Arial" w:hAnsi="Arial"/>
          <w:sz w:val="18"/>
          <w:szCs w:val="18"/>
          <w:color w:val="auto"/>
        </w:rPr>
        <w:t>Class II Directors.</w:t>
      </w:r>
    </w:p>
    <w:p>
      <w:pPr>
        <w:spacing w:after="0" w:line="20" w:lineRule="exact"/>
        <w:rPr>
          <w:sz w:val="20"/>
          <w:szCs w:val="20"/>
          <w:color w:val="auto"/>
        </w:rPr>
      </w:pPr>
      <w:r>
        <w:rPr>
          <w:sz w:val="20"/>
          <w:szCs w:val="20"/>
          <w:color w:val="auto"/>
        </w:rPr>
        <w:br w:type="column"/>
      </w:r>
    </w:p>
    <w:p>
      <w:pPr>
        <w:ind w:right="300"/>
        <w:spacing w:after="0" w:line="235" w:lineRule="auto"/>
        <w:rPr>
          <w:sz w:val="20"/>
          <w:szCs w:val="20"/>
          <w:color w:val="auto"/>
        </w:rPr>
      </w:pPr>
      <w:r>
        <w:rPr>
          <w:rFonts w:ascii="Arial" w:cs="Arial" w:eastAsia="Arial" w:hAnsi="Arial"/>
          <w:sz w:val="18"/>
          <w:szCs w:val="18"/>
          <w:color w:val="auto"/>
        </w:rPr>
        <w:t>Votes withheld and broker non-votes will have no effect.</w:t>
      </w:r>
    </w:p>
    <w:p>
      <w:pPr>
        <w:spacing w:after="0" w:line="544" w:lineRule="exact"/>
        <w:rPr>
          <w:sz w:val="20"/>
          <w:szCs w:val="20"/>
          <w:color w:val="auto"/>
        </w:rPr>
      </w:pPr>
    </w:p>
    <w:p>
      <w:pPr>
        <w:sectPr>
          <w:pgSz w:w="11900" w:h="16838" w:orient="portrait"/>
          <w:cols w:equalWidth="0" w:num="2">
            <w:col w:w="8180" w:space="120"/>
            <w:col w:w="2940"/>
          </w:cols>
          <w:pgMar w:left="320" w:top="125" w:right="339" w:bottom="1440" w:gutter="0" w:footer="0" w:header="0"/>
          <w:type w:val="continuous"/>
        </w:sectPr>
      </w:pPr>
    </w:p>
    <w:p>
      <w:pPr>
        <w:spacing w:after="0" w:line="225" w:lineRule="exact"/>
        <w:rPr>
          <w:sz w:val="20"/>
          <w:szCs w:val="20"/>
          <w:color w:val="auto"/>
        </w:rPr>
      </w:pPr>
    </w:p>
    <w:p>
      <w:pPr>
        <w:ind w:left="20" w:right="100"/>
        <w:spacing w:after="0" w:line="225" w:lineRule="auto"/>
        <w:rPr>
          <w:sz w:val="20"/>
          <w:szCs w:val="20"/>
          <w:color w:val="auto"/>
        </w:rPr>
      </w:pPr>
      <w:r>
        <w:rPr>
          <w:rFonts w:ascii="Arial" w:cs="Arial" w:eastAsia="Arial" w:hAnsi="Arial"/>
          <w:sz w:val="17"/>
          <w:szCs w:val="17"/>
          <w:color w:val="auto"/>
        </w:rPr>
        <w:t>Proposal 2: Ratification of Appointment The affirmative vote of the holders of a majority Abstentions will have no effect. We do of Independent Registered Public Accounting Firm in voting power of the votes cast affirmatively or negatively. not expect any broker non-votes on this</w:t>
      </w:r>
    </w:p>
    <w:p>
      <w:pPr>
        <w:ind w:left="8300"/>
        <w:spacing w:after="0"/>
        <w:rPr>
          <w:sz w:val="20"/>
          <w:szCs w:val="20"/>
          <w:color w:val="auto"/>
        </w:rPr>
      </w:pPr>
      <w:r>
        <w:rPr>
          <w:rFonts w:ascii="Arial" w:cs="Arial" w:eastAsia="Arial" w:hAnsi="Arial"/>
          <w:sz w:val="18"/>
          <w:szCs w:val="18"/>
          <w:color w:val="auto"/>
        </w:rPr>
        <w:t>proposal.</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abstention and how will votes withheld and abstentions be treated?</w:t>
      </w:r>
    </w:p>
    <w:p>
      <w:pPr>
        <w:spacing w:after="0" w:line="12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Ernst &amp; Young LLP.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2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2021 Annual Meeting of Stockholders?</w:t>
      </w:r>
    </w:p>
    <w:p>
      <w:pPr>
        <w:spacing w:after="0" w:line="12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the Annual Meeting, three (3) Class II Directors are to be elected to hold office until the Annual Meeting of Stockholders to be held in 2024 and until such director’s successor is elected and qualified or until such director’s earlier death, resignation or removal.</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have eight (8) directors on our Board, including three (3) Class II Directors. Our current Class II Directors are Göran Ando, M.D., who was appointed to serve on our Board of Directors in April 2020, Carrie S. Cox, who was appointed to serve on our Board of Directors in November 2019, and Aymeric Sallin, who has served on our Board of Directors since 2008. All three members have been nominated for election as a Class II Director at the Annual Meeting.</w:t>
      </w:r>
    </w:p>
    <w:p>
      <w:pPr>
        <w:spacing w:after="0" w:line="7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7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Annual Meeting, and whose subsequent term will expire at the 2024 Annual Meeting of Stockholders; and Class III, whose term will expire at the 2022 Annual Meeting of Stockholders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and Carsten Brunn, Ph.D.</w:t>
      </w:r>
    </w:p>
    <w:p>
      <w:pPr>
        <w:spacing w:after="0" w:line="7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three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unanimously recommends a vote FOR the election of the below Class 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Nominees for Class II Directors </w:t>
      </w:r>
      <w:r>
        <w:rPr>
          <w:rFonts w:ascii="Arial" w:cs="Arial" w:eastAsia="Arial" w:hAnsi="Arial"/>
          <w:sz w:val="18"/>
          <w:szCs w:val="18"/>
          <w:b w:val="1"/>
          <w:bCs w:val="1"/>
          <w:i w:val="1"/>
          <w:iCs w:val="1"/>
          <w:color w:val="auto"/>
        </w:rPr>
        <w:t>(Terms to Expire at 2024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nominees for election to the Board of Directors as Class 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189"/>
        </w:trPr>
        <w:tc>
          <w:tcPr>
            <w:tcW w:w="3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Göran Ando, M.D.</w:t>
            </w: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72</w:t>
            </w:r>
          </w:p>
        </w:tc>
        <w:tc>
          <w:tcPr>
            <w:tcW w:w="120" w:type="dxa"/>
            <w:vAlign w:val="bottom"/>
            <w:tcBorders>
              <w:top w:val="single" w:sz="8" w:color="CFF0FC"/>
            </w:tcBorders>
            <w:shd w:val="clear" w:color="auto" w:fill="CFF0FC"/>
          </w:tcPr>
          <w:p>
            <w:pPr>
              <w:spacing w:after="0"/>
              <w:rPr>
                <w:sz w:val="16"/>
                <w:szCs w:val="16"/>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2020</w:t>
            </w:r>
          </w:p>
        </w:tc>
        <w:tc>
          <w:tcPr>
            <w:tcW w:w="100" w:type="dxa"/>
            <w:vAlign w:val="bottom"/>
            <w:tcBorders>
              <w:top w:val="single" w:sz="8" w:color="CFF0FC"/>
            </w:tcBorders>
            <w:shd w:val="clear" w:color="auto" w:fill="CFF0FC"/>
          </w:tcPr>
          <w:p>
            <w:pPr>
              <w:spacing w:after="0"/>
              <w:rPr>
                <w:sz w:val="16"/>
                <w:szCs w:val="16"/>
                <w:color w:val="auto"/>
              </w:rPr>
            </w:pPr>
          </w:p>
        </w:tc>
        <w:tc>
          <w:tcPr>
            <w:tcW w:w="3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Director</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Carrie S. Cox</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Chairman of the Board</w:t>
            </w:r>
          </w:p>
        </w:tc>
      </w:tr>
      <w:tr>
        <w:trPr>
          <w:trHeight w:val="192"/>
        </w:trPr>
        <w:tc>
          <w:tcPr>
            <w:tcW w:w="40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Aymeric Sallin</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2008</w:t>
            </w:r>
          </w:p>
        </w:tc>
        <w:tc>
          <w:tcPr>
            <w:tcW w:w="100" w:type="dxa"/>
            <w:vAlign w:val="bottom"/>
            <w:shd w:val="clear" w:color="auto" w:fill="CFF0FC"/>
          </w:tcPr>
          <w:p>
            <w:pPr>
              <w:spacing w:after="0"/>
              <w:rPr>
                <w:sz w:val="16"/>
                <w:szCs w:val="16"/>
                <w:color w:val="auto"/>
              </w:rPr>
            </w:pPr>
          </w:p>
        </w:tc>
        <w:tc>
          <w:tcPr>
            <w:tcW w:w="3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GÖRAN ANDO, M.D.</w:t>
      </w:r>
      <w:r>
        <w:rPr>
          <w:sz w:val="20"/>
          <w:szCs w:val="20"/>
          <w:color w:val="auto"/>
        </w:rPr>
        <w:tab/>
      </w:r>
      <w:r>
        <w:rPr>
          <w:rFonts w:ascii="Arial" w:cs="Arial" w:eastAsia="Arial" w:hAnsi="Arial"/>
          <w:sz w:val="15"/>
          <w:szCs w:val="15"/>
          <w:i w:val="1"/>
          <w:iCs w:val="1"/>
          <w:color w:val="auto"/>
        </w:rPr>
        <w:t>Age 72</w:t>
      </w:r>
    </w:p>
    <w:p>
      <w:pPr>
        <w:spacing w:after="0" w:line="13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Göran Ando, M.D. has served as Chairman of the board of directors of EyePoint Pharmaceuticals, Inc., a public pharmaceutical company, since September 2018, as Vice-Chairman of the board of directors of Molecular Partners AG, a clinical-stage biopharmaceutical company, since April 2011, and on the board of directors of Molecular Partners AG since April 2011.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405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4"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CARRIE S. COX</w:t>
      </w:r>
      <w:r>
        <w:rPr>
          <w:sz w:val="20"/>
          <w:szCs w:val="20"/>
          <w:color w:val="auto"/>
        </w:rPr>
        <w:tab/>
      </w:r>
      <w:r>
        <w:rPr>
          <w:rFonts w:ascii="Arial" w:cs="Arial" w:eastAsia="Arial" w:hAnsi="Arial"/>
          <w:sz w:val="15"/>
          <w:szCs w:val="15"/>
          <w:i w:val="1"/>
          <w:iCs w:val="1"/>
          <w:color w:val="auto"/>
        </w:rPr>
        <w:t>Age 64</w:t>
      </w:r>
    </w:p>
    <w:p>
      <w:pPr>
        <w:spacing w:after="0" w:line="13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Carrie S. Cox has served as a member of our Board of Directors and as chairman of the Board of Directors since November 2019. Ms. Cox most recently served as the Chief Executive Officer of Humacyte, Inc., a regenerative medicine company based in Durham, North Carolina, from 2010 to June 2018, and has served as a member of its board of directors since 2010,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qualifies her to serve on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8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AYMERIC SALLIN</w:t>
      </w:r>
      <w:r>
        <w:rPr>
          <w:sz w:val="20"/>
          <w:szCs w:val="20"/>
          <w:color w:val="auto"/>
        </w:rPr>
        <w:tab/>
      </w:r>
      <w:r>
        <w:rPr>
          <w:rFonts w:ascii="Arial" w:cs="Arial" w:eastAsia="Arial" w:hAnsi="Arial"/>
          <w:sz w:val="15"/>
          <w:szCs w:val="15"/>
          <w:i w:val="1"/>
          <w:iCs w:val="1"/>
          <w:color w:val="auto"/>
        </w:rPr>
        <w:t>Age 47</w:t>
      </w:r>
    </w:p>
    <w:p>
      <w:pPr>
        <w:spacing w:after="0" w:line="13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Aymeric Sallin, M.S. has served as a member of our Board of Directors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View, Inc., CROCUS Technology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 Directors </w:t>
      </w:r>
      <w:r>
        <w:rPr>
          <w:rFonts w:ascii="Arial" w:cs="Arial" w:eastAsia="Arial" w:hAnsi="Arial"/>
          <w:sz w:val="18"/>
          <w:szCs w:val="18"/>
          <w:b w:val="1"/>
          <w:bCs w:val="1"/>
          <w:i w:val="1"/>
          <w:iCs w:val="1"/>
          <w:color w:val="auto"/>
        </w:rPr>
        <w:t>(Terms Expire at 2023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189"/>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Scott D. Myers</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2019</w:t>
            </w:r>
          </w:p>
        </w:tc>
        <w:tc>
          <w:tcPr>
            <w:tcW w:w="10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86"/>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Timothy A. Springer,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9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74</w:t>
            </w:r>
          </w:p>
        </w:tc>
        <w:tc>
          <w:tcPr>
            <w:tcW w:w="120" w:type="dxa"/>
            <w:vAlign w:val="bottom"/>
            <w:shd w:val="clear" w:color="auto" w:fill="CCEEFF"/>
          </w:tcPr>
          <w:p>
            <w:pPr>
              <w:spacing w:after="0"/>
              <w:rPr>
                <w:sz w:val="16"/>
                <w:szCs w:val="16"/>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100" w:type="dxa"/>
            <w:vAlign w:val="bottom"/>
            <w:shd w:val="clear" w:color="auto" w:fill="CCEEFF"/>
          </w:tcPr>
          <w:p>
            <w:pPr>
              <w:spacing w:after="0"/>
              <w:rPr>
                <w:sz w:val="16"/>
                <w:szCs w:val="16"/>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4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05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2"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SCOTT D. MYERS</w:t>
      </w:r>
      <w:r>
        <w:rPr>
          <w:sz w:val="20"/>
          <w:szCs w:val="20"/>
          <w:color w:val="auto"/>
        </w:rPr>
        <w:tab/>
      </w:r>
      <w:r>
        <w:rPr>
          <w:rFonts w:ascii="Arial" w:cs="Arial" w:eastAsia="Arial" w:hAnsi="Arial"/>
          <w:sz w:val="15"/>
          <w:szCs w:val="15"/>
          <w:i w:val="1"/>
          <w:iCs w:val="1"/>
          <w:color w:val="auto"/>
        </w:rPr>
        <w:t>Age 55</w:t>
      </w:r>
    </w:p>
    <w:p>
      <w:pPr>
        <w:spacing w:after="0" w:line="13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Scott D. Myers has served as a member of our Board of Directors since June 2019. Mr. Myers most recently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of Trillium Therapeutics Inc., a publicly traded oncology company, which he joined in April 2021, and of the board of directors and audit committee of Harpoon Therapeutics since August 2018. Mr. Myers previously served on the board of directors of Cascadian Therapeutics from 2016 through 2018. Mr. Myers’ experience as a senior executive of life sciences companies and knowledge of the pharmaceutical and biotechnology industries contributed to our Board of Directors’ conclusion that 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0"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TIMOTHY A. SPRINGER, PH.D.</w:t>
      </w:r>
      <w:r>
        <w:rPr>
          <w:sz w:val="20"/>
          <w:szCs w:val="20"/>
          <w:color w:val="auto"/>
        </w:rPr>
        <w:tab/>
      </w:r>
      <w:r>
        <w:rPr>
          <w:rFonts w:ascii="Arial" w:cs="Arial" w:eastAsia="Arial" w:hAnsi="Arial"/>
          <w:sz w:val="15"/>
          <w:szCs w:val="15"/>
          <w:i w:val="1"/>
          <w:iCs w:val="1"/>
          <w:color w:val="auto"/>
        </w:rPr>
        <w:t>Age 73</w:t>
      </w:r>
    </w:p>
    <w:p>
      <w:pPr>
        <w:spacing w:after="0" w:line="13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Timothy A. Springer, Ph.D. has served as a member of our Board of Directors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88"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PATRICK ZENNER</w:t>
      </w:r>
      <w:r>
        <w:rPr>
          <w:sz w:val="20"/>
          <w:szCs w:val="20"/>
          <w:color w:val="auto"/>
        </w:rPr>
        <w:tab/>
      </w:r>
      <w:r>
        <w:rPr>
          <w:rFonts w:ascii="Arial" w:cs="Arial" w:eastAsia="Arial" w:hAnsi="Arial"/>
          <w:sz w:val="15"/>
          <w:szCs w:val="15"/>
          <w:i w:val="1"/>
          <w:iCs w:val="1"/>
          <w:color w:val="auto"/>
        </w:rPr>
        <w:t>Age 74</w:t>
      </w:r>
    </w:p>
    <w:p>
      <w:pPr>
        <w:spacing w:after="0" w:line="13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Patrick Zenner has served as a member of our Board of Directors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 of Directors’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Class III Directors </w:t>
      </w:r>
      <w:r>
        <w:rPr>
          <w:rFonts w:ascii="Arial" w:cs="Arial" w:eastAsia="Arial" w:hAnsi="Arial"/>
          <w:sz w:val="18"/>
          <w:szCs w:val="18"/>
          <w:b w:val="1"/>
          <w:bCs w:val="1"/>
          <w:i w:val="1"/>
          <w:iCs w:val="1"/>
          <w:color w:val="auto"/>
        </w:rPr>
        <w:t>(Terms Expire at 2022 Annual Meeting of Stockholders)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Served as a Director Since</w:t>
            </w:r>
          </w:p>
        </w:tc>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Position(s) with Selecta</w:t>
            </w:r>
          </w:p>
        </w:tc>
      </w:tr>
      <w:tr>
        <w:trPr>
          <w:trHeight w:val="188"/>
        </w:trPr>
        <w:tc>
          <w:tcPr>
            <w:tcW w:w="3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Timothy C. Barabe</w:t>
            </w: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68</w:t>
            </w:r>
          </w:p>
        </w:tc>
        <w:tc>
          <w:tcPr>
            <w:tcW w:w="120" w:type="dxa"/>
            <w:vAlign w:val="bottom"/>
            <w:tcBorders>
              <w:top w:val="single" w:sz="8" w:color="CFF0FC"/>
            </w:tcBorders>
            <w:shd w:val="clear" w:color="auto" w:fill="CFF0FC"/>
          </w:tcPr>
          <w:p>
            <w:pPr>
              <w:spacing w:after="0"/>
              <w:rPr>
                <w:sz w:val="16"/>
                <w:szCs w:val="16"/>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2016</w:t>
            </w:r>
          </w:p>
        </w:tc>
        <w:tc>
          <w:tcPr>
            <w:tcW w:w="100" w:type="dxa"/>
            <w:vAlign w:val="bottom"/>
            <w:tcBorders>
              <w:top w:val="single" w:sz="8" w:color="CFF0FC"/>
            </w:tcBorders>
            <w:shd w:val="clear" w:color="auto" w:fill="CFF0FC"/>
          </w:tcPr>
          <w:p>
            <w:pPr>
              <w:spacing w:after="0"/>
              <w:rPr>
                <w:sz w:val="16"/>
                <w:szCs w:val="16"/>
                <w:color w:val="auto"/>
              </w:rPr>
            </w:pPr>
          </w:p>
        </w:tc>
        <w:tc>
          <w:tcPr>
            <w:tcW w:w="38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Director</w:t>
            </w:r>
          </w:p>
        </w:tc>
      </w:tr>
      <w:tr>
        <w:trPr>
          <w:trHeight w:val="182"/>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Carsten Brunn, Ph.D.</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1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5"/>
                <w:szCs w:val="15"/>
                <w:color w:val="auto"/>
              </w:rPr>
            </w:pPr>
          </w:p>
        </w:tc>
        <w:tc>
          <w:tcPr>
            <w:tcW w:w="38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05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TIMOTHY C. BARABE</w:t>
      </w:r>
      <w:r>
        <w:rPr>
          <w:sz w:val="20"/>
          <w:szCs w:val="20"/>
          <w:color w:val="auto"/>
        </w:rPr>
        <w:tab/>
      </w:r>
      <w:r>
        <w:rPr>
          <w:rFonts w:ascii="Arial" w:cs="Arial" w:eastAsia="Arial" w:hAnsi="Arial"/>
          <w:sz w:val="15"/>
          <w:szCs w:val="15"/>
          <w:i w:val="1"/>
          <w:iCs w:val="1"/>
          <w:color w:val="auto"/>
        </w:rPr>
        <w:t>Age 68</w:t>
      </w:r>
    </w:p>
    <w:p>
      <w:pPr>
        <w:spacing w:after="0" w:line="13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Timothy C. Barabe has served as a member of our Board of Directors since July 2016. Mr. Barabe also serves on the boards of Veeva Systems Inc. and Vigilant Biosciences, Inc.,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05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7"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8"/>
          <w:szCs w:val="18"/>
          <w:b w:val="1"/>
          <w:bCs w:val="1"/>
          <w:color w:val="auto"/>
        </w:rPr>
        <w:t>CARSTEN BRUNN, PH.D.</w:t>
      </w:r>
      <w:r>
        <w:rPr>
          <w:sz w:val="20"/>
          <w:szCs w:val="20"/>
          <w:color w:val="auto"/>
        </w:rPr>
        <w:tab/>
      </w:r>
      <w:r>
        <w:rPr>
          <w:rFonts w:ascii="Arial" w:cs="Arial" w:eastAsia="Arial" w:hAnsi="Arial"/>
          <w:sz w:val="15"/>
          <w:szCs w:val="15"/>
          <w:i w:val="1"/>
          <w:iCs w:val="1"/>
          <w:color w:val="auto"/>
        </w:rPr>
        <w:t>Age 50</w:t>
      </w:r>
    </w:p>
    <w:p>
      <w:pPr>
        <w:spacing w:after="0" w:line="13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Carsten Brunn, Ph.D. has served as our President, Chief Executive Officer and member of our Board of Directors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 of Directors’ conclusion that he should serve as a director of the Company.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2021.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Ernst &amp; Young LLP also served as our independent registered public accounting firm for the fiscal year ended December 31, 2020. Neither the accounting firm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the event that the appointment of Ernst &amp; Young LLP is not ratified by the stockholders, the Audit Committee will consider this fact when it appoints the independent auditors for the fiscal year ending December 31, 2022. Even if the appointment of Ernst &amp; Young LLP is ratified, the Audit Committee retains the discretion to appoint a different independent auditor at any time if it determines that such a change is in the interest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of Directors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36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The Audit Committee has reviewed the Company’s audited financial statements for the fiscal year ended December 31, 2020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6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Company’s independent registered public accounting firm also provided the Audit Committee with a formal written statement required by PCAOB Rule 3526 (</w:t>
      </w:r>
      <w:r>
        <w:rPr>
          <w:rFonts w:ascii="Arial" w:cs="Arial" w:eastAsia="Arial" w:hAnsi="Arial"/>
          <w:sz w:val="16"/>
          <w:szCs w:val="16"/>
          <w:i w:val="1"/>
          <w:iCs w:val="1"/>
          <w:color w:val="auto"/>
        </w:rPr>
        <w:t>Communications with Audit Committees Concerning Independence</w:t>
      </w:r>
      <w:r>
        <w:rPr>
          <w:rFonts w:ascii="Arial" w:cs="Arial" w:eastAsia="Arial" w:hAnsi="Arial"/>
          <w:sz w:val="16"/>
          <w:szCs w:val="16"/>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5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2020.</w:t>
      </w:r>
    </w:p>
    <w:p>
      <w:pPr>
        <w:spacing w:after="0" w:line="200" w:lineRule="exact"/>
        <w:rPr>
          <w:sz w:val="20"/>
          <w:szCs w:val="20"/>
          <w:color w:val="auto"/>
        </w:rPr>
      </w:pPr>
    </w:p>
    <w:p>
      <w:pPr>
        <w:spacing w:after="0" w:line="217"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THE AUDIT COMMITTEE OF THE BOARD OF</w:t>
      </w:r>
    </w:p>
    <w:p>
      <w:pPr>
        <w:ind w:left="6340"/>
        <w:spacing w:after="0"/>
        <w:rPr>
          <w:sz w:val="20"/>
          <w:szCs w:val="20"/>
          <w:color w:val="auto"/>
        </w:rPr>
      </w:pPr>
      <w:r>
        <w:rPr>
          <w:rFonts w:ascii="Arial" w:cs="Arial" w:eastAsia="Arial" w:hAnsi="Arial"/>
          <w:sz w:val="18"/>
          <w:szCs w:val="18"/>
          <w:color w:val="auto"/>
        </w:rPr>
        <w:t>DIRECTORS OF SELECTA BIOSCIENCES, INC.</w:t>
      </w:r>
    </w:p>
    <w:p>
      <w:pPr>
        <w:spacing w:after="0" w:line="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Timothy C. Barabe (Chair)</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the Company for each of the last two fiscal years for audit services and for other services: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2019</w:t>
            </w:r>
          </w:p>
        </w:tc>
      </w:tr>
      <w:tr>
        <w:trPr>
          <w:trHeight w:val="189"/>
        </w:trPr>
        <w:tc>
          <w:tcPr>
            <w:tcW w:w="670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1,067,199</w:t>
            </w: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824,313</w:t>
            </w:r>
          </w:p>
        </w:tc>
      </w:tr>
      <w:tr>
        <w:trPr>
          <w:trHeight w:val="189"/>
        </w:trPr>
        <w:tc>
          <w:tcPr>
            <w:tcW w:w="68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88,200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189"/>
        </w:trPr>
        <w:tc>
          <w:tcPr>
            <w:tcW w:w="68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All Other Fees</w:t>
            </w:r>
            <w:r>
              <w:rPr>
                <w:rFonts w:ascii="Arial" w:cs="Arial" w:eastAsia="Arial" w:hAnsi="Arial"/>
                <w:sz w:val="18"/>
                <w:szCs w:val="18"/>
                <w:color w:val="auto"/>
                <w:vertAlign w:val="superscript"/>
              </w:rPr>
              <w:t>(3)</w:t>
            </w:r>
          </w:p>
        </w:tc>
        <w:tc>
          <w:tcPr>
            <w:tcW w:w="5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w:t>
            </w:r>
          </w:p>
        </w:tc>
      </w:tr>
      <w:tr>
        <w:trPr>
          <w:trHeight w:val="179"/>
        </w:trPr>
        <w:tc>
          <w:tcPr>
            <w:tcW w:w="6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Total Fees</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1,157,384</w:t>
            </w:r>
          </w:p>
        </w:tc>
        <w:tc>
          <w:tcPr>
            <w:tcW w:w="12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848,568</w:t>
            </w:r>
          </w:p>
        </w:tc>
      </w:tr>
      <w:tr>
        <w:trPr>
          <w:trHeight w:val="24"/>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340" w:right="20" w:hanging="332"/>
        <w:spacing w:after="0" w:line="263"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75"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62" w:lineRule="exact"/>
        <w:rPr>
          <w:rFonts w:ascii="Arial" w:cs="Arial" w:eastAsia="Arial" w:hAnsi="Arial"/>
          <w:sz w:val="18"/>
          <w:szCs w:val="18"/>
          <w:color w:val="auto"/>
        </w:rPr>
      </w:pPr>
    </w:p>
    <w:p>
      <w:pPr>
        <w:ind w:left="340" w:right="26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2020 and 2019 were pre-approved.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3960" w:type="dxa"/>
            <w:vAlign w:val="bottom"/>
            <w:tcBorders>
              <w:top w:val="single" w:sz="8" w:color="auto"/>
            </w:tcBorders>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Carsten Brunn, Ph.D. </w:t>
            </w:r>
            <w:r>
              <w:rPr>
                <w:rFonts w:ascii="Arial" w:cs="Arial" w:eastAsia="Arial" w:hAnsi="Arial"/>
                <w:sz w:val="18"/>
                <w:szCs w:val="18"/>
                <w:color w:val="auto"/>
                <w:vertAlign w:val="superscript"/>
              </w:rPr>
              <w:t>1</w:t>
            </w:r>
          </w:p>
        </w:tc>
        <w:tc>
          <w:tcPr>
            <w:tcW w:w="12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50</w:t>
            </w:r>
          </w:p>
        </w:tc>
        <w:tc>
          <w:tcPr>
            <w:tcW w:w="100" w:type="dxa"/>
            <w:vAlign w:val="bottom"/>
            <w:tcBorders>
              <w:top w:val="single" w:sz="8" w:color="CFF0FC"/>
            </w:tcBorders>
            <w:shd w:val="clear" w:color="auto" w:fill="CFF0FC"/>
          </w:tcPr>
          <w:p>
            <w:pPr>
              <w:spacing w:after="0"/>
              <w:rPr>
                <w:sz w:val="16"/>
                <w:szCs w:val="16"/>
                <w:color w:val="auto"/>
              </w:rPr>
            </w:pPr>
          </w:p>
        </w:tc>
        <w:tc>
          <w:tcPr>
            <w:tcW w:w="6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189"/>
        </w:trPr>
        <w:tc>
          <w:tcPr>
            <w:tcW w:w="40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Bradford D. Dahms </w:t>
            </w:r>
            <w:r>
              <w:rPr>
                <w:rFonts w:ascii="Arial" w:cs="Arial" w:eastAsia="Arial" w:hAnsi="Arial"/>
                <w:sz w:val="18"/>
                <w:szCs w:val="18"/>
                <w:color w:val="auto"/>
                <w:vertAlign w:val="superscript"/>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16"/>
                <w:szCs w:val="16"/>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9"/>
        </w:trPr>
        <w:tc>
          <w:tcPr>
            <w:tcW w:w="408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Lloyd Johnston, Ph.D. </w:t>
            </w:r>
            <w:r>
              <w:rPr>
                <w:rFonts w:ascii="Arial" w:cs="Arial" w:eastAsia="Arial" w:hAnsi="Arial"/>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53</w:t>
            </w:r>
          </w:p>
        </w:tc>
        <w:tc>
          <w:tcPr>
            <w:tcW w:w="100" w:type="dxa"/>
            <w:vAlign w:val="bottom"/>
            <w:shd w:val="clear" w:color="auto" w:fill="CFF0FC"/>
          </w:tcPr>
          <w:p>
            <w:pPr>
              <w:spacing w:after="0"/>
              <w:rPr>
                <w:sz w:val="16"/>
                <w:szCs w:val="16"/>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Operating Officer and Senior Vice President, Research and Development</w:t>
            </w:r>
          </w:p>
        </w:tc>
      </w:tr>
      <w:tr>
        <w:trPr>
          <w:trHeight w:val="189"/>
        </w:trPr>
        <w:tc>
          <w:tcPr>
            <w:tcW w:w="40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Takashi Kei Kishimoto, Ph.D. </w:t>
            </w:r>
            <w:r>
              <w:rPr>
                <w:rFonts w:ascii="Arial" w:cs="Arial" w:eastAsia="Arial" w:hAnsi="Arial"/>
                <w:sz w:val="18"/>
                <w:szCs w:val="18"/>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16"/>
                <w:szCs w:val="16"/>
                <w:color w:val="auto"/>
              </w:rPr>
            </w:pPr>
          </w:p>
        </w:tc>
        <w:tc>
          <w:tcPr>
            <w:tcW w:w="6160" w:type="dxa"/>
            <w:vAlign w:val="bottom"/>
          </w:tcPr>
          <w:p>
            <w:pPr>
              <w:ind w:left="20"/>
              <w:spacing w:after="0"/>
              <w:rPr>
                <w:sz w:val="20"/>
                <w:szCs w:val="20"/>
                <w:color w:val="auto"/>
              </w:rPr>
            </w:pPr>
            <w:r>
              <w:rPr>
                <w:rFonts w:ascii="Arial" w:cs="Arial" w:eastAsia="Arial" w:hAnsi="Arial"/>
                <w:sz w:val="14"/>
                <w:szCs w:val="14"/>
                <w:color w:val="auto"/>
              </w:rPr>
              <w:t>Chief Scientific Officer</w:t>
            </w:r>
          </w:p>
        </w:tc>
      </w:tr>
      <w:tr>
        <w:trPr>
          <w:trHeight w:val="189"/>
        </w:trPr>
        <w:tc>
          <w:tcPr>
            <w:tcW w:w="4080" w:type="dxa"/>
            <w:vAlign w:val="bottom"/>
            <w:gridSpan w:val="2"/>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Peter G. Traber, M.D. </w:t>
            </w:r>
            <w:r>
              <w:rPr>
                <w:rFonts w:ascii="Arial" w:cs="Arial" w:eastAsia="Arial" w:hAnsi="Arial"/>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shd w:val="clear" w:color="auto" w:fill="CFF0FC"/>
          </w:tcPr>
          <w:p>
            <w:pPr>
              <w:spacing w:after="0"/>
              <w:rPr>
                <w:sz w:val="16"/>
                <w:szCs w:val="16"/>
                <w:color w:val="auto"/>
              </w:rPr>
            </w:pPr>
          </w:p>
        </w:tc>
        <w:tc>
          <w:tcPr>
            <w:tcW w:w="6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biography on page 10 of this proxy statement.</w:t>
      </w:r>
    </w:p>
    <w:p>
      <w:pPr>
        <w:spacing w:after="0" w:line="94" w:lineRule="exact"/>
        <w:rPr>
          <w:sz w:val="20"/>
          <w:szCs w:val="20"/>
          <w:color w:val="auto"/>
        </w:rPr>
      </w:pPr>
    </w:p>
    <w:p>
      <w:pPr>
        <w:ind w:right="140" w:firstLine="332"/>
        <w:spacing w:after="0" w:line="238" w:lineRule="auto"/>
        <w:tabs>
          <w:tab w:leader="none" w:pos="427"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Bradford D. Dahms has served as our Chief Financial Officer since September 2019. Prior to joining Selecta, Mr. Dahms served as Senior Vice President - Healthcare Investment Banking at Cantor Fitzgerald &amp; Co., an investment bank, from April 2014 to August 2019. He also served as an analyst at RBC Capital Markets from 2012 to 2014, and at JPMorgan Chase &amp; Co. from 2010 to 2012. Mr. Dahms holds a Bachelor of Science degree in economics from The Ohio State University.</w:t>
      </w:r>
    </w:p>
    <w:p>
      <w:pPr>
        <w:spacing w:after="0" w:line="71" w:lineRule="exact"/>
        <w:rPr>
          <w:sz w:val="20"/>
          <w:szCs w:val="20"/>
          <w:color w:val="auto"/>
        </w:rPr>
      </w:pPr>
    </w:p>
    <w:p>
      <w:pPr>
        <w:ind w:left="440" w:hanging="108"/>
        <w:spacing w:after="0"/>
        <w:tabs>
          <w:tab w:leader="none" w:pos="4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Lloyd Johnston, Ph.D. has served as our Chief Operating Officer and Senior Vice President, Research and Development since January 2014.</w:t>
      </w:r>
    </w:p>
    <w:p>
      <w:pPr>
        <w:spacing w:after="0" w:line="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71" w:lineRule="exact"/>
        <w:rPr>
          <w:sz w:val="20"/>
          <w:szCs w:val="20"/>
          <w:color w:val="auto"/>
        </w:rPr>
      </w:pPr>
    </w:p>
    <w:p>
      <w:pPr>
        <w:ind w:right="80" w:firstLine="332"/>
        <w:spacing w:after="0" w:line="277" w:lineRule="auto"/>
        <w:tabs>
          <w:tab w:leader="none" w:pos="412"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71" w:lineRule="exact"/>
        <w:rPr>
          <w:sz w:val="20"/>
          <w:szCs w:val="20"/>
          <w:color w:val="auto"/>
        </w:rPr>
      </w:pPr>
    </w:p>
    <w:p>
      <w:pPr>
        <w:ind w:right="80" w:firstLine="332"/>
        <w:spacing w:after="0" w:line="277" w:lineRule="auto"/>
        <w:tabs>
          <w:tab w:leader="none" w:pos="427"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Peter G. Traber, M.D. has served as our Chief Medical Officer since August 2020. Prior to joining Selecta Biosciences in 2020, Dr. Traber spent 2 years as a Partner at Alacrita Consulting, providing drug development consulting services and served as the interim Chief Medical Officer (CMO) for Morphic Therapeutic supporting integrin inhibitor drug development. For the 8 years prior, he was CEO, CMO, and on the Board of Galectin Therapeutics developing drugs for fibrotic liver disease and cancer.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 and serves on the board of Caladrius Biosciences.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Our Board of Directors currently consists of eight members: Göran Ando, M.D., Timothy C. Barabe, Carsten Brunn, Ph.D., Carrie S. Cox, Scott D. Myers, Aymeric Sallin, Timothy Springer, Ph.D. and Patrick Zenner.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All of our directors and Class II director nominees, other than Carsten Brunn, Ph.D., qualify as “independent” in accordance with the listing requirements of The Nasdaq Stock Market LLC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including that each of Dr. Springer and Mr. Sallin are affiliated with certain of our significant stockholders. Dr. Brunn is not independent because he is the President and Chief Executive Officer of Selecta. There are no family relationships among any of our directors or executive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Two of our Class II director nominees, Göran Ando and Carrie S. Cox, were identified as potential candidates to serve on our Board of Directors by Carsten Brunn, Ph.D., our President and Chief Executive Officer, and were recommended by the Nominating and Corporate Governance Committee.</w:t>
      </w:r>
    </w:p>
    <w:p>
      <w:pPr>
        <w:spacing w:after="0" w:line="5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from Stockholders</w:t>
      </w:r>
    </w:p>
    <w:p>
      <w:pPr>
        <w:spacing w:after="0" w:line="121" w:lineRule="exact"/>
        <w:rPr>
          <w:sz w:val="20"/>
          <w:szCs w:val="20"/>
          <w:color w:val="auto"/>
        </w:rPr>
      </w:pPr>
    </w:p>
    <w:p>
      <w:pPr>
        <w:ind w:right="280" w:firstLine="324"/>
        <w:spacing w:after="0" w:line="271" w:lineRule="auto"/>
        <w:rPr>
          <w:sz w:val="20"/>
          <w:szCs w:val="20"/>
          <w:color w:val="auto"/>
        </w:rPr>
      </w:pPr>
      <w:r>
        <w:rPr>
          <w:rFonts w:ascii="Arial" w:cs="Arial" w:eastAsia="Arial" w:hAnsi="Arial"/>
          <w:sz w:val="17"/>
          <w:szCs w:val="17"/>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Selecta Biosciences, Inc., 65 Grove Street, Watertown, Massachusetts 02472.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6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2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Corporate Governance Guidelines require the Nominating and Corporate Governance Committee to periodically oversee an assessment of the Board and its committees.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Commitment</w:t>
      </w:r>
    </w:p>
    <w:p>
      <w:pPr>
        <w:spacing w:after="0" w:line="12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Board diversity and inclusion is critical to the success of Selecta. Our Board of Directors is committed to ensuring its membership has sufficient diversity of expertise, experience, background and perspective to support the long-term success of the Company. As presently constituted, the Board of Directors represents a deliberate mix of members who have a deep understanding of our business as well as members who have different skill sets and points of view on substantive matters pertaining to the Company’s business. Our nomination process and our Board of Directors’ approach to assessment and evaluation of our nominees support our commitment to diversity and inclusion.</w:t>
      </w:r>
    </w:p>
    <w:p>
      <w:pPr>
        <w:spacing w:after="0" w:line="6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of Directors. The Board of Directors continually assesses the size and the mix of experiences and backgrounds of its members, including gender, ethnic, and racial composition. Selecta evaluates the effectiveness of this policy through annual self-evaluations completed by the Board of Directors and each of its committees.</w:t>
      </w:r>
    </w:p>
    <w:p>
      <w:pPr>
        <w:spacing w:after="0" w:line="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Board of Directors firmly believes that it plays a key role in the oversight of Selecta’s culture and in holding management accountable for the creation and stewardship of that culture. One of the ways the Board of Directors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of Directors, and acting as a role model and conducting business with high integrity. These objectives are meant, in part, to drive and maintain a positive corporate culture to attract, engage, and retain key talent for the Company. Additionally, the Board of Directors believes an engaged and empowered workforce contributes significantly to the creation of shareholder value.</w:t>
      </w:r>
    </w:p>
    <w:p>
      <w:pPr>
        <w:spacing w:after="0" w:line="6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evaluating the suitability of individual candidates for internal positions and to serve on our Board of Directors,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2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Our Board of Directors has adopted an Insider Trading Compliance Policy, which applies to all of our directors, officers and employees. The policy prohibits our directors, officers and employees and any entities they control from engaging in all hedging or monetization transactions, such as zero-cost collars and forward sale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By Members Of The Board Of Directors At Meetings</w:t>
      </w:r>
    </w:p>
    <w:p>
      <w:pPr>
        <w:spacing w:after="0" w:line="121" w:lineRule="exact"/>
        <w:rPr>
          <w:sz w:val="20"/>
          <w:szCs w:val="20"/>
          <w:color w:val="auto"/>
        </w:rPr>
      </w:pPr>
    </w:p>
    <w:p>
      <w:pPr>
        <w:jc w:val="both"/>
        <w:ind w:right="220" w:firstLine="324"/>
        <w:spacing w:after="0" w:line="311" w:lineRule="auto"/>
        <w:rPr>
          <w:sz w:val="20"/>
          <w:szCs w:val="20"/>
          <w:color w:val="auto"/>
        </w:rPr>
      </w:pPr>
      <w:r>
        <w:rPr>
          <w:rFonts w:ascii="Arial" w:cs="Arial" w:eastAsia="Arial" w:hAnsi="Arial"/>
          <w:sz w:val="16"/>
          <w:szCs w:val="16"/>
          <w:color w:val="auto"/>
        </w:rPr>
        <w:t>There were twelve meetings of the Board of Directors during the fiscal year ended December 31, 2020. Our independent directors also had regularly scheduled executive sessions. During the fiscal year ended December 31, 2020, each director attended at least 75% of the aggregate of (i) all meetings of the Board of Directors and (ii) all meetings of the committees on which the director served during the period in which he served as a director.</w:t>
      </w:r>
    </w:p>
    <w:p>
      <w:pPr>
        <w:spacing w:after="0" w:line="4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Under our Corporate Governance Guidelines, which are available on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seven then-incumbent directors attended the 2020 Annual Meeting of Stockholders.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Board has established four standing committees--Audit, Compensation, Nominating and Corporate Governance, and Science--each of which operates under a written charter that has been approved by our Board.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Nominating and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Audit</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4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Corporate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Science</w:t>
            </w: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Governance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Chair</w:t>
            </w: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Scott D. Myers</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Chair</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Aymeric Sallin</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86"/>
        </w:trPr>
        <w:tc>
          <w:tcPr>
            <w:tcW w:w="5400" w:type="dxa"/>
            <w:vAlign w:val="bottom"/>
            <w:gridSpan w:val="2"/>
          </w:tcPr>
          <w:p>
            <w:pPr>
              <w:ind w:left="20"/>
              <w:spacing w:after="0"/>
              <w:rPr>
                <w:sz w:val="20"/>
                <w:szCs w:val="20"/>
                <w:color w:val="auto"/>
              </w:rPr>
            </w:pPr>
            <w:r>
              <w:rPr>
                <w:rFonts w:ascii="Arial" w:cs="Arial" w:eastAsia="Arial" w:hAnsi="Arial"/>
                <w:sz w:val="14"/>
                <w:szCs w:val="14"/>
                <w:color w:val="auto"/>
              </w:rPr>
              <w:t>Timothy A. Springer, Ph.D.</w:t>
            </w:r>
          </w:p>
        </w:tc>
        <w:tc>
          <w:tcPr>
            <w:tcW w:w="13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rPr>
              <w:t>X</w:t>
            </w:r>
          </w:p>
        </w:tc>
        <w:tc>
          <w:tcPr>
            <w:tcW w:w="1400" w:type="dxa"/>
            <w:vAlign w:val="bottom"/>
          </w:tcPr>
          <w:p>
            <w:pPr>
              <w:jc w:val="center"/>
              <w:spacing w:after="0"/>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r>
        <w:trPr>
          <w:trHeight w:val="19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Patrick Zenner</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Chair</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11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13 of this Proxy Statement).</w:t>
      </w:r>
    </w:p>
    <w:p>
      <w:pPr>
        <w:spacing w:after="0" w:line="1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Audit Committee charter is available on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of Directors has determined that each of Mr. Barabe and Mr. Zenner qualifies as an “audit committee financial expert” as defined by Item 407(d)(5)(ii) of Regulation S-K.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the Audit Committee met six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with respect to, the compensation of our CEO and other executive officers;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administering our cash and equity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it in carrying out its responsibilities.</w:t>
      </w:r>
    </w:p>
    <w:p>
      <w:pPr>
        <w:spacing w:after="0" w:line="62"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Compensation Committee may delegate its authority under its charter to one or more subcommittees as it deems appropriate from time to time as further described in its charter, which is available on our website at www.selectabio.com. The Compensation Committee may also delegate to an officer the authority to grant equity awards to certain employees, as further described in its charter and subject to the terms of our equity plans.</w:t>
      </w:r>
    </w:p>
    <w:p>
      <w:pPr>
        <w:spacing w:after="0" w:line="5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2020,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2020 raised a conflict of interest.</w:t>
      </w:r>
    </w:p>
    <w:p>
      <w:pPr>
        <w:spacing w:after="0" w:line="5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69"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The Compensation Committee charter is available on our website at www.selectabio.com. The members of our Compensation Committee are Scott D. Myers, Göran Ando, M.D., Carrie S. Cox and Aymeric Sallin. Scott D. Myers serves as Chairperson of the committee. Our Board of Directors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as defined in Rule 16b</w:t>
      </w:r>
      <w:r>
        <w:rPr>
          <w:rFonts w:ascii="MS PGothic" w:cs="MS PGothic" w:eastAsia="MS PGothic" w:hAnsi="MS PGothic"/>
          <w:sz w:val="18"/>
          <w:szCs w:val="18"/>
          <w:color w:val="auto"/>
        </w:rPr>
        <w:t>‑</w:t>
      </w:r>
      <w:r>
        <w:rPr>
          <w:rFonts w:ascii="Arial" w:cs="Arial" w:eastAsia="Arial" w:hAnsi="Arial"/>
          <w:sz w:val="18"/>
          <w:szCs w:val="18"/>
          <w:color w:val="auto"/>
        </w:rPr>
        <w:t>3 promulgated under the Exchange Act.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the Compensation Committee met eight times.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board committee;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management succession planning;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a periodic assessment of our Board of Directors.</w:t>
      </w:r>
    </w:p>
    <w:p>
      <w:pPr>
        <w:spacing w:after="0" w:line="11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Nominating and Corporate Governance Committee charter is available on our website at www.selectabio.com. The members of our Nominating and Corporate Governance Committee are Patrick Zenner, Scott D. Myers and Timothy A. Springer, Ph.D. Mr. Zenner serves as the Chairperson of the committee. Our Board of Directors has determined that Mr. Myers, Dr. Springer and Mr. Zenner are independent under the applicable Nasdaq rules.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2020, the Nominating and Corporate Governance Committee met five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Science Committee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Science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advising our Board of Directors on the overall strategy, direction and effectiveness of the Company’s research and development programs</w:t>
      </w:r>
    </w:p>
    <w:p>
      <w:pPr>
        <w:spacing w:after="0" w:line="128"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monitoring trends in research and development, and reporting to our Board of Directors and management regarding emerging technologies for building the Company’s technological strength;</w:t>
      </w:r>
    </w:p>
    <w:p>
      <w:pPr>
        <w:spacing w:after="0" w:line="6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advising on the soundness, opportunities and risks associated with the products, programs and technologies in which the Company is, or is considering, investing its research and development efforts;</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advising our Board of Directors on the Company’s current and potential internal and external programs and investments in science and technology; and</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and management with respect to the Company’s research and development pipeline.</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Timothy A. Springer, Ph.D. is the sole member of our Science Committee and also serves as the Chairperson of the committee. Our Board of Directors has determined that Dr. Springer is independent under the applicable Nasdaq rules.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00"/>
          </w:cols>
          <w:pgMar w:left="320" w:top="125" w:right="3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identified below. For 2020, our named executive officers and their positions as of December 31, 2020 were:</w:t>
      </w:r>
    </w:p>
    <w:p>
      <w:pPr>
        <w:spacing w:after="0" w:line="6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Carsten Brunn, Ph.D., President and Chief Executive Officer;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Bradford D. Dahms, Chief Financial Officer;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Peter G. Traber, M.D., Chief Medical Officer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Dr. Traber commenced employment as our Chief Medical Officer effective August 1, 2020.</w:t>
      </w:r>
    </w:p>
    <w:p>
      <w:pPr>
        <w:spacing w:after="0" w:line="11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(the “JOBS Act”), and have elected to comply with the reduced compensation disclosure requirements available to emerging growth companies under the JOBS Act.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Non-equity</w:t>
            </w: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All other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Salary</w:t>
            </w:r>
          </w:p>
        </w:tc>
        <w:tc>
          <w:tcPr>
            <w:tcW w:w="1120" w:type="dxa"/>
            <w:vAlign w:val="bottom"/>
          </w:tcPr>
          <w:p>
            <w:pPr>
              <w:spacing w:after="0"/>
              <w:rPr>
                <w:sz w:val="11"/>
                <w:szCs w:val="11"/>
                <w:color w:val="auto"/>
              </w:rPr>
            </w:pP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incentive plan</w:t>
            </w:r>
          </w:p>
        </w:tc>
        <w:tc>
          <w:tcPr>
            <w:tcW w:w="14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 and principal position</w:t>
            </w:r>
          </w:p>
        </w:tc>
        <w:tc>
          <w:tcPr>
            <w:tcW w:w="1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Year</w:t>
            </w:r>
          </w:p>
        </w:tc>
        <w:tc>
          <w:tcPr>
            <w:tcW w:w="1180" w:type="dxa"/>
            <w:vAlign w:val="bottom"/>
            <w:vMerge w:val="continue"/>
          </w:tcPr>
          <w:p>
            <w:pPr>
              <w:spacing w:after="0"/>
              <w:rPr>
                <w:sz w:val="11"/>
                <w:szCs w:val="11"/>
                <w:color w:val="auto"/>
              </w:rPr>
            </w:pP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Bonus ($)</w:t>
            </w:r>
          </w:p>
        </w:tc>
        <w:tc>
          <w:tcPr>
            <w:tcW w:w="1220" w:type="dxa"/>
            <w:vAlign w:val="bottom"/>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compensation ($)</w:t>
            </w:r>
          </w:p>
        </w:tc>
        <w:tc>
          <w:tcPr>
            <w:tcW w:w="14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compensation ($)</w:t>
            </w: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29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80" w:type="dxa"/>
            <w:vAlign w:val="bottom"/>
          </w:tcPr>
          <w:p>
            <w:pPr>
              <w:jc w:val="right"/>
              <w:ind w:right="448"/>
              <w:spacing w:after="0"/>
              <w:rPr>
                <w:sz w:val="20"/>
                <w:szCs w:val="20"/>
                <w:color w:val="auto"/>
              </w:rPr>
            </w:pPr>
            <w:r>
              <w:rPr>
                <w:rFonts w:ascii="Arial" w:cs="Arial" w:eastAsia="Arial" w:hAnsi="Arial"/>
                <w:sz w:val="14"/>
                <w:szCs w:val="14"/>
                <w:b w:val="1"/>
                <w:bCs w:val="1"/>
                <w:color w:val="auto"/>
              </w:rPr>
              <w:t>($)(1)</w:t>
            </w:r>
          </w:p>
        </w:tc>
        <w:tc>
          <w:tcPr>
            <w:tcW w:w="1120" w:type="dxa"/>
            <w:vAlign w:val="bottom"/>
            <w:vMerge w:val="continue"/>
          </w:tcPr>
          <w:p>
            <w:pPr>
              <w:spacing w:after="0"/>
              <w:rPr>
                <w:sz w:val="16"/>
                <w:szCs w:val="16"/>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($)(2)</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rPr>
              <w:t>(4)</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Carsten Brunn, Ph.D.</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550,000</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50,000</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1,178,324</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316,250</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773</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2,095,347</w:t>
            </w:r>
          </w:p>
        </w:tc>
        <w:tc>
          <w:tcPr>
            <w:tcW w:w="0" w:type="dxa"/>
            <w:vAlign w:val="bottom"/>
          </w:tcPr>
          <w:p>
            <w:pPr>
              <w:spacing w:after="0"/>
              <w:rPr>
                <w:sz w:val="1"/>
                <w:szCs w:val="1"/>
                <w:color w:val="auto"/>
              </w:rPr>
            </w:pPr>
          </w:p>
        </w:tc>
      </w:tr>
      <w:tr>
        <w:trPr>
          <w:trHeight w:val="135"/>
        </w:trPr>
        <w:tc>
          <w:tcPr>
            <w:tcW w:w="2940" w:type="dxa"/>
            <w:vAlign w:val="bottom"/>
          </w:tcPr>
          <w:p>
            <w:pPr>
              <w:ind w:left="240"/>
              <w:spacing w:after="0" w:line="135" w:lineRule="exact"/>
              <w:rPr>
                <w:sz w:val="20"/>
                <w:szCs w:val="20"/>
                <w:color w:val="auto"/>
              </w:rPr>
            </w:pPr>
            <w:r>
              <w:rPr>
                <w:rFonts w:ascii="Arial" w:cs="Arial" w:eastAsia="Arial" w:hAnsi="Arial"/>
                <w:sz w:val="14"/>
                <w:szCs w:val="14"/>
                <w:i w:val="1"/>
                <w:iCs w:val="1"/>
                <w:color w:val="auto"/>
              </w:rPr>
              <w:t>President and</w:t>
            </w:r>
          </w:p>
        </w:tc>
        <w:tc>
          <w:tcPr>
            <w:tcW w:w="1000" w:type="dxa"/>
            <w:vAlign w:val="bottom"/>
            <w:vMerge w:val="restart"/>
          </w:tcPr>
          <w:p>
            <w:pPr>
              <w:ind w:left="420"/>
              <w:spacing w:after="0"/>
              <w:rPr>
                <w:sz w:val="20"/>
                <w:szCs w:val="20"/>
                <w:color w:val="auto"/>
              </w:rPr>
            </w:pPr>
            <w:r>
              <w:rPr>
                <w:rFonts w:ascii="Arial" w:cs="Arial" w:eastAsia="Arial" w:hAnsi="Arial"/>
                <w:sz w:val="14"/>
                <w:szCs w:val="14"/>
                <w:color w:val="auto"/>
              </w:rPr>
              <w:t>2019</w:t>
            </w: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color w:val="auto"/>
              </w:rPr>
              <w:t>550,000</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1,043,972</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color w:val="auto"/>
              </w:rPr>
              <w:t>275,000</w:t>
            </w:r>
          </w:p>
        </w:tc>
        <w:tc>
          <w:tcPr>
            <w:tcW w:w="1420" w:type="dxa"/>
            <w:vAlign w:val="bottom"/>
            <w:vMerge w:val="restart"/>
          </w:tcPr>
          <w:p>
            <w:pPr>
              <w:jc w:val="right"/>
              <w:ind w:right="168"/>
              <w:spacing w:after="0"/>
              <w:rPr>
                <w:sz w:val="20"/>
                <w:szCs w:val="20"/>
                <w:color w:val="auto"/>
              </w:rPr>
            </w:pPr>
            <w:r>
              <w:rPr>
                <w:rFonts w:ascii="Arial" w:cs="Arial" w:eastAsia="Arial" w:hAnsi="Arial"/>
                <w:sz w:val="14"/>
                <w:szCs w:val="14"/>
                <w:color w:val="auto"/>
              </w:rPr>
              <w:t>117,523</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1,986,495</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10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Bradford D. Dahms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370,577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323,644</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172,500</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67,635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959,356</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Financial Officer</w:t>
            </w: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113,077</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50,000</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499,753</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60,000</w:t>
            </w: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45,774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768,604</w:t>
            </w:r>
          </w:p>
        </w:tc>
        <w:tc>
          <w:tcPr>
            <w:tcW w:w="0" w:type="dxa"/>
            <w:vAlign w:val="bottom"/>
          </w:tcPr>
          <w:p>
            <w:pPr>
              <w:spacing w:after="0"/>
              <w:rPr>
                <w:sz w:val="1"/>
                <w:szCs w:val="1"/>
                <w:color w:val="auto"/>
              </w:rPr>
            </w:pPr>
          </w:p>
        </w:tc>
      </w:tr>
      <w:tr>
        <w:trPr>
          <w:trHeight w:val="294"/>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Peter G. Traber, M.D.</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2020</w:t>
            </w:r>
          </w:p>
        </w:tc>
        <w:tc>
          <w:tcPr>
            <w:tcW w:w="11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177,692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75,000</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1,174,027</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84,333</w:t>
            </w:r>
          </w:p>
        </w:tc>
        <w:tc>
          <w:tcPr>
            <w:tcW w:w="1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1,805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1,512,857</w:t>
            </w:r>
          </w:p>
        </w:tc>
        <w:tc>
          <w:tcPr>
            <w:tcW w:w="0" w:type="dxa"/>
            <w:vAlign w:val="bottom"/>
          </w:tcPr>
          <w:p>
            <w:pPr>
              <w:spacing w:after="0"/>
              <w:rPr>
                <w:sz w:val="1"/>
                <w:szCs w:val="1"/>
                <w:color w:val="auto"/>
              </w:rPr>
            </w:pPr>
          </w:p>
        </w:tc>
      </w:tr>
      <w:tr>
        <w:trPr>
          <w:trHeight w:val="186"/>
        </w:trPr>
        <w:tc>
          <w:tcPr>
            <w:tcW w:w="294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Medical Officer</w:t>
            </w:r>
          </w:p>
        </w:tc>
        <w:tc>
          <w:tcPr>
            <w:tcW w:w="10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0" w:hanging="332"/>
        <w:spacing w:after="0" w:line="277"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amounts represent actual earnings for the calendar year, which may be impacted by, among other things, hire date and the timing of any salary increases made during the year.</w:t>
      </w:r>
    </w:p>
    <w:p>
      <w:pPr>
        <w:spacing w:after="0" w:line="62" w:lineRule="exact"/>
        <w:rPr>
          <w:rFonts w:ascii="Arial" w:cs="Arial" w:eastAsia="Arial" w:hAnsi="Arial"/>
          <w:sz w:val="18"/>
          <w:szCs w:val="18"/>
          <w:color w:val="auto"/>
        </w:rPr>
      </w:pPr>
    </w:p>
    <w:p>
      <w:pPr>
        <w:ind w:left="340" w:right="200" w:hanging="332"/>
        <w:spacing w:after="0" w:line="263"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2020 Annual Report.</w:t>
      </w:r>
    </w:p>
    <w:p>
      <w:pPr>
        <w:spacing w:after="0" w:line="75"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Non-equity incentive plan compensation represents amounts earned under our annual performance based bonus program. For additional information, see “Performance Bonuses” below.</w:t>
      </w:r>
    </w:p>
    <w:p>
      <w:pPr>
        <w:spacing w:after="0" w:line="62" w:lineRule="exact"/>
        <w:rPr>
          <w:rFonts w:ascii="Arial" w:cs="Arial" w:eastAsia="Arial" w:hAnsi="Arial"/>
          <w:sz w:val="18"/>
          <w:szCs w:val="18"/>
          <w:color w:val="auto"/>
        </w:rPr>
      </w:pPr>
    </w:p>
    <w:p>
      <w:pPr>
        <w:ind w:left="340" w:right="100" w:hanging="332"/>
        <w:spacing w:after="0" w:line="279" w:lineRule="auto"/>
        <w:tabs>
          <w:tab w:leader="none" w:pos="3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Dr. Brunn, the amount for 2020 includes $773 representing payments on Dr. Brunn’s term life insurance policy. For Mr. Dahms, the amount for 2020 includes $63,966 representing payment or reimbursement of travel and relocation expenses and a tax gross-up relating to such payments, $3,400 representing the Company’s 401(k) matching contribution and $269 representing payments on Mr. Dahms’ term life insurance policy. For Dr. Traber, the amount includes $1,805 representing payments on Dr. Traber’s term life insurance policy.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Dr. Brunn did not receive a base salary increase for 2020. At the end of 2019, the Compensation Committee recommended to the Board of Directors, and the Board of Directors approved an increase in Mr. Dahms’ annual base salary from $350,000 to $375,000 for 2020. Dr. Traber joined the Company in August 2020 with an annual base salary of $440,000.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2020 target bonus amount for Dr. Brunn was 50% of his base salary, for Mr. Dahms was 40% of his base salary and for Dr. Traber was 40% of his base salary.</w:t>
      </w:r>
    </w:p>
    <w:p>
      <w:pPr>
        <w:spacing w:after="0" w:line="7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2020, bonuses were entirely determined based on Company performance in meeting clinical, business development and financial goals.</w:t>
      </w:r>
    </w:p>
    <w:p>
      <w:pPr>
        <w:spacing w:after="0" w:line="7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actual cash bonuses earned by Dr. Brunn, Mr. Dahms and Dr. Traber for 2020 are reported under the “Non-equity incentive plan compensation” column.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of Directors determined appropriate to recruit, retain or reward particular named executive officers.</w:t>
      </w:r>
    </w:p>
    <w:p>
      <w:pPr>
        <w:spacing w:after="0" w:line="5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the Company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8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also maintain the 2018 Employment Inducement Incentive Award Plan (as amended, the “2018 Plan”), which was adopted by the Board on September 25, 2018 without stockholder approval pursuant to Rule 5635(c)(4) of the Nasdaq Stock Market LLC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 awards may be intended to qualify as incentive stock options under the Code.</w:t>
      </w:r>
    </w:p>
    <w:p>
      <w:pPr>
        <w:spacing w:after="0" w:line="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early 2020, we granted to Mr. Dahms and Dr. Brunn options to purchase 180,000 and 675,000 shares of our Common Stock, respectively, under the 2016 Plan. Such options vest as to 25% of the total shares underlying the option on the first anniversary of the grant date and in equal monthly installments over the ensuing 36 months, subject to the executive’s continued service with us through the applicable vesting date. Dr. Traber was granted options to purchase 650,000 shares of our Common Stock under the 2016 Plan at his employment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11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76"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2020, we also provided certain travel and relocation benefits to Mr. Dahms pursuant to his employment agreements. Mr. Dahms received payments totaling $63,966 in 2020 and $45,702 in 2019, which constituted reimbursement for commuting-related travel and relocation expenses, as well as a tax gross-up to offset the tax liability incurred for such travel and relocation benefits.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Option Awards</w:t>
            </w:r>
          </w:p>
        </w:tc>
        <w:tc>
          <w:tcPr>
            <w:tcW w:w="10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3"/>
                <w:szCs w:val="13"/>
                <w:b w:val="1"/>
                <w:bCs w:val="1"/>
                <w:color w:val="auto"/>
                <w:w w:val="93"/>
              </w:rPr>
              <w:t>Stock Awards</w:t>
            </w:r>
          </w:p>
        </w:tc>
        <w:tc>
          <w:tcPr>
            <w:tcW w:w="0" w:type="dxa"/>
            <w:vAlign w:val="bottom"/>
          </w:tcPr>
          <w:p>
            <w:pPr>
              <w:spacing w:after="0"/>
              <w:rPr>
                <w:sz w:val="1"/>
                <w:szCs w:val="1"/>
                <w:color w:val="auto"/>
              </w:rPr>
            </w:pPr>
          </w:p>
        </w:tc>
      </w:tr>
      <w:tr>
        <w:trPr>
          <w:trHeight w:val="136"/>
        </w:trPr>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ind w:left="320"/>
              <w:spacing w:after="0" w:line="136" w:lineRule="exact"/>
              <w:rPr>
                <w:sz w:val="20"/>
                <w:szCs w:val="20"/>
                <w:color w:val="auto"/>
              </w:rPr>
            </w:pPr>
            <w:r>
              <w:rPr>
                <w:rFonts w:ascii="Arial" w:cs="Arial" w:eastAsia="Arial" w:hAnsi="Arial"/>
                <w:sz w:val="13"/>
                <w:szCs w:val="13"/>
                <w:b w:val="1"/>
                <w:bCs w:val="1"/>
                <w:color w:val="auto"/>
              </w:rPr>
              <w:t>Number of</w:t>
            </w:r>
          </w:p>
        </w:tc>
        <w:tc>
          <w:tcPr>
            <w:tcW w:w="1440" w:type="dxa"/>
            <w:vAlign w:val="bottom"/>
          </w:tcPr>
          <w:p>
            <w:pPr>
              <w:ind w:left="380"/>
              <w:spacing w:after="0" w:line="136" w:lineRule="exact"/>
              <w:rPr>
                <w:sz w:val="20"/>
                <w:szCs w:val="20"/>
                <w:color w:val="auto"/>
              </w:rPr>
            </w:pPr>
            <w:r>
              <w:rPr>
                <w:rFonts w:ascii="Arial" w:cs="Arial" w:eastAsia="Arial" w:hAnsi="Arial"/>
                <w:sz w:val="13"/>
                <w:szCs w:val="13"/>
                <w:b w:val="1"/>
                <w:bCs w:val="1"/>
                <w:color w:val="auto"/>
              </w:rPr>
              <w:t>Number of</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securities</w:t>
            </w:r>
          </w:p>
        </w:tc>
        <w:tc>
          <w:tcPr>
            <w:tcW w:w="14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88"/>
              </w:rPr>
              <w:t>securities</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2"/>
              </w:rPr>
              <w:t>Number of shares</w:t>
            </w: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Vesting</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underlying</w:t>
            </w:r>
          </w:p>
        </w:tc>
        <w:tc>
          <w:tcPr>
            <w:tcW w:w="14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6"/>
              </w:rPr>
              <w:t>underlying</w:t>
            </w:r>
          </w:p>
        </w:tc>
        <w:tc>
          <w:tcPr>
            <w:tcW w:w="10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Option</w:t>
            </w:r>
          </w:p>
        </w:tc>
        <w:tc>
          <w:tcPr>
            <w:tcW w:w="1140" w:type="dxa"/>
            <w:vAlign w:val="bottom"/>
            <w:vMerge w:val="restart"/>
          </w:tcPr>
          <w:p>
            <w:pPr>
              <w:jc w:val="center"/>
              <w:ind w:left="93"/>
              <w:spacing w:after="0"/>
              <w:rPr>
                <w:sz w:val="20"/>
                <w:szCs w:val="20"/>
                <w:color w:val="auto"/>
              </w:rPr>
            </w:pPr>
            <w:r>
              <w:rPr>
                <w:rFonts w:ascii="Arial" w:cs="Arial" w:eastAsia="Arial" w:hAnsi="Arial"/>
                <w:sz w:val="13"/>
                <w:szCs w:val="13"/>
                <w:b w:val="1"/>
                <w:bCs w:val="1"/>
                <w:color w:val="auto"/>
              </w:rPr>
              <w:t>Option</w:t>
            </w:r>
          </w:p>
        </w:tc>
        <w:tc>
          <w:tcPr>
            <w:tcW w:w="12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4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89"/>
              </w:rPr>
              <w:t>unexercised</w:t>
            </w:r>
          </w:p>
        </w:tc>
        <w:tc>
          <w:tcPr>
            <w:tcW w:w="10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80" w:type="dxa"/>
            <w:vAlign w:val="bottom"/>
          </w:tcPr>
          <w:p>
            <w:pPr>
              <w:jc w:val="center"/>
              <w:ind w:left="73"/>
              <w:spacing w:after="0" w:line="135" w:lineRule="exact"/>
              <w:rPr>
                <w:sz w:val="20"/>
                <w:szCs w:val="20"/>
                <w:color w:val="auto"/>
              </w:rPr>
            </w:pPr>
            <w:r>
              <w:rPr>
                <w:rFonts w:ascii="Arial" w:cs="Arial" w:eastAsia="Arial" w:hAnsi="Arial"/>
                <w:sz w:val="13"/>
                <w:szCs w:val="13"/>
                <w:b w:val="1"/>
                <w:bCs w:val="1"/>
                <w:color w:val="auto"/>
                <w:w w:val="92"/>
              </w:rPr>
              <w:t>or units of stock</w:t>
            </w:r>
          </w:p>
        </w:tc>
        <w:tc>
          <w:tcPr>
            <w:tcW w:w="3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or units of stock</w:t>
            </w:r>
          </w:p>
        </w:tc>
        <w:tc>
          <w:tcPr>
            <w:tcW w:w="0" w:type="dxa"/>
            <w:vAlign w:val="bottom"/>
          </w:tcPr>
          <w:p>
            <w:pPr>
              <w:spacing w:after="0"/>
              <w:rPr>
                <w:sz w:val="1"/>
                <w:szCs w:val="1"/>
                <w:color w:val="auto"/>
              </w:rPr>
            </w:pPr>
          </w:p>
        </w:tc>
      </w:tr>
      <w:tr>
        <w:trPr>
          <w:trHeight w:val="135"/>
        </w:trPr>
        <w:tc>
          <w:tcPr>
            <w:tcW w:w="10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14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Grant date</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Commencement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options (#)</w:t>
            </w:r>
          </w:p>
        </w:tc>
        <w:tc>
          <w:tcPr>
            <w:tcW w:w="14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0"/>
              </w:rPr>
              <w:t>options (#)</w:t>
            </w:r>
          </w:p>
        </w:tc>
        <w:tc>
          <w:tcPr>
            <w:tcW w:w="1080" w:type="dxa"/>
            <w:vAlign w:val="bottom"/>
          </w:tcPr>
          <w:p>
            <w:pPr>
              <w:ind w:left="280"/>
              <w:spacing w:after="0" w:line="135" w:lineRule="exact"/>
              <w:rPr>
                <w:sz w:val="20"/>
                <w:szCs w:val="20"/>
                <w:color w:val="auto"/>
              </w:rPr>
            </w:pPr>
            <w:r>
              <w:rPr>
                <w:rFonts w:ascii="Arial" w:cs="Arial" w:eastAsia="Arial" w:hAnsi="Arial"/>
                <w:sz w:val="13"/>
                <w:szCs w:val="13"/>
                <w:b w:val="1"/>
                <w:bCs w:val="1"/>
                <w:color w:val="auto"/>
              </w:rPr>
              <w:t>exercise</w:t>
            </w:r>
          </w:p>
        </w:tc>
        <w:tc>
          <w:tcPr>
            <w:tcW w:w="1140" w:type="dxa"/>
            <w:vAlign w:val="bottom"/>
          </w:tcPr>
          <w:p>
            <w:pPr>
              <w:jc w:val="center"/>
              <w:ind w:left="53"/>
              <w:spacing w:after="0" w:line="135" w:lineRule="exact"/>
              <w:rPr>
                <w:sz w:val="20"/>
                <w:szCs w:val="20"/>
                <w:color w:val="auto"/>
              </w:rPr>
            </w:pPr>
            <w:r>
              <w:rPr>
                <w:rFonts w:ascii="Arial" w:cs="Arial" w:eastAsia="Arial" w:hAnsi="Arial"/>
                <w:sz w:val="13"/>
                <w:szCs w:val="13"/>
                <w:b w:val="1"/>
                <w:bCs w:val="1"/>
                <w:color w:val="auto"/>
                <w:w w:val="93"/>
              </w:rPr>
              <w:t>expiration</w:t>
            </w:r>
          </w:p>
        </w:tc>
        <w:tc>
          <w:tcPr>
            <w:tcW w:w="1280" w:type="dxa"/>
            <w:vAlign w:val="bottom"/>
          </w:tcPr>
          <w:p>
            <w:pPr>
              <w:jc w:val="center"/>
              <w:ind w:left="53"/>
              <w:spacing w:after="0" w:line="135" w:lineRule="exact"/>
              <w:rPr>
                <w:sz w:val="20"/>
                <w:szCs w:val="20"/>
                <w:color w:val="auto"/>
              </w:rPr>
            </w:pPr>
            <w:r>
              <w:rPr>
                <w:rFonts w:ascii="Arial" w:cs="Arial" w:eastAsia="Arial" w:hAnsi="Arial"/>
                <w:sz w:val="13"/>
                <w:szCs w:val="13"/>
                <w:b w:val="1"/>
                <w:bCs w:val="1"/>
                <w:color w:val="auto"/>
                <w:w w:val="93"/>
              </w:rPr>
              <w:t>that have not</w:t>
            </w:r>
          </w:p>
        </w:tc>
        <w:tc>
          <w:tcPr>
            <w:tcW w:w="3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that have not</w:t>
            </w:r>
          </w:p>
        </w:tc>
        <w:tc>
          <w:tcPr>
            <w:tcW w:w="0" w:type="dxa"/>
            <w:vAlign w:val="bottom"/>
          </w:tcPr>
          <w:p>
            <w:pPr>
              <w:spacing w:after="0"/>
              <w:rPr>
                <w:sz w:val="1"/>
                <w:szCs w:val="1"/>
                <w:color w:val="auto"/>
              </w:rPr>
            </w:pPr>
          </w:p>
        </w:tc>
      </w:tr>
      <w:tr>
        <w:trPr>
          <w:trHeight w:val="182"/>
        </w:trPr>
        <w:tc>
          <w:tcPr>
            <w:tcW w:w="10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Date (1)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exercisable (2)</w:t>
            </w: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unexercisable (2)</w:t>
            </w: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price ($)</w:t>
            </w: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date</w:t>
            </w:r>
          </w:p>
        </w:tc>
        <w:tc>
          <w:tcPr>
            <w:tcW w:w="128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88"/>
              </w:rPr>
              <w:t>vested (#)</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vested ($) (3)</w:t>
            </w:r>
          </w:p>
        </w:tc>
        <w:tc>
          <w:tcPr>
            <w:tcW w:w="0" w:type="dxa"/>
            <w:vAlign w:val="bottom"/>
          </w:tcPr>
          <w:p>
            <w:pPr>
              <w:spacing w:after="0"/>
              <w:rPr>
                <w:sz w:val="1"/>
                <w:szCs w:val="1"/>
                <w:color w:val="auto"/>
              </w:rPr>
            </w:pPr>
          </w:p>
        </w:tc>
      </w:tr>
      <w:tr>
        <w:trPr>
          <w:trHeight w:val="138"/>
        </w:trPr>
        <w:tc>
          <w:tcPr>
            <w:tcW w:w="10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Carsten Brunn,</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vMerge w:val="restart"/>
            <w:shd w:val="clear" w:color="auto" w:fill="CCEEFF"/>
          </w:tcPr>
          <w:p>
            <w:pPr>
              <w:jc w:val="center"/>
              <w:ind w:right="13"/>
              <w:spacing w:after="0"/>
              <w:rPr>
                <w:sz w:val="20"/>
                <w:szCs w:val="20"/>
                <w:color w:val="auto"/>
              </w:rPr>
            </w:pPr>
            <w:r>
              <w:rPr>
                <w:rFonts w:ascii="Arial" w:cs="Arial" w:eastAsia="Arial" w:hAnsi="Arial"/>
                <w:sz w:val="13"/>
                <w:szCs w:val="13"/>
                <w:color w:val="auto"/>
                <w:w w:val="90"/>
              </w:rPr>
              <w:t>75,000</w:t>
            </w:r>
          </w:p>
        </w:tc>
        <w:tc>
          <w:tcPr>
            <w:tcW w:w="1080" w:type="dxa"/>
            <w:vAlign w:val="bottom"/>
            <w:vMerge w:val="restart"/>
            <w:shd w:val="clear" w:color="auto" w:fill="CCEEFF"/>
          </w:tcPr>
          <w:p>
            <w:pPr>
              <w:jc w:val="center"/>
              <w:ind w:right="13"/>
              <w:spacing w:after="0"/>
              <w:rPr>
                <w:sz w:val="20"/>
                <w:szCs w:val="20"/>
                <w:color w:val="auto"/>
              </w:rPr>
            </w:pPr>
            <w:r>
              <w:rPr>
                <w:rFonts w:ascii="Arial" w:cs="Arial" w:eastAsia="Arial" w:hAnsi="Arial"/>
                <w:sz w:val="13"/>
                <w:szCs w:val="13"/>
                <w:color w:val="auto"/>
                <w:w w:val="94"/>
              </w:rPr>
              <w:t>2.84</w:t>
            </w:r>
          </w:p>
        </w:tc>
        <w:tc>
          <w:tcPr>
            <w:tcW w:w="1140" w:type="dxa"/>
            <w:vAlign w:val="bottom"/>
            <w:vMerge w:val="restart"/>
            <w:shd w:val="clear" w:color="auto" w:fill="CCEEFF"/>
          </w:tcPr>
          <w:p>
            <w:pPr>
              <w:jc w:val="center"/>
              <w:ind w:left="53"/>
              <w:spacing w:after="0"/>
              <w:rPr>
                <w:sz w:val="20"/>
                <w:szCs w:val="20"/>
                <w:color w:val="auto"/>
              </w:rPr>
            </w:pPr>
            <w:r>
              <w:rPr>
                <w:rFonts w:ascii="Arial" w:cs="Arial" w:eastAsia="Arial" w:hAnsi="Arial"/>
                <w:sz w:val="13"/>
                <w:szCs w:val="13"/>
                <w:color w:val="auto"/>
                <w:w w:val="93"/>
              </w:rPr>
              <w:t>6/30/2030</w:t>
            </w:r>
          </w:p>
        </w:tc>
        <w:tc>
          <w:tcPr>
            <w:tcW w:w="1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Ph.D.</w:t>
            </w:r>
          </w:p>
        </w:tc>
        <w:tc>
          <w:tcPr>
            <w:tcW w:w="11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tcPr>
          <w:p>
            <w:pPr>
              <w:jc w:val="center"/>
              <w:ind w:right="13"/>
              <w:spacing w:after="0"/>
              <w:rPr>
                <w:sz w:val="20"/>
                <w:szCs w:val="20"/>
                <w:color w:val="auto"/>
              </w:rPr>
            </w:pPr>
            <w:r>
              <w:rPr>
                <w:rFonts w:ascii="Arial" w:cs="Arial" w:eastAsia="Arial" w:hAnsi="Arial"/>
                <w:sz w:val="13"/>
                <w:szCs w:val="13"/>
                <w:color w:val="auto"/>
                <w:w w:val="93"/>
              </w:rPr>
              <w:t>600,000</w:t>
            </w:r>
          </w:p>
        </w:tc>
        <w:tc>
          <w:tcPr>
            <w:tcW w:w="1080" w:type="dxa"/>
            <w:vAlign w:val="bottom"/>
          </w:tcPr>
          <w:p>
            <w:pPr>
              <w:jc w:val="center"/>
              <w:ind w:right="13"/>
              <w:spacing w:after="0"/>
              <w:rPr>
                <w:sz w:val="20"/>
                <w:szCs w:val="20"/>
                <w:color w:val="auto"/>
              </w:rPr>
            </w:pPr>
            <w:r>
              <w:rPr>
                <w:rFonts w:ascii="Arial" w:cs="Arial" w:eastAsia="Arial" w:hAnsi="Arial"/>
                <w:sz w:val="13"/>
                <w:szCs w:val="13"/>
                <w:color w:val="auto"/>
                <w:w w:val="94"/>
              </w:rPr>
              <w:t>2.30</w:t>
            </w:r>
          </w:p>
        </w:tc>
        <w:tc>
          <w:tcPr>
            <w:tcW w:w="1140" w:type="dxa"/>
            <w:vAlign w:val="bottom"/>
          </w:tcPr>
          <w:p>
            <w:pPr>
              <w:jc w:val="center"/>
              <w:ind w:left="73"/>
              <w:spacing w:after="0"/>
              <w:rPr>
                <w:sz w:val="20"/>
                <w:szCs w:val="20"/>
                <w:color w:val="auto"/>
              </w:rPr>
            </w:pPr>
            <w:r>
              <w:rPr>
                <w:rFonts w:ascii="Arial" w:cs="Arial" w:eastAsia="Arial" w:hAnsi="Arial"/>
                <w:sz w:val="13"/>
                <w:szCs w:val="13"/>
                <w:color w:val="auto"/>
                <w:w w:val="94"/>
              </w:rPr>
              <w:t>1/1/2030</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10/7/2019</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200,000</w:t>
            </w:r>
          </w:p>
        </w:tc>
        <w:tc>
          <w:tcPr>
            <w:tcW w:w="144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3"/>
              </w:rPr>
              <w:t>200,000</w:t>
            </w:r>
          </w:p>
        </w:tc>
        <w:tc>
          <w:tcPr>
            <w:tcW w:w="108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4"/>
              </w:rPr>
              <w:t>1.75</w:t>
            </w:r>
          </w:p>
        </w:tc>
        <w:tc>
          <w:tcPr>
            <w:tcW w:w="1140" w:type="dxa"/>
            <w:vAlign w:val="bottom"/>
            <w:shd w:val="clear" w:color="auto" w:fill="CCEEFF"/>
          </w:tcPr>
          <w:p>
            <w:pPr>
              <w:jc w:val="center"/>
              <w:ind w:left="53"/>
              <w:spacing w:after="0"/>
              <w:rPr>
                <w:sz w:val="20"/>
                <w:szCs w:val="20"/>
                <w:color w:val="auto"/>
              </w:rPr>
            </w:pPr>
            <w:r>
              <w:rPr>
                <w:rFonts w:ascii="Arial" w:cs="Arial" w:eastAsia="Arial" w:hAnsi="Arial"/>
                <w:sz w:val="13"/>
                <w:szCs w:val="13"/>
                <w:color w:val="auto"/>
                <w:w w:val="93"/>
              </w:rPr>
              <w:t>10/6/2029</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3"/>
              </w:rPr>
              <w:t>2/25/2019</w:t>
            </w:r>
          </w:p>
        </w:tc>
        <w:tc>
          <w:tcPr>
            <w:tcW w:w="1420" w:type="dxa"/>
            <w:vAlign w:val="bottom"/>
          </w:tcPr>
          <w:p>
            <w:pPr>
              <w:jc w:val="center"/>
              <w:spacing w:after="0"/>
              <w:rPr>
                <w:sz w:val="20"/>
                <w:szCs w:val="20"/>
                <w:color w:val="auto"/>
              </w:rPr>
            </w:pPr>
            <w:r>
              <w:rPr>
                <w:rFonts w:ascii="Arial" w:cs="Arial" w:eastAsia="Arial" w:hAnsi="Arial"/>
                <w:sz w:val="13"/>
                <w:szCs w:val="13"/>
                <w:color w:val="auto"/>
                <w:w w:val="93"/>
              </w:rPr>
              <w:t>2/25/2019</w:t>
            </w:r>
          </w:p>
        </w:tc>
        <w:tc>
          <w:tcPr>
            <w:tcW w:w="1240" w:type="dxa"/>
            <w:vAlign w:val="bottom"/>
          </w:tcPr>
          <w:p>
            <w:pPr>
              <w:jc w:val="center"/>
              <w:spacing w:after="0"/>
              <w:rPr>
                <w:sz w:val="20"/>
                <w:szCs w:val="20"/>
                <w:color w:val="auto"/>
              </w:rPr>
            </w:pPr>
            <w:r>
              <w:rPr>
                <w:rFonts w:ascii="Arial" w:cs="Arial" w:eastAsia="Arial" w:hAnsi="Arial"/>
                <w:sz w:val="13"/>
                <w:szCs w:val="13"/>
                <w:color w:val="auto"/>
                <w:w w:val="93"/>
              </w:rPr>
              <w:t>151,251</w:t>
            </w:r>
          </w:p>
        </w:tc>
        <w:tc>
          <w:tcPr>
            <w:tcW w:w="1440" w:type="dxa"/>
            <w:vAlign w:val="bottom"/>
          </w:tcPr>
          <w:p>
            <w:pPr>
              <w:jc w:val="center"/>
              <w:ind w:right="13"/>
              <w:spacing w:after="0"/>
              <w:rPr>
                <w:sz w:val="20"/>
                <w:szCs w:val="20"/>
                <w:color w:val="auto"/>
              </w:rPr>
            </w:pPr>
            <w:r>
              <w:rPr>
                <w:rFonts w:ascii="Arial" w:cs="Arial" w:eastAsia="Arial" w:hAnsi="Arial"/>
                <w:sz w:val="13"/>
                <w:szCs w:val="13"/>
                <w:color w:val="auto"/>
                <w:w w:val="93"/>
              </w:rPr>
              <w:t>178,749</w:t>
            </w:r>
          </w:p>
        </w:tc>
        <w:tc>
          <w:tcPr>
            <w:tcW w:w="1080" w:type="dxa"/>
            <w:vAlign w:val="bottom"/>
          </w:tcPr>
          <w:p>
            <w:pPr>
              <w:jc w:val="center"/>
              <w:ind w:right="13"/>
              <w:spacing w:after="0"/>
              <w:rPr>
                <w:sz w:val="20"/>
                <w:szCs w:val="20"/>
                <w:color w:val="auto"/>
              </w:rPr>
            </w:pPr>
            <w:r>
              <w:rPr>
                <w:rFonts w:ascii="Arial" w:cs="Arial" w:eastAsia="Arial" w:hAnsi="Arial"/>
                <w:sz w:val="13"/>
                <w:szCs w:val="13"/>
                <w:color w:val="auto"/>
                <w:w w:val="94"/>
              </w:rPr>
              <w:t>2.20</w:t>
            </w:r>
          </w:p>
        </w:tc>
        <w:tc>
          <w:tcPr>
            <w:tcW w:w="1140" w:type="dxa"/>
            <w:vAlign w:val="bottom"/>
          </w:tcPr>
          <w:p>
            <w:pPr>
              <w:jc w:val="center"/>
              <w:ind w:left="53"/>
              <w:spacing w:after="0"/>
              <w:rPr>
                <w:sz w:val="20"/>
                <w:szCs w:val="20"/>
                <w:color w:val="auto"/>
              </w:rPr>
            </w:pPr>
            <w:r>
              <w:rPr>
                <w:rFonts w:ascii="Arial" w:cs="Arial" w:eastAsia="Arial" w:hAnsi="Arial"/>
                <w:sz w:val="13"/>
                <w:szCs w:val="13"/>
                <w:color w:val="auto"/>
                <w:w w:val="93"/>
              </w:rPr>
              <w:t>2/24/2029</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12/1/2018</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12/1/2018</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500,007</w:t>
            </w:r>
          </w:p>
        </w:tc>
        <w:tc>
          <w:tcPr>
            <w:tcW w:w="144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3"/>
              </w:rPr>
              <w:t>499,993</w:t>
            </w:r>
          </w:p>
        </w:tc>
        <w:tc>
          <w:tcPr>
            <w:tcW w:w="1080" w:type="dxa"/>
            <w:vAlign w:val="bottom"/>
            <w:shd w:val="clear" w:color="auto" w:fill="CCEEFF"/>
          </w:tcPr>
          <w:p>
            <w:pPr>
              <w:jc w:val="center"/>
              <w:ind w:right="13"/>
              <w:spacing w:after="0"/>
              <w:rPr>
                <w:sz w:val="20"/>
                <w:szCs w:val="20"/>
                <w:color w:val="auto"/>
              </w:rPr>
            </w:pPr>
            <w:r>
              <w:rPr>
                <w:rFonts w:ascii="Arial" w:cs="Arial" w:eastAsia="Arial" w:hAnsi="Arial"/>
                <w:sz w:val="13"/>
                <w:szCs w:val="13"/>
                <w:color w:val="auto"/>
                <w:w w:val="94"/>
              </w:rPr>
              <w:t>6.03</w:t>
            </w:r>
          </w:p>
        </w:tc>
        <w:tc>
          <w:tcPr>
            <w:tcW w:w="1140" w:type="dxa"/>
            <w:vAlign w:val="bottom"/>
            <w:shd w:val="clear" w:color="auto" w:fill="CCEEFF"/>
          </w:tcPr>
          <w:p>
            <w:pPr>
              <w:jc w:val="center"/>
              <w:ind w:left="53"/>
              <w:spacing w:after="0"/>
              <w:rPr>
                <w:sz w:val="20"/>
                <w:szCs w:val="20"/>
                <w:color w:val="auto"/>
              </w:rPr>
            </w:pPr>
            <w:r>
              <w:rPr>
                <w:rFonts w:ascii="Arial" w:cs="Arial" w:eastAsia="Arial" w:hAnsi="Arial"/>
                <w:sz w:val="13"/>
                <w:szCs w:val="13"/>
                <w:color w:val="auto"/>
                <w:w w:val="95"/>
              </w:rPr>
              <w:t>11/30/2028</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12/1/2018</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12/1/2018</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auto"/>
                <w:w w:val="95"/>
              </w:rPr>
              <w:t>87,500</w:t>
            </w:r>
          </w:p>
        </w:tc>
        <w:tc>
          <w:tcPr>
            <w:tcW w:w="3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265,125</w:t>
            </w:r>
          </w:p>
        </w:tc>
        <w:tc>
          <w:tcPr>
            <w:tcW w:w="0" w:type="dxa"/>
            <w:vAlign w:val="bottom"/>
          </w:tcPr>
          <w:p>
            <w:pPr>
              <w:spacing w:after="0"/>
              <w:rPr>
                <w:sz w:val="1"/>
                <w:szCs w:val="1"/>
                <w:color w:val="auto"/>
              </w:rPr>
            </w:pPr>
          </w:p>
        </w:tc>
      </w:tr>
      <w:tr>
        <w:trPr>
          <w:trHeight w:val="138"/>
        </w:trPr>
        <w:tc>
          <w:tcPr>
            <w:tcW w:w="10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Bradford D.</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4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4"/>
              </w:rPr>
              <w:t>7/1/2020</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vMerge w:val="restart"/>
            <w:shd w:val="clear" w:color="auto" w:fill="CCEEFF"/>
          </w:tcPr>
          <w:p>
            <w:pPr>
              <w:jc w:val="center"/>
              <w:ind w:right="13"/>
              <w:spacing w:after="0"/>
              <w:rPr>
                <w:sz w:val="20"/>
                <w:szCs w:val="20"/>
                <w:color w:val="auto"/>
              </w:rPr>
            </w:pPr>
            <w:r>
              <w:rPr>
                <w:rFonts w:ascii="Arial" w:cs="Arial" w:eastAsia="Arial" w:hAnsi="Arial"/>
                <w:sz w:val="13"/>
                <w:szCs w:val="13"/>
                <w:color w:val="auto"/>
                <w:w w:val="90"/>
              </w:rPr>
              <w:t>40,000</w:t>
            </w:r>
          </w:p>
        </w:tc>
        <w:tc>
          <w:tcPr>
            <w:tcW w:w="1080" w:type="dxa"/>
            <w:vAlign w:val="bottom"/>
            <w:vMerge w:val="restart"/>
            <w:shd w:val="clear" w:color="auto" w:fill="CCEEFF"/>
          </w:tcPr>
          <w:p>
            <w:pPr>
              <w:jc w:val="center"/>
              <w:ind w:right="13"/>
              <w:spacing w:after="0"/>
              <w:rPr>
                <w:sz w:val="20"/>
                <w:szCs w:val="20"/>
                <w:color w:val="auto"/>
              </w:rPr>
            </w:pPr>
            <w:r>
              <w:rPr>
                <w:rFonts w:ascii="Arial" w:cs="Arial" w:eastAsia="Arial" w:hAnsi="Arial"/>
                <w:sz w:val="13"/>
                <w:szCs w:val="13"/>
                <w:color w:val="auto"/>
                <w:w w:val="94"/>
              </w:rPr>
              <w:t>2.84</w:t>
            </w:r>
          </w:p>
        </w:tc>
        <w:tc>
          <w:tcPr>
            <w:tcW w:w="1140" w:type="dxa"/>
            <w:vAlign w:val="bottom"/>
            <w:vMerge w:val="restart"/>
            <w:shd w:val="clear" w:color="auto" w:fill="CCEEFF"/>
          </w:tcPr>
          <w:p>
            <w:pPr>
              <w:jc w:val="center"/>
              <w:ind w:left="53"/>
              <w:spacing w:after="0"/>
              <w:rPr>
                <w:sz w:val="20"/>
                <w:szCs w:val="20"/>
                <w:color w:val="auto"/>
              </w:rPr>
            </w:pPr>
            <w:r>
              <w:rPr>
                <w:rFonts w:ascii="Arial" w:cs="Arial" w:eastAsia="Arial" w:hAnsi="Arial"/>
                <w:sz w:val="13"/>
                <w:szCs w:val="13"/>
                <w:color w:val="auto"/>
                <w:w w:val="93"/>
              </w:rPr>
              <w:t>6/30/2030</w:t>
            </w:r>
          </w:p>
        </w:tc>
        <w:tc>
          <w:tcPr>
            <w:tcW w:w="1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Dahms</w:t>
            </w:r>
          </w:p>
        </w:tc>
        <w:tc>
          <w:tcPr>
            <w:tcW w:w="11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1/2/2020</w:t>
            </w:r>
          </w:p>
        </w:tc>
        <w:tc>
          <w:tcPr>
            <w:tcW w:w="12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tcPr>
          <w:p>
            <w:pPr>
              <w:jc w:val="center"/>
              <w:ind w:right="13"/>
              <w:spacing w:after="0"/>
              <w:rPr>
                <w:sz w:val="20"/>
                <w:szCs w:val="20"/>
                <w:color w:val="auto"/>
              </w:rPr>
            </w:pPr>
            <w:r>
              <w:rPr>
                <w:rFonts w:ascii="Arial" w:cs="Arial" w:eastAsia="Arial" w:hAnsi="Arial"/>
                <w:sz w:val="13"/>
                <w:szCs w:val="13"/>
                <w:color w:val="auto"/>
                <w:w w:val="93"/>
              </w:rPr>
              <w:t>140,000</w:t>
            </w:r>
          </w:p>
        </w:tc>
        <w:tc>
          <w:tcPr>
            <w:tcW w:w="1080" w:type="dxa"/>
            <w:vAlign w:val="bottom"/>
          </w:tcPr>
          <w:p>
            <w:pPr>
              <w:jc w:val="center"/>
              <w:ind w:right="13"/>
              <w:spacing w:after="0"/>
              <w:rPr>
                <w:sz w:val="20"/>
                <w:szCs w:val="20"/>
                <w:color w:val="auto"/>
              </w:rPr>
            </w:pPr>
            <w:r>
              <w:rPr>
                <w:rFonts w:ascii="Arial" w:cs="Arial" w:eastAsia="Arial" w:hAnsi="Arial"/>
                <w:sz w:val="13"/>
                <w:szCs w:val="13"/>
                <w:color w:val="auto"/>
                <w:w w:val="94"/>
              </w:rPr>
              <w:t>2.30</w:t>
            </w:r>
          </w:p>
        </w:tc>
        <w:tc>
          <w:tcPr>
            <w:tcW w:w="1140" w:type="dxa"/>
            <w:vAlign w:val="bottom"/>
          </w:tcPr>
          <w:p>
            <w:pPr>
              <w:jc w:val="center"/>
              <w:ind w:left="73"/>
              <w:spacing w:after="0"/>
              <w:rPr>
                <w:sz w:val="20"/>
                <w:szCs w:val="20"/>
                <w:color w:val="auto"/>
              </w:rPr>
            </w:pPr>
            <w:r>
              <w:rPr>
                <w:rFonts w:ascii="Arial" w:cs="Arial" w:eastAsia="Arial" w:hAnsi="Arial"/>
                <w:sz w:val="13"/>
                <w:szCs w:val="13"/>
                <w:color w:val="auto"/>
                <w:w w:val="94"/>
              </w:rPr>
              <w:t>1/1/2030</w:t>
            </w: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9/3/2019</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9/3/2019</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125,002</w:t>
            </w:r>
          </w:p>
        </w:tc>
        <w:tc>
          <w:tcPr>
            <w:tcW w:w="144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13"/>
                <w:szCs w:val="13"/>
                <w:color w:val="auto"/>
                <w:w w:val="93"/>
              </w:rPr>
              <w:t>274,998</w:t>
            </w:r>
          </w:p>
        </w:tc>
        <w:tc>
          <w:tcPr>
            <w:tcW w:w="1080" w:type="dxa"/>
            <w:vAlign w:val="bottom"/>
            <w:tcBorders>
              <w:bottom w:val="single" w:sz="8" w:color="auto"/>
            </w:tcBorders>
            <w:shd w:val="clear" w:color="auto" w:fill="CCEEFF"/>
          </w:tcPr>
          <w:p>
            <w:pPr>
              <w:jc w:val="center"/>
              <w:ind w:right="13"/>
              <w:spacing w:after="0"/>
              <w:rPr>
                <w:sz w:val="20"/>
                <w:szCs w:val="20"/>
                <w:color w:val="auto"/>
              </w:rPr>
            </w:pPr>
            <w:r>
              <w:rPr>
                <w:rFonts w:ascii="Arial" w:cs="Arial" w:eastAsia="Arial" w:hAnsi="Arial"/>
                <w:sz w:val="13"/>
                <w:szCs w:val="13"/>
                <w:color w:val="auto"/>
                <w:w w:val="94"/>
              </w:rPr>
              <w:t>1.70</w:t>
            </w:r>
          </w:p>
        </w:tc>
        <w:tc>
          <w:tcPr>
            <w:tcW w:w="1140" w:type="dxa"/>
            <w:vAlign w:val="bottom"/>
            <w:tcBorders>
              <w:bottom w:val="single" w:sz="8" w:color="auto"/>
            </w:tcBorders>
            <w:shd w:val="clear" w:color="auto" w:fill="CCEEFF"/>
          </w:tcPr>
          <w:p>
            <w:pPr>
              <w:jc w:val="center"/>
              <w:ind w:left="73"/>
              <w:spacing w:after="0"/>
              <w:rPr>
                <w:sz w:val="20"/>
                <w:szCs w:val="20"/>
                <w:color w:val="auto"/>
              </w:rPr>
            </w:pPr>
            <w:r>
              <w:rPr>
                <w:rFonts w:ascii="Arial" w:cs="Arial" w:eastAsia="Arial" w:hAnsi="Arial"/>
                <w:sz w:val="13"/>
                <w:szCs w:val="13"/>
                <w:color w:val="auto"/>
                <w:w w:val="94"/>
              </w:rPr>
              <w:t>9/2/2029</w:t>
            </w:r>
          </w:p>
        </w:tc>
        <w:tc>
          <w:tcPr>
            <w:tcW w:w="12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60" w:type="dxa"/>
            <w:vAlign w:val="bottom"/>
          </w:tcPr>
          <w:p>
            <w:pPr>
              <w:ind w:left="20"/>
              <w:spacing w:after="0" w:line="138" w:lineRule="exact"/>
              <w:rPr>
                <w:sz w:val="20"/>
                <w:szCs w:val="20"/>
                <w:color w:val="auto"/>
              </w:rPr>
            </w:pPr>
            <w:r>
              <w:rPr>
                <w:rFonts w:ascii="Arial" w:cs="Arial" w:eastAsia="Arial" w:hAnsi="Arial"/>
                <w:sz w:val="13"/>
                <w:szCs w:val="13"/>
                <w:color w:val="auto"/>
              </w:rPr>
              <w:t>Peter G. Traber,</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auto"/>
                <w:w w:val="94"/>
              </w:rPr>
              <w:t>8/1/2020</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auto"/>
                <w:w w:val="94"/>
              </w:rPr>
              <w:t>8/1/2020</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440" w:type="dxa"/>
            <w:vAlign w:val="bottom"/>
            <w:vMerge w:val="restart"/>
          </w:tcPr>
          <w:p>
            <w:pPr>
              <w:jc w:val="center"/>
              <w:ind w:right="13"/>
              <w:spacing w:after="0"/>
              <w:rPr>
                <w:sz w:val="20"/>
                <w:szCs w:val="20"/>
                <w:color w:val="auto"/>
              </w:rPr>
            </w:pPr>
            <w:r>
              <w:rPr>
                <w:rFonts w:ascii="Arial" w:cs="Arial" w:eastAsia="Arial" w:hAnsi="Arial"/>
                <w:sz w:val="13"/>
                <w:szCs w:val="13"/>
                <w:color w:val="auto"/>
                <w:w w:val="93"/>
              </w:rPr>
              <w:t>650,000</w:t>
            </w:r>
          </w:p>
        </w:tc>
        <w:tc>
          <w:tcPr>
            <w:tcW w:w="1080" w:type="dxa"/>
            <w:vAlign w:val="bottom"/>
            <w:vMerge w:val="restart"/>
          </w:tcPr>
          <w:p>
            <w:pPr>
              <w:jc w:val="center"/>
              <w:ind w:right="13"/>
              <w:spacing w:after="0"/>
              <w:rPr>
                <w:sz w:val="20"/>
                <w:szCs w:val="20"/>
                <w:color w:val="auto"/>
              </w:rPr>
            </w:pPr>
            <w:r>
              <w:rPr>
                <w:rFonts w:ascii="Arial" w:cs="Arial" w:eastAsia="Arial" w:hAnsi="Arial"/>
                <w:sz w:val="13"/>
                <w:szCs w:val="13"/>
                <w:color w:val="auto"/>
                <w:w w:val="94"/>
              </w:rPr>
              <w:t>2.38</w:t>
            </w:r>
          </w:p>
        </w:tc>
        <w:tc>
          <w:tcPr>
            <w:tcW w:w="1140" w:type="dxa"/>
            <w:vAlign w:val="bottom"/>
            <w:vMerge w:val="restart"/>
          </w:tcPr>
          <w:p>
            <w:pPr>
              <w:jc w:val="center"/>
              <w:ind w:left="53"/>
              <w:spacing w:after="0"/>
              <w:rPr>
                <w:sz w:val="20"/>
                <w:szCs w:val="20"/>
                <w:color w:val="auto"/>
              </w:rPr>
            </w:pPr>
            <w:r>
              <w:rPr>
                <w:rFonts w:ascii="Arial" w:cs="Arial" w:eastAsia="Arial" w:hAnsi="Arial"/>
                <w:sz w:val="13"/>
                <w:szCs w:val="13"/>
                <w:color w:val="auto"/>
                <w:w w:val="93"/>
              </w:rPr>
              <w:t>7/31/2030</w:t>
            </w: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M.D.</w:t>
            </w:r>
          </w:p>
        </w:tc>
        <w:tc>
          <w:tcPr>
            <w:tcW w:w="1140" w:type="dxa"/>
            <w:vAlign w:val="bottom"/>
            <w:tcBorders>
              <w:bottom w:val="single" w:sz="8" w:color="auto"/>
            </w:tcBorders>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580" w:hanging="332"/>
        <w:spacing w:after="0" w:line="27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62" w:lineRule="exact"/>
        <w:rPr>
          <w:rFonts w:ascii="Arial" w:cs="Arial" w:eastAsia="Arial" w:hAnsi="Arial"/>
          <w:sz w:val="18"/>
          <w:szCs w:val="18"/>
          <w:color w:val="auto"/>
        </w:rPr>
      </w:pPr>
    </w:p>
    <w:p>
      <w:pPr>
        <w:ind w:left="340" w:right="80" w:hanging="332"/>
        <w:spacing w:after="0" w:line="275" w:lineRule="auto"/>
        <w:tabs>
          <w:tab w:leader="none" w:pos="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68" w:lineRule="exact"/>
        <w:rPr>
          <w:rFonts w:ascii="Arial" w:cs="Arial" w:eastAsia="Arial" w:hAnsi="Arial"/>
          <w:sz w:val="17"/>
          <w:szCs w:val="17"/>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the Company’s closing stock price of $3.03 on December 31, 2020.</w:t>
      </w:r>
    </w:p>
    <w:p>
      <w:pPr>
        <w:spacing w:after="0" w:line="117" w:lineRule="exact"/>
        <w:rPr>
          <w:rFonts w:ascii="Arial" w:cs="Arial" w:eastAsia="Arial" w:hAnsi="Arial"/>
          <w:sz w:val="18"/>
          <w:szCs w:val="18"/>
          <w:color w:val="auto"/>
        </w:rPr>
      </w:pPr>
    </w:p>
    <w:p>
      <w:pPr>
        <w:ind w:left="340" w:right="720" w:hanging="332"/>
        <w:spacing w:after="0" w:line="27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Brunn’s restricted stock units vest in twelve substantially equal quarterly installments following December 1, 2020, subject to Dr. Brunn’s continued employment with us through the applicable vesting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460" w:firstLine="324"/>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76"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 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6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w:t>
      </w:r>
    </w:p>
    <w:p>
      <w:pPr>
        <w:spacing w:after="0" w:line="2" w:lineRule="exact"/>
        <w:rPr>
          <w:sz w:val="20"/>
          <w:szCs w:val="20"/>
          <w:color w:val="auto"/>
        </w:rPr>
      </w:pPr>
    </w:p>
    <w:p>
      <w:pPr>
        <w:ind w:firstLine="8"/>
        <w:spacing w:after="0" w:line="25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breach of any material provision of the employment agreement or any other written agreement with the Company; or (vi) for Mr. Dahms and Dr. Traber, a material or substantial failure to perform, or material or substantial negligence of, the executive’s duties and responsibilities to the Company. “Good reason” generally means, subject to the Company’s cure rights, the occurrence of any of the following, without the named executive officer’s written consent (i) a material reduction in his or her base salary or bonus opportunity; (ii) a material diminution in his or her authority, title, duties or areas of responsibility; (iii) the requirement that he or she report to someone other than the Board of Directors with respect to our Chief Executive Officer or the Chief Executive Officer with respect to our other named executive officers; (iv) the relocation of his or her primary office to a location more than 40 miles from the Boston metropolitan area; or (v) a material breach by the Company of the employment agreement or any other written agreement with the named executive officer.</w:t>
      </w:r>
    </w:p>
    <w:p>
      <w:pPr>
        <w:spacing w:after="0" w:line="9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also entered into non-disclosure, non-competition and assignment of intellectual property agreements with the named executive officers pursuant to which each of Dr. Brunn, Mr. Dahms and Dr. Traber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the Company has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 of Directors:</w:t>
      </w:r>
    </w:p>
    <w:p>
      <w:pPr>
        <w:spacing w:after="0" w:line="7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i w:val="1"/>
          <w:iCs w:val="1"/>
          <w:color w:val="auto"/>
        </w:rPr>
        <w:t>Initial Equity Award</w:t>
      </w:r>
      <w:r>
        <w:rPr>
          <w:rFonts w:ascii="Arial" w:cs="Arial" w:eastAsia="Arial" w:hAnsi="Arial"/>
          <w:sz w:val="18"/>
          <w:szCs w:val="18"/>
          <w:color w:val="auto"/>
        </w:rPr>
        <w:t>. Upon a director’s initial election or appointment to our Board of Directors, the director received an option to purchase 40,000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which award vests in substantially equal monthly installments over three years following the date of grant, subject to accelerated vesting upon a change in control.</w:t>
      </w:r>
    </w:p>
    <w:p>
      <w:pPr>
        <w:spacing w:after="0" w:line="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i w:val="1"/>
          <w:iCs w:val="1"/>
          <w:color w:val="auto"/>
        </w:rPr>
        <w:t>Annual Equity Award</w:t>
      </w:r>
      <w:r>
        <w:rPr>
          <w:rFonts w:ascii="Arial" w:cs="Arial" w:eastAsia="Arial" w:hAnsi="Arial"/>
          <w:sz w:val="16"/>
          <w:szCs w:val="16"/>
          <w:color w:val="auto"/>
        </w:rPr>
        <w:t>. If a director has served on our Board of Directors for at least six months as of the date of an annual meeting of stockholders,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5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Annual Retainer Fees</w:t>
      </w:r>
      <w:r>
        <w:rPr>
          <w:rFonts w:ascii="Arial" w:cs="Arial" w:eastAsia="Arial" w:hAnsi="Arial"/>
          <w:sz w:val="18"/>
          <w:szCs w:val="18"/>
          <w:color w:val="auto"/>
        </w:rPr>
        <w:t>. In addition to option grants, each director received an annual retainer for service on our Board of Directors and additional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for service on a committee of our Board of Directors as follows:</w:t>
      </w:r>
    </w:p>
    <w:p>
      <w:pPr>
        <w:spacing w:after="0" w:line="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director fee of $40,000,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chairperson of the board, $30,000 and lead independent director, $20,000,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chairperson of the Audit Committee, $15,000,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Committee member other than the chairperson, $7,500,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chairperson of the Compensation Committee, $12,000,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chairperson, $6,000,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$8,000,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chairperson, $4,000,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chairperson of the Science Committee, $8,000,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Science Committee member other than the chairperson, $4,000.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initial equity award from 40,000 options to 80,000 options, and</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annual equity awards from 30,000 options to 60,000 options for the Chairperson of the Board and from 20,000 options to 40,000 options for each other non-employee director.</w:t>
      </w:r>
    </w:p>
    <w:p>
      <w:pPr>
        <w:spacing w:after="0" w:line="62"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Moved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Dr. Brunn, our President and Chief Executive Officer, also serves on our Board of Directors but receives no additional compensation for this service.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compensation earned to our non-employee directors for their service on our Board of Directors during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ind w:left="31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Fees earned or paid in</w:t>
            </w: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Option awards ($)(3)</w:t>
            </w: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8"/>
        </w:trPr>
        <w:tc>
          <w:tcPr>
            <w:tcW w:w="6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cash ($)(2)</w:t>
            </w:r>
          </w:p>
        </w:tc>
        <w:tc>
          <w:tcPr>
            <w:tcW w:w="15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31,561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79,766</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111,327</w:t>
            </w:r>
          </w:p>
        </w:tc>
        <w:tc>
          <w:tcPr>
            <w:tcW w:w="0" w:type="dxa"/>
            <w:vAlign w:val="bottom"/>
          </w:tcPr>
          <w:p>
            <w:pPr>
              <w:spacing w:after="0"/>
              <w:rPr>
                <w:sz w:val="1"/>
                <w:szCs w:val="1"/>
                <w:color w:val="auto"/>
              </w:rPr>
            </w:pPr>
          </w:p>
        </w:tc>
      </w:tr>
      <w:tr>
        <w:trPr>
          <w:trHeight w:val="186"/>
        </w:trPr>
        <w:tc>
          <w:tcPr>
            <w:tcW w:w="6540" w:type="dxa"/>
            <w:vAlign w:val="bottom"/>
          </w:tcPr>
          <w:p>
            <w:pPr>
              <w:ind w:left="20"/>
              <w:spacing w:after="0"/>
              <w:rPr>
                <w:sz w:val="20"/>
                <w:szCs w:val="20"/>
                <w:color w:val="auto"/>
              </w:rPr>
            </w:pPr>
            <w:r>
              <w:rPr>
                <w:rFonts w:ascii="Arial" w:cs="Arial" w:eastAsia="Arial" w:hAnsi="Arial"/>
                <w:sz w:val="14"/>
                <w:szCs w:val="14"/>
                <w:color w:val="auto"/>
              </w:rPr>
              <w:t>Timothy C. Barabe</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42,134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97,134</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83,500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63,202</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146,702</w:t>
            </w:r>
          </w:p>
        </w:tc>
        <w:tc>
          <w:tcPr>
            <w:tcW w:w="0" w:type="dxa"/>
            <w:vAlign w:val="bottom"/>
          </w:tcPr>
          <w:p>
            <w:pPr>
              <w:spacing w:after="0"/>
              <w:rPr>
                <w:sz w:val="1"/>
                <w:szCs w:val="1"/>
                <w:color w:val="auto"/>
              </w:rPr>
            </w:pPr>
          </w:p>
        </w:tc>
      </w:tr>
      <w:tr>
        <w:trPr>
          <w:trHeight w:val="186"/>
        </w:trPr>
        <w:tc>
          <w:tcPr>
            <w:tcW w:w="6540" w:type="dxa"/>
            <w:vAlign w:val="bottom"/>
          </w:tcPr>
          <w:p>
            <w:pPr>
              <w:ind w:left="20"/>
              <w:spacing w:after="0"/>
              <w:rPr>
                <w:sz w:val="20"/>
                <w:szCs w:val="20"/>
                <w:color w:val="auto"/>
              </w:rPr>
            </w:pPr>
            <w:r>
              <w:rPr>
                <w:rFonts w:ascii="Arial" w:cs="Arial" w:eastAsia="Arial" w:hAnsi="Arial"/>
                <w:sz w:val="14"/>
                <w:szCs w:val="14"/>
                <w:color w:val="auto"/>
              </w:rPr>
              <w:t>Scott D. Myers</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56,000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42,134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98,134</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Amir Nashat, Ph.D.</w:t>
            </w:r>
            <w:r>
              <w:rPr>
                <w:rFonts w:ascii="Arial" w:cs="Arial" w:eastAsia="Arial" w:hAnsi="Arial"/>
                <w:sz w:val="18"/>
                <w:szCs w:val="18"/>
                <w:color w:val="auto"/>
                <w:vertAlign w:val="superscript"/>
              </w:rPr>
              <w:t>(1)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0" w:type="dxa"/>
            <w:vAlign w:val="bottom"/>
          </w:tcPr>
          <w:p>
            <w:pPr>
              <w:spacing w:after="0"/>
              <w:rPr>
                <w:sz w:val="1"/>
                <w:szCs w:val="1"/>
                <w:color w:val="auto"/>
              </w:rPr>
            </w:pPr>
          </w:p>
        </w:tc>
      </w:tr>
      <w:tr>
        <w:trPr>
          <w:trHeight w:val="186"/>
        </w:trPr>
        <w:tc>
          <w:tcPr>
            <w:tcW w:w="6540" w:type="dxa"/>
            <w:vAlign w:val="bottom"/>
          </w:tcPr>
          <w:p>
            <w:pPr>
              <w:ind w:left="20"/>
              <w:spacing w:after="0"/>
              <w:rPr>
                <w:sz w:val="20"/>
                <w:szCs w:val="20"/>
                <w:color w:val="auto"/>
              </w:rPr>
            </w:pPr>
            <w:r>
              <w:rPr>
                <w:rFonts w:ascii="Arial" w:cs="Arial" w:eastAsia="Arial" w:hAnsi="Arial"/>
                <w:sz w:val="14"/>
                <w:szCs w:val="14"/>
                <w:color w:val="auto"/>
              </w:rPr>
              <w:t>Aymeric Sallin</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42,134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88,134</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57,000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42,134</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99,134</w:t>
            </w:r>
          </w:p>
        </w:tc>
        <w:tc>
          <w:tcPr>
            <w:tcW w:w="0" w:type="dxa"/>
            <w:vAlign w:val="bottom"/>
          </w:tcPr>
          <w:p>
            <w:pPr>
              <w:spacing w:after="0"/>
              <w:rPr>
                <w:sz w:val="1"/>
                <w:szCs w:val="1"/>
                <w:color w:val="auto"/>
              </w:rPr>
            </w:pPr>
          </w:p>
        </w:tc>
      </w:tr>
      <w:tr>
        <w:trPr>
          <w:trHeight w:val="182"/>
        </w:trPr>
        <w:tc>
          <w:tcPr>
            <w:tcW w:w="6540" w:type="dxa"/>
            <w:vAlign w:val="bottom"/>
          </w:tcPr>
          <w:p>
            <w:pPr>
              <w:ind w:left="20"/>
              <w:spacing w:after="0"/>
              <w:rPr>
                <w:sz w:val="20"/>
                <w:szCs w:val="20"/>
                <w:color w:val="auto"/>
              </w:rPr>
            </w:pPr>
            <w:r>
              <w:rPr>
                <w:rFonts w:ascii="Arial" w:cs="Arial" w:eastAsia="Arial" w:hAnsi="Arial"/>
                <w:sz w:val="14"/>
                <w:szCs w:val="14"/>
                <w:color w:val="auto"/>
              </w:rPr>
              <w:t>Patrick Zenner</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55,500</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42,134</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97,634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Nashat resigned as a member of the Board of Directors on April 24, 2020.</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cash retainers earned for services rendered as members of the Board of Directors and related committees.</w:t>
      </w:r>
    </w:p>
    <w:p>
      <w:pPr>
        <w:spacing w:after="0" w:line="117" w:lineRule="exact"/>
        <w:rPr>
          <w:rFonts w:ascii="Arial" w:cs="Arial" w:eastAsia="Arial" w:hAnsi="Arial"/>
          <w:sz w:val="18"/>
          <w:szCs w:val="18"/>
          <w:color w:val="auto"/>
        </w:rPr>
      </w:pPr>
    </w:p>
    <w:p>
      <w:pPr>
        <w:ind w:left="340" w:right="100" w:hanging="332"/>
        <w:spacing w:after="0" w:line="263"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2020 Annual Report.</w:t>
      </w:r>
    </w:p>
    <w:p>
      <w:pPr>
        <w:spacing w:after="0" w:line="200" w:lineRule="exact"/>
        <w:rPr>
          <w:sz w:val="20"/>
          <w:szCs w:val="20"/>
          <w:color w:val="auto"/>
        </w:rPr>
      </w:pPr>
    </w:p>
    <w:p>
      <w:pPr>
        <w:spacing w:after="0" w:line="2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shows the aggregate number of option awards (exercisable and unexercisable) held by each non-employee director as of December 31, 2020. None of our non-employee directors held unvested stock awards in the Company as of that date.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Options outstanding</w:t>
            </w:r>
          </w:p>
        </w:tc>
        <w:tc>
          <w:tcPr>
            <w:tcW w:w="0" w:type="dxa"/>
            <w:vAlign w:val="bottom"/>
          </w:tcPr>
          <w:p>
            <w:pPr>
              <w:spacing w:after="0"/>
              <w:rPr>
                <w:sz w:val="1"/>
                <w:szCs w:val="1"/>
                <w:color w:val="auto"/>
              </w:rPr>
            </w:pPr>
          </w:p>
        </w:tc>
      </w:tr>
      <w:tr>
        <w:trPr>
          <w:trHeight w:val="188"/>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84"/>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Göran Ando, M.D.</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Timothy C. Barabe</w:t>
            </w:r>
          </w:p>
        </w:tc>
        <w:tc>
          <w:tcPr>
            <w:tcW w:w="1480" w:type="dxa"/>
            <w:vAlign w:val="bottom"/>
          </w:tcPr>
          <w:p>
            <w:pPr>
              <w:jc w:val="right"/>
              <w:spacing w:after="0"/>
              <w:rPr>
                <w:sz w:val="20"/>
                <w:szCs w:val="20"/>
                <w:color w:val="auto"/>
              </w:rPr>
            </w:pPr>
            <w:r>
              <w:rPr>
                <w:rFonts w:ascii="Arial" w:cs="Arial" w:eastAsia="Arial" w:hAnsi="Arial"/>
                <w:sz w:val="14"/>
                <w:szCs w:val="14"/>
                <w:color w:val="auto"/>
              </w:rPr>
              <w:t>56,738</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Scott D. Myers</w:t>
            </w:r>
          </w:p>
        </w:tc>
        <w:tc>
          <w:tcPr>
            <w:tcW w:w="1480" w:type="dxa"/>
            <w:vAlign w:val="bottom"/>
          </w:tcPr>
          <w:p>
            <w:pPr>
              <w:jc w:val="right"/>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Amir Nashat, Ph.D.</w:t>
            </w:r>
            <w:r>
              <w:rPr>
                <w:rFonts w:ascii="Arial" w:cs="Arial" w:eastAsia="Arial" w:hAnsi="Arial"/>
                <w:sz w:val="18"/>
                <w:szCs w:val="18"/>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Aymeric Sallin</w:t>
            </w:r>
          </w:p>
        </w:tc>
        <w:tc>
          <w:tcPr>
            <w:tcW w:w="1480" w:type="dxa"/>
            <w:vAlign w:val="bottom"/>
          </w:tcPr>
          <w:p>
            <w:pPr>
              <w:jc w:val="right"/>
              <w:spacing w:after="0"/>
              <w:rPr>
                <w:sz w:val="20"/>
                <w:szCs w:val="20"/>
                <w:color w:val="auto"/>
              </w:rPr>
            </w:pPr>
            <w:r>
              <w:rPr>
                <w:rFonts w:ascii="Arial" w:cs="Arial" w:eastAsia="Arial" w:hAnsi="Arial"/>
                <w:sz w:val="14"/>
                <w:szCs w:val="14"/>
                <w:color w:val="auto"/>
              </w:rPr>
              <w:t>46,410</w:t>
            </w:r>
          </w:p>
        </w:tc>
        <w:tc>
          <w:tcPr>
            <w:tcW w:w="0" w:type="dxa"/>
            <w:vAlign w:val="bottom"/>
          </w:tcPr>
          <w:p>
            <w:pPr>
              <w:spacing w:after="0"/>
              <w:rPr>
                <w:sz w:val="1"/>
                <w:szCs w:val="1"/>
                <w:color w:val="auto"/>
              </w:rPr>
            </w:pPr>
          </w:p>
        </w:tc>
      </w:tr>
      <w:tr>
        <w:trPr>
          <w:trHeight w:val="192"/>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46,410</w:t>
            </w:r>
          </w:p>
        </w:tc>
        <w:tc>
          <w:tcPr>
            <w:tcW w:w="0" w:type="dxa"/>
            <w:vAlign w:val="bottom"/>
          </w:tcPr>
          <w:p>
            <w:pPr>
              <w:spacing w:after="0"/>
              <w:rPr>
                <w:sz w:val="1"/>
                <w:szCs w:val="1"/>
                <w:color w:val="auto"/>
              </w:rPr>
            </w:pPr>
          </w:p>
        </w:tc>
      </w:tr>
      <w:tr>
        <w:trPr>
          <w:trHeight w:val="182"/>
        </w:trPr>
        <w:tc>
          <w:tcPr>
            <w:tcW w:w="9760" w:type="dxa"/>
            <w:vAlign w:val="bottom"/>
            <w:gridSpan w:val="2"/>
          </w:tcPr>
          <w:p>
            <w:pPr>
              <w:ind w:left="20"/>
              <w:spacing w:after="0"/>
              <w:rPr>
                <w:sz w:val="20"/>
                <w:szCs w:val="20"/>
                <w:color w:val="auto"/>
              </w:rPr>
            </w:pPr>
            <w:r>
              <w:rPr>
                <w:rFonts w:ascii="Arial" w:cs="Arial" w:eastAsia="Arial" w:hAnsi="Arial"/>
                <w:sz w:val="14"/>
                <w:szCs w:val="14"/>
                <w:color w:val="auto"/>
              </w:rPr>
              <w:t>Patrick Zenner</w:t>
            </w:r>
          </w:p>
        </w:tc>
        <w:tc>
          <w:tcPr>
            <w:tcW w:w="1480" w:type="dxa"/>
            <w:vAlign w:val="bottom"/>
          </w:tcPr>
          <w:p>
            <w:pPr>
              <w:jc w:val="right"/>
              <w:spacing w:after="0"/>
              <w:rPr>
                <w:sz w:val="20"/>
                <w:szCs w:val="20"/>
                <w:color w:val="auto"/>
              </w:rPr>
            </w:pPr>
            <w:r>
              <w:rPr>
                <w:rFonts w:ascii="Arial" w:cs="Arial" w:eastAsia="Arial" w:hAnsi="Arial"/>
                <w:sz w:val="14"/>
                <w:szCs w:val="14"/>
                <w:color w:val="auto"/>
              </w:rPr>
              <w:t>52,820</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 Dr. Nashat resigned as a member of the Board of Directors on April 24,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Number of securities</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to be issued upon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Weighted-average</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exercise of outstanding</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exercise price of</w:t>
            </w: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future issuance under</w:t>
            </w: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1"/>
              </w:rPr>
              <w:t>stock options, warrants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outstanding options,</w:t>
            </w:r>
          </w:p>
        </w:tc>
        <w:tc>
          <w:tcPr>
            <w:tcW w:w="2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equity compensation</w:t>
            </w:r>
          </w:p>
        </w:tc>
      </w:tr>
      <w:tr>
        <w:trPr>
          <w:trHeight w:val="201"/>
        </w:trPr>
        <w:tc>
          <w:tcPr>
            <w:tcW w:w="3940" w:type="dxa"/>
            <w:vAlign w:val="bottom"/>
            <w:gridSpan w:val="2"/>
          </w:tcPr>
          <w:p>
            <w:pPr>
              <w:ind w:left="1500"/>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line="201" w:lineRule="exact"/>
              <w:rPr>
                <w:sz w:val="20"/>
                <w:szCs w:val="20"/>
                <w:color w:val="auto"/>
              </w:rPr>
            </w:pPr>
            <w:r>
              <w:rPr>
                <w:rFonts w:ascii="Arial" w:cs="Arial" w:eastAsia="Arial" w:hAnsi="Arial"/>
                <w:sz w:val="14"/>
                <w:szCs w:val="14"/>
                <w:b w:val="1"/>
                <w:bCs w:val="1"/>
                <w:color w:val="auto"/>
                <w:w w:val="92"/>
              </w:rPr>
              <w:t>warrants and rights</w:t>
            </w:r>
            <w:r>
              <w:rPr>
                <w:rFonts w:ascii="Arial" w:cs="Arial" w:eastAsia="Arial" w:hAnsi="Arial"/>
                <w:sz w:val="18"/>
                <w:szCs w:val="18"/>
                <w:b w:val="1"/>
                <w:bCs w:val="1"/>
                <w:color w:val="auto"/>
                <w:w w:val="92"/>
                <w:vertAlign w:val="superscript"/>
              </w:rPr>
              <w:t>(1)</w:t>
            </w:r>
          </w:p>
        </w:tc>
        <w:tc>
          <w:tcPr>
            <w:tcW w:w="244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86"/>
              </w:rPr>
              <w:t xml:space="preserve">plans </w:t>
            </w:r>
            <w:r>
              <w:rPr>
                <w:rFonts w:ascii="Arial" w:cs="Arial" w:eastAsia="Arial" w:hAnsi="Arial"/>
                <w:sz w:val="18"/>
                <w:szCs w:val="18"/>
                <w:b w:val="1"/>
                <w:bCs w:val="1"/>
                <w:color w:val="auto"/>
                <w:w w:val="86"/>
                <w:vertAlign w:val="superscript"/>
              </w:rPr>
              <w:t>(2)</w:t>
            </w:r>
          </w:p>
        </w:tc>
      </w:tr>
      <w:tr>
        <w:trPr>
          <w:trHeight w:val="181"/>
        </w:trPr>
        <w:tc>
          <w:tcPr>
            <w:tcW w:w="3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3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(b)</w:t>
            </w:r>
          </w:p>
        </w:tc>
        <w:tc>
          <w:tcPr>
            <w:tcW w:w="32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5"/>
                <w:szCs w:val="15"/>
                <w:color w:val="auto"/>
              </w:rPr>
            </w:pPr>
          </w:p>
        </w:tc>
      </w:tr>
      <w:tr>
        <w:trPr>
          <w:trHeight w:val="190"/>
        </w:trPr>
        <w:tc>
          <w:tcPr>
            <w:tcW w:w="3940" w:type="dxa"/>
            <w:vAlign w:val="bottom"/>
            <w:gridSpan w:val="2"/>
            <w:shd w:val="clear" w:color="auto" w:fill="CCEEFF"/>
          </w:tcPr>
          <w:p>
            <w:pPr>
              <w:ind w:left="20"/>
              <w:spacing w:after="0" w:line="190" w:lineRule="exact"/>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6,233,582</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3"/>
              </w:rPr>
              <w:t>(4)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3.98 (5)</w:t>
            </w:r>
          </w:p>
        </w:tc>
        <w:tc>
          <w:tcPr>
            <w:tcW w:w="2440" w:type="dxa"/>
            <w:vAlign w:val="bottom"/>
            <w:gridSpan w:val="2"/>
            <w:shd w:val="clear" w:color="auto" w:fill="CCEEFF"/>
          </w:tcPr>
          <w:p>
            <w:pPr>
              <w:ind w:left="1460"/>
              <w:spacing w:after="0"/>
              <w:rPr>
                <w:sz w:val="20"/>
                <w:szCs w:val="20"/>
                <w:color w:val="auto"/>
              </w:rPr>
            </w:pPr>
            <w:r>
              <w:rPr>
                <w:rFonts w:ascii="Arial" w:cs="Arial" w:eastAsia="Arial" w:hAnsi="Arial"/>
                <w:sz w:val="14"/>
                <w:szCs w:val="14"/>
                <w:color w:val="auto"/>
              </w:rPr>
              <w:t>3,558,041 (6)</w:t>
            </w:r>
          </w:p>
        </w:tc>
      </w:tr>
      <w:tr>
        <w:trPr>
          <w:trHeight w:val="189"/>
        </w:trPr>
        <w:tc>
          <w:tcPr>
            <w:tcW w:w="3940" w:type="dxa"/>
            <w:vAlign w:val="bottom"/>
            <w:tcBorders>
              <w:bottom w:val="single" w:sz="8" w:color="CCEEFF"/>
            </w:tcBorders>
            <w:gridSpan w:val="2"/>
          </w:tcPr>
          <w:p>
            <w:pPr>
              <w:ind w:left="20"/>
              <w:spacing w:after="0" w:line="189" w:lineRule="exact"/>
              <w:rPr>
                <w:sz w:val="20"/>
                <w:szCs w:val="20"/>
                <w:color w:val="auto"/>
              </w:rPr>
            </w:pPr>
            <w:r>
              <w:rPr>
                <w:rFonts w:ascii="Arial" w:cs="Arial" w:eastAsia="Arial" w:hAnsi="Arial"/>
                <w:sz w:val="14"/>
                <w:szCs w:val="14"/>
                <w:color w:val="auto"/>
                <w:w w:val="99"/>
              </w:rPr>
              <w:t xml:space="preserve">Equity compensation plans not approved by security holders </w:t>
            </w:r>
            <w:r>
              <w:rPr>
                <w:rFonts w:ascii="Arial" w:cs="Arial" w:eastAsia="Arial" w:hAnsi="Arial"/>
                <w:sz w:val="18"/>
                <w:szCs w:val="18"/>
                <w:color w:val="auto"/>
                <w:w w:val="99"/>
                <w:vertAlign w:val="superscript"/>
              </w:rPr>
              <w:t>(7)</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1,629,167</w:t>
            </w:r>
          </w:p>
        </w:tc>
        <w:tc>
          <w:tcPr>
            <w:tcW w:w="3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w w:val="93"/>
              </w:rPr>
              <w:t>(8)</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tcPr>
          <w:p>
            <w:pPr>
              <w:ind w:left="1540"/>
              <w:spacing w:after="0"/>
              <w:rPr>
                <w:sz w:val="20"/>
                <w:szCs w:val="20"/>
                <w:color w:val="auto"/>
              </w:rPr>
            </w:pPr>
            <w:r>
              <w:rPr>
                <w:rFonts w:ascii="Arial" w:cs="Arial" w:eastAsia="Arial" w:hAnsi="Arial"/>
                <w:sz w:val="14"/>
                <w:szCs w:val="14"/>
                <w:color w:val="auto"/>
              </w:rPr>
              <w:t>4.32</w:t>
            </w:r>
          </w:p>
        </w:tc>
        <w:tc>
          <w:tcPr>
            <w:tcW w:w="3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w w:val="99"/>
              </w:rPr>
              <w:t>1,358,333</w:t>
            </w:r>
          </w:p>
        </w:tc>
        <w:tc>
          <w:tcPr>
            <w:tcW w:w="340" w:type="dxa"/>
            <w:vAlign w:val="bottom"/>
            <w:tcBorders>
              <w:bottom w:val="single" w:sz="8" w:color="CCEEFF"/>
            </w:tcBorders>
          </w:tcPr>
          <w:p>
            <w:pPr>
              <w:spacing w:after="0"/>
              <w:rPr>
                <w:sz w:val="16"/>
                <w:szCs w:val="16"/>
                <w:color w:val="auto"/>
              </w:rPr>
            </w:pPr>
          </w:p>
        </w:tc>
      </w:tr>
      <w:tr>
        <w:trPr>
          <w:trHeight w:val="20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7,862,749</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4"/>
                <w:szCs w:val="14"/>
                <w:color w:val="auto"/>
              </w:rPr>
              <w:t>4.05</w:t>
            </w:r>
          </w:p>
        </w:tc>
        <w:tc>
          <w:tcPr>
            <w:tcW w:w="32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color w:val="auto"/>
                <w:w w:val="99"/>
              </w:rPr>
              <w:t>4,916,374</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options and is calculated without taking into account outstanding restricted stock units.</w:t>
      </w:r>
    </w:p>
    <w:p>
      <w:pPr>
        <w:spacing w:after="0" w:line="140" w:lineRule="exact"/>
        <w:rPr>
          <w:rFonts w:ascii="Arial" w:cs="Arial" w:eastAsia="Arial" w:hAnsi="Arial"/>
          <w:sz w:val="16"/>
          <w:szCs w:val="16"/>
          <w:color w:val="auto"/>
        </w:rPr>
      </w:pPr>
    </w:p>
    <w:p>
      <w:pPr>
        <w:ind w:left="340" w:right="120" w:hanging="332"/>
        <w:spacing w:after="0" w:line="272" w:lineRule="auto"/>
        <w:tabs>
          <w:tab w:leader="none" w:pos="334"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 of Directors.</w:t>
      </w:r>
    </w:p>
    <w:p>
      <w:pPr>
        <w:spacing w:after="0" w:line="69" w:lineRule="exact"/>
        <w:rPr>
          <w:rFonts w:ascii="Arial" w:cs="Arial" w:eastAsia="Arial" w:hAnsi="Arial"/>
          <w:sz w:val="17"/>
          <w:szCs w:val="17"/>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2016 Plan, the 2008 Plan and the 2016 ESPP.</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5,801,083 outstanding options to purchase stock under the 2016 Plan and 432,499 outstanding options to purchase stock under the 2008 Plan.</w:t>
      </w:r>
    </w:p>
    <w:p>
      <w:pPr>
        <w:spacing w:after="0" w:line="140" w:lineRule="exact"/>
        <w:rPr>
          <w:rFonts w:ascii="Arial" w:cs="Arial" w:eastAsia="Arial" w:hAnsi="Arial"/>
          <w:sz w:val="16"/>
          <w:szCs w:val="16"/>
          <w:color w:val="auto"/>
        </w:rPr>
      </w:pPr>
    </w:p>
    <w:p>
      <w:pPr>
        <w:ind w:left="340" w:right="58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2020, the weighted-average exercise price of outstanding options under the 2016 Plan was $3.90 and the weighted-average exercise price of outstanding options under the 2008 Plan was $5.13.</w:t>
      </w:r>
    </w:p>
    <w:p>
      <w:pPr>
        <w:spacing w:after="0" w:line="62" w:lineRule="exact"/>
        <w:rPr>
          <w:rFonts w:ascii="Arial" w:cs="Arial" w:eastAsia="Arial" w:hAnsi="Arial"/>
          <w:sz w:val="18"/>
          <w:szCs w:val="18"/>
          <w:color w:val="auto"/>
        </w:rPr>
      </w:pPr>
    </w:p>
    <w:p>
      <w:pPr>
        <w:ind w:left="340" w:right="100" w:hanging="332"/>
        <w:spacing w:after="0" w:line="259"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2,057,593 shares available for issuance under the 2016 Plan and 1,500,448 shares available for issuance under the 2016 ESPP (of which 34,696 shares were issued with respect to the purchase period in effect as of December 31, 2020, which purchase period ended on February 28, 2021). To the extent outstanding stock options under the 2008 Plan are forfeited or lapse unexercised, the shares of Common Stock subject to such stock option awards will be available for issuance under the 2016 Plan.</w:t>
      </w:r>
    </w:p>
    <w:p>
      <w:pPr>
        <w:spacing w:after="0" w:line="78" w:lineRule="exact"/>
        <w:rPr>
          <w:rFonts w:ascii="Arial" w:cs="Arial" w:eastAsia="Arial" w:hAnsi="Arial"/>
          <w:sz w:val="18"/>
          <w:szCs w:val="18"/>
          <w:color w:val="auto"/>
        </w:rPr>
      </w:pPr>
    </w:p>
    <w:p>
      <w:pPr>
        <w:ind w:left="340" w:right="50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2018 Plan. See Note 11 to our consolidated audited financial statements included in our 2020 Annual Report for a description of the material features of the 2018 Plan.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1,541,667 outstanding options and 87,500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21, 2021,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113,193,597 shares of Common Stock outstanding as of April 21, 2021. In computing the number of shares beneficially owned by a person and the percentage ownership of that person, shares of Common Stock subject to options, warrants or other rights held by such person that are currently exercisable or will become exercisable within 60 days of April 21, 2021 are considered outstanding, although these shares are not considered outstanding for purposes of computing the percentage ownership of any other person.</w:t>
      </w:r>
    </w:p>
    <w:p>
      <w:pPr>
        <w:spacing w:after="0" w:line="73"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of shares</w:t>
            </w:r>
          </w:p>
        </w:tc>
        <w:tc>
          <w:tcPr>
            <w:tcW w:w="0" w:type="dxa"/>
            <w:vAlign w:val="bottom"/>
          </w:tcPr>
          <w:p>
            <w:pPr>
              <w:spacing w:after="0"/>
              <w:rPr>
                <w:sz w:val="1"/>
                <w:szCs w:val="1"/>
                <w:color w:val="auto"/>
              </w:rPr>
            </w:pPr>
          </w:p>
        </w:tc>
      </w:tr>
      <w:tr>
        <w:trPr>
          <w:trHeight w:val="135"/>
        </w:trPr>
        <w:tc>
          <w:tcPr>
            <w:tcW w:w="7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20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beneficially</w:t>
            </w:r>
          </w:p>
        </w:tc>
        <w:tc>
          <w:tcPr>
            <w:tcW w:w="2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beneficially</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owned</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84"/>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5% Stockholders</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Timothy A. Springer, Ph.D. (1)</w:t>
            </w:r>
          </w:p>
        </w:tc>
        <w:tc>
          <w:tcPr>
            <w:tcW w:w="1960" w:type="dxa"/>
            <w:vAlign w:val="bottom"/>
          </w:tcPr>
          <w:p>
            <w:pPr>
              <w:jc w:val="right"/>
              <w:spacing w:after="0"/>
              <w:rPr>
                <w:sz w:val="20"/>
                <w:szCs w:val="20"/>
                <w:color w:val="auto"/>
              </w:rPr>
            </w:pPr>
            <w:r>
              <w:rPr>
                <w:rFonts w:ascii="Arial" w:cs="Arial" w:eastAsia="Arial" w:hAnsi="Arial"/>
                <w:sz w:val="14"/>
                <w:szCs w:val="14"/>
                <w:color w:val="auto"/>
              </w:rPr>
              <w:t>23,936,974</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EcoR1 (2)</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6,543,251</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Named Executive Officers, Directors and Nominees</w:t>
            </w:r>
          </w:p>
        </w:tc>
        <w:tc>
          <w:tcPr>
            <w:tcW w:w="1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Carsten Brunn, Ph.D. (3)</w:t>
            </w:r>
          </w:p>
        </w:tc>
        <w:tc>
          <w:tcPr>
            <w:tcW w:w="1960" w:type="dxa"/>
            <w:vAlign w:val="bottom"/>
          </w:tcPr>
          <w:p>
            <w:pPr>
              <w:jc w:val="right"/>
              <w:spacing w:after="0"/>
              <w:rPr>
                <w:sz w:val="20"/>
                <w:szCs w:val="20"/>
                <w:color w:val="auto"/>
              </w:rPr>
            </w:pPr>
            <w:r>
              <w:rPr>
                <w:rFonts w:ascii="Arial" w:cs="Arial" w:eastAsia="Arial" w:hAnsi="Arial"/>
                <w:sz w:val="14"/>
                <w:szCs w:val="14"/>
                <w:color w:val="auto"/>
              </w:rPr>
              <w:t>1,347,779</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Bradford D. Dahms (4)</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224,589</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Peter G. Traber, M.D. (5)</w:t>
            </w:r>
          </w:p>
        </w:tc>
        <w:tc>
          <w:tcPr>
            <w:tcW w:w="1960" w:type="dxa"/>
            <w:vAlign w:val="bottom"/>
          </w:tcPr>
          <w:p>
            <w:pPr>
              <w:jc w:val="right"/>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Carrie S. Cox (6)</w:t>
            </w:r>
          </w:p>
        </w:tc>
        <w:tc>
          <w:tcPr>
            <w:tcW w:w="1960" w:type="dxa"/>
            <w:vAlign w:val="bottom"/>
          </w:tcPr>
          <w:p>
            <w:pPr>
              <w:jc w:val="right"/>
              <w:spacing w:after="0"/>
              <w:rPr>
                <w:sz w:val="20"/>
                <w:szCs w:val="20"/>
                <w:color w:val="auto"/>
              </w:rPr>
            </w:pPr>
            <w:r>
              <w:rPr>
                <w:rFonts w:ascii="Arial" w:cs="Arial" w:eastAsia="Arial" w:hAnsi="Arial"/>
                <w:sz w:val="14"/>
                <w:szCs w:val="14"/>
                <w:color w:val="auto"/>
              </w:rPr>
              <w:t>139,076</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Göran Ando, M.D. (7)</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Timothy C. Barabe (8)</w:t>
            </w:r>
          </w:p>
        </w:tc>
        <w:tc>
          <w:tcPr>
            <w:tcW w:w="1960" w:type="dxa"/>
            <w:vAlign w:val="bottom"/>
          </w:tcPr>
          <w:p>
            <w:pPr>
              <w:jc w:val="right"/>
              <w:spacing w:after="0"/>
              <w:rPr>
                <w:sz w:val="20"/>
                <w:szCs w:val="20"/>
                <w:color w:val="auto"/>
              </w:rPr>
            </w:pPr>
            <w:r>
              <w:rPr>
                <w:rFonts w:ascii="Arial" w:cs="Arial" w:eastAsia="Arial" w:hAnsi="Arial"/>
                <w:sz w:val="14"/>
                <w:szCs w:val="14"/>
                <w:color w:val="auto"/>
              </w:rPr>
              <w:t>237,751</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 D. Myers (9)</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133,882</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Aymeric Sallin (10)</w:t>
            </w:r>
          </w:p>
        </w:tc>
        <w:tc>
          <w:tcPr>
            <w:tcW w:w="1960" w:type="dxa"/>
            <w:vAlign w:val="bottom"/>
          </w:tcPr>
          <w:p>
            <w:pPr>
              <w:jc w:val="right"/>
              <w:spacing w:after="0"/>
              <w:rPr>
                <w:sz w:val="20"/>
                <w:szCs w:val="20"/>
                <w:color w:val="auto"/>
              </w:rPr>
            </w:pPr>
            <w:r>
              <w:rPr>
                <w:rFonts w:ascii="Arial" w:cs="Arial" w:eastAsia="Arial" w:hAnsi="Arial"/>
                <w:sz w:val="14"/>
                <w:szCs w:val="14"/>
                <w:color w:val="auto"/>
              </w:rPr>
              <w:t>46,410</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A. Springer, Ph.D. (1)</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23,956,974</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0" w:type="dxa"/>
            <w:vAlign w:val="bottom"/>
          </w:tcPr>
          <w:p>
            <w:pPr>
              <w:spacing w:after="0"/>
              <w:rPr>
                <w:sz w:val="1"/>
                <w:szCs w:val="1"/>
                <w:color w:val="auto"/>
              </w:rPr>
            </w:pPr>
          </w:p>
        </w:tc>
      </w:tr>
      <w:tr>
        <w:trPr>
          <w:trHeight w:val="186"/>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Patrick Zenner (11)</w:t>
            </w:r>
          </w:p>
        </w:tc>
        <w:tc>
          <w:tcPr>
            <w:tcW w:w="1960" w:type="dxa"/>
            <w:vAlign w:val="bottom"/>
          </w:tcPr>
          <w:p>
            <w:pPr>
              <w:jc w:val="right"/>
              <w:spacing w:after="0"/>
              <w:rPr>
                <w:sz w:val="20"/>
                <w:szCs w:val="20"/>
                <w:color w:val="auto"/>
              </w:rPr>
            </w:pPr>
            <w:r>
              <w:rPr>
                <w:rFonts w:ascii="Arial" w:cs="Arial" w:eastAsia="Arial" w:hAnsi="Arial"/>
                <w:sz w:val="14"/>
                <w:szCs w:val="14"/>
                <w:color w:val="auto"/>
              </w:rPr>
              <w:t>108,068</w:t>
            </w: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7020" w:type="dxa"/>
            <w:vAlign w:val="bottom"/>
            <w:gridSpan w:val="2"/>
          </w:tcPr>
          <w:p>
            <w:pPr>
              <w:ind w:left="20"/>
              <w:spacing w:after="0"/>
              <w:rPr>
                <w:sz w:val="20"/>
                <w:szCs w:val="20"/>
                <w:color w:val="auto"/>
              </w:rPr>
            </w:pPr>
            <w:r>
              <w:rPr>
                <w:rFonts w:ascii="Arial" w:cs="Arial" w:eastAsia="Arial" w:hAnsi="Arial"/>
                <w:sz w:val="14"/>
                <w:szCs w:val="14"/>
                <w:color w:val="auto"/>
              </w:rPr>
              <w:t>All executive officers, directors and director nominees as a group (13 persons) (12)</w:t>
            </w:r>
          </w:p>
        </w:tc>
        <w:tc>
          <w:tcPr>
            <w:tcW w:w="1960" w:type="dxa"/>
            <w:vAlign w:val="bottom"/>
          </w:tcPr>
          <w:p>
            <w:pPr>
              <w:jc w:val="right"/>
              <w:spacing w:after="0"/>
              <w:rPr>
                <w:sz w:val="20"/>
                <w:szCs w:val="20"/>
                <w:color w:val="auto"/>
              </w:rPr>
            </w:pPr>
            <w:r>
              <w:rPr>
                <w:rFonts w:ascii="Arial" w:cs="Arial" w:eastAsia="Arial" w:hAnsi="Arial"/>
                <w:sz w:val="14"/>
                <w:szCs w:val="14"/>
                <w:color w:val="auto"/>
              </w:rPr>
              <w:t>27,164,460</w:t>
            </w:r>
          </w:p>
        </w:tc>
        <w:tc>
          <w:tcPr>
            <w:tcW w:w="120" w:type="dxa"/>
            <w:vAlign w:val="bottom"/>
          </w:tcPr>
          <w:p>
            <w:pPr>
              <w:spacing w:after="0"/>
              <w:rPr>
                <w:sz w:val="15"/>
                <w:szCs w:val="15"/>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40" w:hanging="492"/>
        <w:spacing w:after="0" w:line="289" w:lineRule="auto"/>
        <w:tabs>
          <w:tab w:leader="none" w:pos="494"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a Schedule 13D/A filed with the SEC on October 23, 2020 and other information known to us, consists of (i) 7,293,625 shares of Common Stock held directly by Timothy A. Springer, Ph.D., our director, (ii) 79,130 shares of Common Stock issuable upon exercise of underlying warrants exercisable within 60 days of April 23, 2020 held directly by Timothy Springer, (iii) 46,410 shares of Common Stock issuable upon exercise of outstanding options within 60 days of April 21, 2021 and held directly by Timothy Springer, (iv) 14,480,948 shares of Common Stock held by TAS Partners LLC (“TAS”) directly, (v) 1,970,443 shares of Common Stock issuable upon exercise of underlying warrants exercisable within 60 days of April 21, 2021,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58" w:lineRule="exact"/>
        <w:rPr>
          <w:rFonts w:ascii="Arial" w:cs="Arial" w:eastAsia="Arial" w:hAnsi="Arial"/>
          <w:sz w:val="16"/>
          <w:szCs w:val="16"/>
          <w:color w:val="auto"/>
        </w:rPr>
      </w:pPr>
    </w:p>
    <w:p>
      <w:pPr>
        <w:ind w:left="500" w:hanging="492"/>
        <w:spacing w:after="0" w:line="277" w:lineRule="auto"/>
        <w:tabs>
          <w:tab w:leader="none" w:pos="4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February 12, 2021 by EcoR1 Capital, LLC, consists of (i) 2,298,850 shares of Common Stock held by EcoR1 Capital, LLC, (ii) 386,207 shares of Common Stock issuable upon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line="270" w:lineRule="auto"/>
        <w:rPr>
          <w:sz w:val="20"/>
          <w:szCs w:val="20"/>
          <w:color w:val="auto"/>
        </w:rPr>
      </w:pPr>
      <w:r>
        <w:rPr>
          <w:rFonts w:ascii="Arial" w:cs="Arial" w:eastAsia="Arial" w:hAnsi="Arial"/>
          <w:sz w:val="17"/>
          <w:szCs w:val="17"/>
          <w:color w:val="auto"/>
        </w:rPr>
        <w:t>exercise of underlying warrants exercisable within 60 days of April 21, 2021 held by EcoR1 Capital Fund, LP, (iii) 1,945,551 shares of Common Stock held by EcoR1 Capital Fund Qualified, LP (together with EcoR1 Capital Fund, LP, the “EcoR1 Funds”), and (iv) 1,912,643 shares of Common Stock issuable upon exercise of underlying warrants exercisable within 60 days of April 21, 2021 held by EcoR1 Capital Fund Qualified, LP. Such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Oleg Nodelman, manager of the EcoR1 Funds, may be deemed a beneficial owner of the shares held directly by the EcoR1 Funds. The principal business address of the EcoR1 Funds and Oleg Nodelman is 357 Tehama Street, #3, San Francisco, California, 94103.</w:t>
      </w:r>
    </w:p>
    <w:p>
      <w:pPr>
        <w:spacing w:after="0" w:line="73" w:lineRule="exact"/>
        <w:rPr>
          <w:sz w:val="20"/>
          <w:szCs w:val="20"/>
          <w:color w:val="auto"/>
        </w:rPr>
      </w:pPr>
    </w:p>
    <w:p>
      <w:pPr>
        <w:ind w:left="500" w:right="140" w:hanging="492"/>
        <w:spacing w:after="0" w:line="263"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106,826 shares of Common Stock held by Dr. Brunn directly, (ii) 1,240,953 shares of Common Stock underlying outstanding stock options exercisable within 60 days of April 21, 2021, and (iii) 10,938 shares of Common Stock underlying outstanding restricted stock units which will vest within 60 days of April 21, 2021.</w:t>
      </w:r>
    </w:p>
    <w:p>
      <w:pPr>
        <w:spacing w:after="0" w:line="75" w:lineRule="exact"/>
        <w:rPr>
          <w:rFonts w:ascii="Arial" w:cs="Arial" w:eastAsia="Arial" w:hAnsi="Arial"/>
          <w:sz w:val="18"/>
          <w:szCs w:val="18"/>
          <w:color w:val="auto"/>
        </w:rPr>
      </w:pPr>
    </w:p>
    <w:p>
      <w:pPr>
        <w:ind w:left="500" w:right="20" w:hanging="492"/>
        <w:spacing w:after="0" w:line="277"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224,589 shares of Common Stock underlying outstanding stock options exercisable within 60 days of April 21, 2021 held by Mr. Dahms directly.</w:t>
      </w:r>
    </w:p>
    <w:p>
      <w:pPr>
        <w:spacing w:after="0" w:line="62" w:lineRule="exact"/>
        <w:rPr>
          <w:rFonts w:ascii="Arial" w:cs="Arial" w:eastAsia="Arial" w:hAnsi="Arial"/>
          <w:sz w:val="18"/>
          <w:szCs w:val="18"/>
          <w:color w:val="auto"/>
        </w:rPr>
      </w:pPr>
    </w:p>
    <w:p>
      <w:pPr>
        <w:ind w:left="480" w:hanging="472"/>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60,000 shares of Common Stock held by Dr. Traber directly.</w:t>
      </w:r>
    </w:p>
    <w:p>
      <w:pPr>
        <w:spacing w:after="0" w:line="117" w:lineRule="exact"/>
        <w:rPr>
          <w:rFonts w:ascii="Arial" w:cs="Arial" w:eastAsia="Arial" w:hAnsi="Arial"/>
          <w:sz w:val="18"/>
          <w:szCs w:val="18"/>
          <w:color w:val="auto"/>
        </w:rPr>
      </w:pPr>
    </w:p>
    <w:p>
      <w:pPr>
        <w:ind w:left="500" w:right="80" w:hanging="492"/>
        <w:spacing w:after="0" w:line="263"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65,681 shares of Common Stock held by Ms. Cox directly, (ii) 32,640 shares of Common Stock issuable upon exercise of underlying warrants exercisable within 60 days of April 21, 2021, and (iii) 40,555 shares of Common Stock underlying outstanding stock options exercisable within 60 days of April 21, 2021.</w:t>
      </w:r>
    </w:p>
    <w:p>
      <w:pPr>
        <w:spacing w:after="0" w:line="75" w:lineRule="exact"/>
        <w:rPr>
          <w:rFonts w:ascii="Arial" w:cs="Arial" w:eastAsia="Arial" w:hAnsi="Arial"/>
          <w:sz w:val="18"/>
          <w:szCs w:val="18"/>
          <w:color w:val="auto"/>
        </w:rPr>
      </w:pPr>
    </w:p>
    <w:p>
      <w:pPr>
        <w:ind w:left="500" w:right="260" w:hanging="492"/>
        <w:spacing w:after="0" w:line="277"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14,444 shares of Common Stock underlying outstanding stock options exercisable within 60 days of April 21, 2021 held by Dr. Ando directly.</w:t>
      </w:r>
    </w:p>
    <w:p>
      <w:pPr>
        <w:spacing w:after="0" w:line="62" w:lineRule="exact"/>
        <w:rPr>
          <w:rFonts w:ascii="Arial" w:cs="Arial" w:eastAsia="Arial" w:hAnsi="Arial"/>
          <w:sz w:val="18"/>
          <w:szCs w:val="18"/>
          <w:color w:val="auto"/>
        </w:rPr>
      </w:pPr>
    </w:p>
    <w:p>
      <w:pPr>
        <w:ind w:left="500" w:right="340" w:hanging="492"/>
        <w:spacing w:after="0" w:line="277"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181,013 shares of Common Stock held by Mr. Barabe directly, (ii) 56,738 shares of Common Stock underlying outstanding stock options exercisable within 60 days of April 21, 2021.</w:t>
      </w:r>
    </w:p>
    <w:p>
      <w:pPr>
        <w:spacing w:after="0" w:line="62" w:lineRule="exact"/>
        <w:rPr>
          <w:rFonts w:ascii="Arial" w:cs="Arial" w:eastAsia="Arial" w:hAnsi="Arial"/>
          <w:sz w:val="18"/>
          <w:szCs w:val="18"/>
          <w:color w:val="auto"/>
        </w:rPr>
      </w:pPr>
    </w:p>
    <w:p>
      <w:pPr>
        <w:ind w:left="500" w:right="240" w:hanging="492"/>
        <w:spacing w:after="0" w:line="263" w:lineRule="auto"/>
        <w:tabs>
          <w:tab w:leader="none" w:pos="4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(i) 80,645 shares of Common Stock held by Mr. Myers directly, (ii) 19,704 shares of Common Stock issuable upon exercise of underlying warrants exercisable within 60 days of April 21, 2021, and (iii) 33,333 shares of Common Stock underlying outstanding stock options exercisable within 60 days of April 21, 2021.</w:t>
      </w:r>
    </w:p>
    <w:p>
      <w:pPr>
        <w:spacing w:after="0" w:line="75" w:lineRule="exact"/>
        <w:rPr>
          <w:rFonts w:ascii="Arial" w:cs="Arial" w:eastAsia="Arial" w:hAnsi="Arial"/>
          <w:sz w:val="18"/>
          <w:szCs w:val="18"/>
          <w:color w:val="auto"/>
        </w:rPr>
      </w:pPr>
    </w:p>
    <w:p>
      <w:pPr>
        <w:ind w:left="500" w:right="200" w:hanging="492"/>
        <w:spacing w:after="0" w:line="277" w:lineRule="auto"/>
        <w:tabs>
          <w:tab w:leader="none" w:pos="4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46,410 shares of Common Stock underlying outstanding stock options exercisable within 60 days of April 21, 2021 held by Mr. Sallin directly.</w:t>
      </w:r>
    </w:p>
    <w:p>
      <w:pPr>
        <w:spacing w:after="0" w:line="62" w:lineRule="exact"/>
        <w:rPr>
          <w:rFonts w:ascii="Arial" w:cs="Arial" w:eastAsia="Arial" w:hAnsi="Arial"/>
          <w:sz w:val="18"/>
          <w:szCs w:val="18"/>
          <w:color w:val="auto"/>
        </w:rPr>
      </w:pPr>
    </w:p>
    <w:p>
      <w:pPr>
        <w:ind w:left="500" w:right="360" w:hanging="492"/>
        <w:spacing w:after="0" w:line="277" w:lineRule="auto"/>
        <w:tabs>
          <w:tab w:leader="none" w:pos="4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55,248 shares of Common Stock held by Mr. Zenner directly, and (ii) 52,820 shares of Common Stock underlying outstanding stock options exercisable within 60 days of April 21, 2021.</w:t>
      </w:r>
    </w:p>
    <w:p>
      <w:pPr>
        <w:spacing w:after="0" w:line="62" w:lineRule="exact"/>
        <w:rPr>
          <w:rFonts w:ascii="Arial" w:cs="Arial" w:eastAsia="Arial" w:hAnsi="Arial"/>
          <w:sz w:val="18"/>
          <w:szCs w:val="18"/>
          <w:color w:val="auto"/>
        </w:rPr>
      </w:pPr>
    </w:p>
    <w:p>
      <w:pPr>
        <w:ind w:left="500" w:right="60" w:hanging="492"/>
        <w:spacing w:after="0" w:line="342" w:lineRule="auto"/>
        <w:tabs>
          <w:tab w:leader="none" w:pos="4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(i) 24,960,024 shares of Common Stock owned directly or beneficially by our executive officers or members of our Board of Directors, (ii) 2,474,436 shares of Common Stock underlying outstanding stock options and restricted stock units exercisable within 60 days of April 21, 2021.</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Board of Directors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2019 Follow-on Offering</w:t>
      </w:r>
    </w:p>
    <w:p>
      <w:pPr>
        <w:spacing w:after="0" w:line="12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January 2019, we completed a registered public offering pursuant to which we issued and sold an aggregate of 22,188,706 shares of our Common Stock (including 2,188,706 shares sold pursuant to the underwriters’ full exercise of their option to purchase additional shares) at a public offering price of $1.50 for aggregate gross proceeds to us of approximately $33.3 million. The following table sets forth the number of shares of Common Stock purchased in our registered public offering by directors (and related parties thereto), as of the time of the offering, and holders, as of the time of the offering, of more than 5% of our Common Stock:</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of Common Stock</w:t>
            </w:r>
          </w:p>
        </w:tc>
        <w:tc>
          <w:tcPr>
            <w:tcW w:w="2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Purchased</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8"/>
                <w:szCs w:val="18"/>
                <w:b w:val="1"/>
                <w:bCs w:val="1"/>
                <w:i w:val="1"/>
                <w:iCs w:val="1"/>
                <w:color w:val="auto"/>
                <w:vertAlign w:val="superscript"/>
              </w:rPr>
              <w:t>(1)</w:t>
            </w: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Timothy A. Springer, Ph.D.</w:t>
            </w:r>
          </w:p>
        </w:tc>
        <w:tc>
          <w:tcPr>
            <w:tcW w:w="1980" w:type="dxa"/>
            <w:vAlign w:val="bottom"/>
          </w:tcPr>
          <w:p>
            <w:pPr>
              <w:jc w:val="right"/>
              <w:spacing w:after="0"/>
              <w:rPr>
                <w:sz w:val="20"/>
                <w:szCs w:val="20"/>
                <w:color w:val="auto"/>
              </w:rPr>
            </w:pPr>
            <w:r>
              <w:rPr>
                <w:rFonts w:ascii="Arial" w:cs="Arial" w:eastAsia="Arial" w:hAnsi="Arial"/>
                <w:sz w:val="14"/>
                <w:szCs w:val="14"/>
                <w:color w:val="auto"/>
              </w:rPr>
              <w:t>4,000,000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$6,000,000.00</w:t>
            </w:r>
          </w:p>
        </w:tc>
        <w:tc>
          <w:tcPr>
            <w:tcW w:w="0" w:type="dxa"/>
            <w:vAlign w:val="bottom"/>
          </w:tcPr>
          <w:p>
            <w:pPr>
              <w:spacing w:after="0"/>
              <w:rPr>
                <w:sz w:val="1"/>
                <w:szCs w:val="1"/>
                <w:color w:val="auto"/>
              </w:rPr>
            </w:pPr>
          </w:p>
        </w:tc>
      </w:tr>
      <w:tr>
        <w:trPr>
          <w:trHeight w:val="19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NanoDimension</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1,666,666</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$2,499,999.00</w:t>
            </w: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Entities affiliated with OrbiMed Advisors (former 5% stockholder)</w:t>
            </w:r>
          </w:p>
        </w:tc>
        <w:tc>
          <w:tcPr>
            <w:tcW w:w="1980" w:type="dxa"/>
            <w:vAlign w:val="bottom"/>
          </w:tcPr>
          <w:p>
            <w:pPr>
              <w:jc w:val="right"/>
              <w:spacing w:after="0"/>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$2,000,000.00</w:t>
            </w:r>
          </w:p>
        </w:tc>
        <w:tc>
          <w:tcPr>
            <w:tcW w:w="0" w:type="dxa"/>
            <w:vAlign w:val="bottom"/>
          </w:tcPr>
          <w:p>
            <w:pPr>
              <w:spacing w:after="0"/>
              <w:rPr>
                <w:sz w:val="1"/>
                <w:szCs w:val="1"/>
                <w:color w:val="auto"/>
              </w:rPr>
            </w:pPr>
          </w:p>
        </w:tc>
      </w:tr>
      <w:tr>
        <w:trPr>
          <w:trHeight w:val="19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Polaris (former 5% stockholder)</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666,666</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$999,999.00</w:t>
            </w: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Directors and Affiliates</w:t>
            </w: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SAF-BND Trust (affiliate of Omid Farokhzad, M.D., a former member of our Board of Directors)</w:t>
            </w:r>
          </w:p>
        </w:tc>
        <w:tc>
          <w:tcPr>
            <w:tcW w:w="1980" w:type="dxa"/>
            <w:vAlign w:val="bottom"/>
          </w:tcPr>
          <w:p>
            <w:pPr>
              <w:jc w:val="right"/>
              <w:spacing w:after="0"/>
              <w:rPr>
                <w:sz w:val="20"/>
                <w:szCs w:val="20"/>
                <w:color w:val="auto"/>
              </w:rPr>
            </w:pPr>
            <w:r>
              <w:rPr>
                <w:rFonts w:ascii="Arial" w:cs="Arial" w:eastAsia="Arial" w:hAnsi="Arial"/>
                <w:sz w:val="14"/>
                <w:szCs w:val="14"/>
                <w:color w:val="auto"/>
              </w:rPr>
              <w:t>83,333</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$125,000.00</w:t>
            </w:r>
          </w:p>
        </w:tc>
        <w:tc>
          <w:tcPr>
            <w:tcW w:w="0" w:type="dxa"/>
            <w:vAlign w:val="bottom"/>
          </w:tcPr>
          <w:p>
            <w:pPr>
              <w:spacing w:after="0"/>
              <w:rPr>
                <w:sz w:val="1"/>
                <w:szCs w:val="1"/>
                <w:color w:val="auto"/>
              </w:rPr>
            </w:pPr>
          </w:p>
        </w:tc>
      </w:tr>
      <w:tr>
        <w:trPr>
          <w:trHeight w:val="19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Chafen Lu (Timothy Springer's wife)</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66,666</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$99,999.00</w:t>
            </w:r>
          </w:p>
        </w:tc>
        <w:tc>
          <w:tcPr>
            <w:tcW w:w="0" w:type="dxa"/>
            <w:vAlign w:val="bottom"/>
          </w:tcPr>
          <w:p>
            <w:pPr>
              <w:spacing w:after="0"/>
              <w:rPr>
                <w:sz w:val="1"/>
                <w:szCs w:val="1"/>
                <w:color w:val="auto"/>
              </w:rPr>
            </w:pPr>
          </w:p>
        </w:tc>
      </w:tr>
      <w:tr>
        <w:trPr>
          <w:trHeight w:val="182"/>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Jed Springer (Timothy Springer's brother)</w:t>
            </w:r>
          </w:p>
        </w:tc>
        <w:tc>
          <w:tcPr>
            <w:tcW w:w="19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40" w:right="300" w:hanging="332"/>
        <w:spacing w:after="0" w:line="277" w:lineRule="auto"/>
        <w:tabs>
          <w:tab w:leader="none" w:pos="3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2019 Private Placement Offering</w:t>
      </w:r>
    </w:p>
    <w:p>
      <w:pPr>
        <w:spacing w:after="0" w:line="12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August 2019, we completed a private placement offering pursuant to which we issued and sold an aggregate of 3,178,174 shares of our Common Stock at a purchase price of $1.81, which was equal to the most recent consolidated closing bid price on the Nasdaq Global Market on August 19, 2019, for aggregate gross proceeds to us of approximately $5.75 million. The following table sets forth the number of shares of Common Stock purchased in our private placement offering by executive officers, as of the time of the offering, directors and related parties thereto: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Common Stock</w:t>
            </w:r>
          </w:p>
        </w:tc>
        <w:tc>
          <w:tcPr>
            <w:tcW w:w="2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8"/>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8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Arial" w:cs="Arial" w:eastAsia="Arial" w:hAnsi="Arial"/>
                <w:sz w:val="14"/>
                <w:szCs w:val="14"/>
                <w:color w:val="auto"/>
              </w:rPr>
              <w:t>1,100,000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$1,991,000.00</w:t>
            </w:r>
          </w:p>
        </w:tc>
        <w:tc>
          <w:tcPr>
            <w:tcW w:w="0" w:type="dxa"/>
            <w:vAlign w:val="bottom"/>
          </w:tcPr>
          <w:p>
            <w:pPr>
              <w:spacing w:after="0"/>
              <w:rPr>
                <w:sz w:val="1"/>
                <w:szCs w:val="1"/>
                <w:color w:val="auto"/>
              </w:rPr>
            </w:pPr>
          </w:p>
        </w:tc>
      </w:tr>
      <w:tr>
        <w:trPr>
          <w:trHeight w:val="260"/>
        </w:trPr>
        <w:tc>
          <w:tcPr>
            <w:tcW w:w="6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0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Executive Officers, Directors and Affiliates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A. Springer, Ph.D.</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1,600,000</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$2,896,000.00</w:t>
            </w:r>
          </w:p>
        </w:tc>
        <w:tc>
          <w:tcPr>
            <w:tcW w:w="0" w:type="dxa"/>
            <w:vAlign w:val="bottom"/>
          </w:tcPr>
          <w:p>
            <w:pPr>
              <w:spacing w:after="0"/>
              <w:rPr>
                <w:sz w:val="1"/>
                <w:szCs w:val="1"/>
                <w:color w:val="auto"/>
              </w:rPr>
            </w:pPr>
          </w:p>
        </w:tc>
      </w:tr>
      <w:tr>
        <w:trPr>
          <w:trHeight w:val="186"/>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Elona Kogan, J.D. (former General Counsel of the Company)</w:t>
            </w:r>
          </w:p>
        </w:tc>
        <w:tc>
          <w:tcPr>
            <w:tcW w:w="2000" w:type="dxa"/>
            <w:vAlign w:val="bottom"/>
          </w:tcPr>
          <w:p>
            <w:pPr>
              <w:jc w:val="right"/>
              <w:spacing w:after="0"/>
              <w:rPr>
                <w:sz w:val="20"/>
                <w:szCs w:val="20"/>
                <w:color w:val="auto"/>
              </w:rPr>
            </w:pPr>
            <w:r>
              <w:rPr>
                <w:rFonts w:ascii="Arial" w:cs="Arial" w:eastAsia="Arial" w:hAnsi="Arial"/>
                <w:sz w:val="14"/>
                <w:szCs w:val="14"/>
                <w:color w:val="auto"/>
              </w:rPr>
              <w:t>82,872</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$149,998.00</w:t>
            </w:r>
          </w:p>
        </w:tc>
        <w:tc>
          <w:tcPr>
            <w:tcW w:w="0" w:type="dxa"/>
            <w:vAlign w:val="bottom"/>
          </w:tcPr>
          <w:p>
            <w:pPr>
              <w:spacing w:after="0"/>
              <w:rPr>
                <w:sz w:val="1"/>
                <w:szCs w:val="1"/>
                <w:color w:val="auto"/>
              </w:rPr>
            </w:pPr>
          </w:p>
        </w:tc>
      </w:tr>
      <w:tr>
        <w:trPr>
          <w:trHeight w:val="19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Jed Springer (Timothy Springer's brother)</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right="300" w:hanging="332"/>
        <w:spacing w:after="0" w:line="277"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2019 Private Placement Offering</w:t>
      </w:r>
    </w:p>
    <w:p>
      <w:pPr>
        <w:spacing w:after="0" w:line="121"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December 2019, we completed a private placement offering pursuant to which we issued and sold (i) an aggregate of 37,634,883 shares of our Common Stock at a purchase price equal to $1.46 per share, which was equal to the most recent consolidated closing bid price on the Nasdaq Global Market on December 18, 2019, (ii) warrants to purchase an aggregate of 22,988,501 shares of Common Stock (the “Common Warrants”), at a purchase price equal to $0.125 per share underlying each Common Warrant, and (iii) pre-funded warrants to purchase an aggregate of 8,342,128 shares of Common Stock (the “Pre-Funded Warrants”), at a purchase price equal to $1.46 per share underlying each Pre-Funded Warrant, for aggregate gross proceeds of approximately $70.0 million. The following table sets forth the number of shares of Common Stock purchased in our registered public offering by directors (and related parties thereto) and holders, at the time of the offering, of more than 5% of our Common Stock:</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of Common Stock</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Warrants to be</w:t>
            </w: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Pre-Funded Warrants</w:t>
            </w:r>
          </w:p>
        </w:tc>
        <w:tc>
          <w:tcPr>
            <w:tcW w:w="1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Purchased</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860" w:type="dxa"/>
            <w:vAlign w:val="bottom"/>
            <w:gridSpan w:val="2"/>
          </w:tcPr>
          <w:p>
            <w:pPr>
              <w:ind w:left="560"/>
              <w:spacing w:after="0"/>
              <w:rPr>
                <w:sz w:val="20"/>
                <w:szCs w:val="20"/>
                <w:color w:val="auto"/>
              </w:rPr>
            </w:pPr>
            <w:r>
              <w:rPr>
                <w:rFonts w:ascii="Arial" w:cs="Arial" w:eastAsia="Arial" w:hAnsi="Arial"/>
                <w:sz w:val="14"/>
                <w:szCs w:val="14"/>
                <w:b w:val="1"/>
                <w:bCs w:val="1"/>
                <w:color w:val="auto"/>
              </w:rPr>
              <w:t>Purchased</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b w:val="1"/>
                <w:bCs w:val="1"/>
                <w:i w:val="1"/>
                <w:iCs w:val="1"/>
                <w:color w:val="auto"/>
              </w:rPr>
              <w:t>5% Stockholders</w:t>
            </w:r>
            <w:r>
              <w:rPr>
                <w:rFonts w:ascii="Arial" w:cs="Arial" w:eastAsia="Arial" w:hAnsi="Arial"/>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Vivo Capital</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8,078,233</w:t>
            </w:r>
          </w:p>
        </w:tc>
        <w:tc>
          <w:tcPr>
            <w:tcW w:w="12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8,210,180</w:t>
            </w:r>
          </w:p>
        </w:tc>
        <w:tc>
          <w:tcPr>
            <w:tcW w:w="100" w:type="dxa"/>
            <w:vAlign w:val="bottom"/>
          </w:tcPr>
          <w:p>
            <w:pPr>
              <w:spacing w:after="0"/>
              <w:rPr>
                <w:sz w:val="11"/>
                <w:szCs w:val="11"/>
                <w:color w:val="auto"/>
              </w:rPr>
            </w:pPr>
          </w:p>
        </w:tc>
        <w:tc>
          <w:tcPr>
            <w:tcW w:w="1740" w:type="dxa"/>
            <w:vAlign w:val="bottom"/>
            <w:vMerge w:val="restart"/>
          </w:tcPr>
          <w:p>
            <w:pPr>
              <w:ind w:left="1160"/>
              <w:spacing w:after="0"/>
              <w:rPr>
                <w:sz w:val="20"/>
                <w:szCs w:val="20"/>
                <w:color w:val="auto"/>
              </w:rPr>
            </w:pPr>
            <w:r>
              <w:rPr>
                <w:rFonts w:ascii="Arial" w:cs="Arial" w:eastAsia="Arial" w:hAnsi="Arial"/>
                <w:sz w:val="14"/>
                <w:szCs w:val="14"/>
                <w:color w:val="auto"/>
                <w:w w:val="89"/>
              </w:rPr>
              <w:t>8,342,128</w:t>
            </w:r>
          </w:p>
        </w:tc>
        <w:tc>
          <w:tcPr>
            <w:tcW w:w="120" w:type="dxa"/>
            <w:vAlign w:val="bottom"/>
          </w:tcPr>
          <w:p>
            <w:pPr>
              <w:spacing w:after="0"/>
              <w:rPr>
                <w:sz w:val="11"/>
                <w:szCs w:val="11"/>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$25,000,000.00</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(former 5% stockholder)</w:t>
            </w: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Entities affiliated with Mangrove</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5,254,516</w:t>
            </w:r>
          </w:p>
        </w:tc>
        <w:tc>
          <w:tcPr>
            <w:tcW w:w="1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2,627,258</w:t>
            </w:r>
          </w:p>
        </w:tc>
        <w:tc>
          <w:tcPr>
            <w:tcW w:w="1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$8,000,000.00</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(former 5% stockholder)</w:t>
            </w:r>
          </w:p>
        </w:tc>
        <w:tc>
          <w:tcPr>
            <w:tcW w:w="1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EcoR1 Capital, LLC</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4,597,701</w:t>
            </w:r>
          </w:p>
        </w:tc>
        <w:tc>
          <w:tcPr>
            <w:tcW w:w="12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2,298,850</w:t>
            </w:r>
          </w:p>
        </w:tc>
        <w:tc>
          <w:tcPr>
            <w:tcW w:w="100" w:type="dxa"/>
            <w:vAlign w:val="bottom"/>
          </w:tcPr>
          <w:p>
            <w:pPr>
              <w:spacing w:after="0"/>
              <w:rPr>
                <w:sz w:val="11"/>
                <w:szCs w:val="11"/>
                <w:color w:val="auto"/>
              </w:rPr>
            </w:pPr>
          </w:p>
        </w:tc>
        <w:tc>
          <w:tcPr>
            <w:tcW w:w="1860" w:type="dxa"/>
            <w:vAlign w:val="bottom"/>
            <w:gridSpan w:val="2"/>
            <w:vMerge w:val="restart"/>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$7,000,000.00</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(former 5% stockholder)</w:t>
            </w: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TAS Partners, LLC</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3,940,887</w:t>
            </w:r>
          </w:p>
        </w:tc>
        <w:tc>
          <w:tcPr>
            <w:tcW w:w="1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1,970,443</w:t>
            </w:r>
          </w:p>
        </w:tc>
        <w:tc>
          <w:tcPr>
            <w:tcW w:w="1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$6,000,000.00</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(affiliate of Timothy A. Springer, Ph.D.)</w:t>
            </w:r>
          </w:p>
        </w:tc>
        <w:tc>
          <w:tcPr>
            <w:tcW w:w="1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Boxer Capital</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3,284,072</w:t>
            </w:r>
          </w:p>
        </w:tc>
        <w:tc>
          <w:tcPr>
            <w:tcW w:w="12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1,642,036</w:t>
            </w:r>
          </w:p>
        </w:tc>
        <w:tc>
          <w:tcPr>
            <w:tcW w:w="100" w:type="dxa"/>
            <w:vAlign w:val="bottom"/>
          </w:tcPr>
          <w:p>
            <w:pPr>
              <w:spacing w:after="0"/>
              <w:rPr>
                <w:sz w:val="11"/>
                <w:szCs w:val="11"/>
                <w:color w:val="auto"/>
              </w:rPr>
            </w:pPr>
          </w:p>
        </w:tc>
        <w:tc>
          <w:tcPr>
            <w:tcW w:w="1860" w:type="dxa"/>
            <w:vAlign w:val="bottom"/>
            <w:gridSpan w:val="2"/>
            <w:vMerge w:val="restart"/>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$5,000,000.00</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(former 5% stockholder)</w:t>
            </w: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9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Entities affiliated with Biotechnology Value Fund, L.P. (former</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3,284,072</w:t>
            </w:r>
          </w:p>
        </w:tc>
        <w:tc>
          <w:tcPr>
            <w:tcW w:w="12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1,642,036</w:t>
            </w:r>
          </w:p>
        </w:tc>
        <w:tc>
          <w:tcPr>
            <w:tcW w:w="100" w:type="dxa"/>
            <w:vAlign w:val="bottom"/>
            <w:shd w:val="clear" w:color="auto" w:fill="CCEEFF"/>
          </w:tcPr>
          <w:p>
            <w:pPr>
              <w:spacing w:after="0"/>
              <w:rPr>
                <w:sz w:val="12"/>
                <w:szCs w:val="12"/>
                <w:color w:val="auto"/>
              </w:rPr>
            </w:pPr>
          </w:p>
        </w:tc>
        <w:tc>
          <w:tcPr>
            <w:tcW w:w="186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$5,000,000.00</w:t>
            </w: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 stockholder)</w:t>
            </w:r>
          </w:p>
        </w:tc>
        <w:tc>
          <w:tcPr>
            <w:tcW w:w="1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gridSpan w:val="2"/>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Entities affiliated with Wasatch</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2,298,851</w:t>
            </w:r>
          </w:p>
        </w:tc>
        <w:tc>
          <w:tcPr>
            <w:tcW w:w="12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1,149,425</w:t>
            </w:r>
          </w:p>
        </w:tc>
        <w:tc>
          <w:tcPr>
            <w:tcW w:w="100" w:type="dxa"/>
            <w:vAlign w:val="bottom"/>
          </w:tcPr>
          <w:p>
            <w:pPr>
              <w:spacing w:after="0"/>
              <w:rPr>
                <w:sz w:val="11"/>
                <w:szCs w:val="11"/>
                <w:color w:val="auto"/>
              </w:rPr>
            </w:pPr>
          </w:p>
        </w:tc>
        <w:tc>
          <w:tcPr>
            <w:tcW w:w="1860" w:type="dxa"/>
            <w:vAlign w:val="bottom"/>
            <w:gridSpan w:val="2"/>
            <w:vMerge w:val="restart"/>
          </w:tcPr>
          <w:p>
            <w:pPr>
              <w:ind w:left="1540"/>
              <w:spacing w:after="0"/>
              <w:rPr>
                <w:sz w:val="20"/>
                <w:szCs w:val="20"/>
                <w:color w:val="auto"/>
              </w:rPr>
            </w:pPr>
            <w:r>
              <w:rPr>
                <w:rFonts w:ascii="Arial" w:cs="Arial" w:eastAsia="Arial" w:hAnsi="Arial"/>
                <w:sz w:val="14"/>
                <w:szCs w:val="14"/>
                <w:color w:val="auto"/>
              </w:rPr>
              <w:t>—</w:t>
            </w:r>
          </w:p>
        </w:tc>
        <w:tc>
          <w:tcPr>
            <w:tcW w:w="1760" w:type="dxa"/>
            <w:vAlign w:val="bottom"/>
            <w:vMerge w:val="restart"/>
          </w:tcPr>
          <w:p>
            <w:pPr>
              <w:jc w:val="right"/>
              <w:spacing w:after="0"/>
              <w:rPr>
                <w:sz w:val="20"/>
                <w:szCs w:val="20"/>
                <w:color w:val="auto"/>
              </w:rPr>
            </w:pPr>
            <w:r>
              <w:rPr>
                <w:rFonts w:ascii="Arial" w:cs="Arial" w:eastAsia="Arial" w:hAnsi="Arial"/>
                <w:sz w:val="14"/>
                <w:szCs w:val="14"/>
                <w:color w:val="auto"/>
              </w:rPr>
              <w:t>$3,500,000.00</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(former 5% stockholder)</w:t>
            </w:r>
          </w:p>
        </w:tc>
        <w:tc>
          <w:tcPr>
            <w:tcW w:w="1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Entities affiliated with NanoDimension</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1,313,629</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656,814</w:t>
            </w: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Executive Officers, Directors and Affiliates</w:t>
            </w: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Carrie S. Cox</w:t>
            </w:r>
          </w:p>
        </w:tc>
        <w:tc>
          <w:tcPr>
            <w:tcW w:w="1740" w:type="dxa"/>
            <w:vAlign w:val="bottom"/>
          </w:tcPr>
          <w:p>
            <w:pPr>
              <w:jc w:val="right"/>
              <w:spacing w:after="0"/>
              <w:rPr>
                <w:sz w:val="20"/>
                <w:szCs w:val="20"/>
                <w:color w:val="auto"/>
              </w:rPr>
            </w:pPr>
            <w:r>
              <w:rPr>
                <w:rFonts w:ascii="Arial" w:cs="Arial" w:eastAsia="Arial" w:hAnsi="Arial"/>
                <w:sz w:val="14"/>
                <w:szCs w:val="14"/>
                <w:color w:val="auto"/>
              </w:rPr>
              <w:t>65,681</w:t>
            </w: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32,840</w:t>
            </w:r>
          </w:p>
        </w:tc>
        <w:tc>
          <w:tcPr>
            <w:tcW w:w="100" w:type="dxa"/>
            <w:vAlign w:val="bottom"/>
          </w:tcPr>
          <w:p>
            <w:pPr>
              <w:spacing w:after="0"/>
              <w:rPr>
                <w:sz w:val="16"/>
                <w:szCs w:val="16"/>
                <w:color w:val="auto"/>
              </w:rPr>
            </w:pPr>
          </w:p>
        </w:tc>
        <w:tc>
          <w:tcPr>
            <w:tcW w:w="186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$99,999.00</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Barabe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65,681</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32,840</w:t>
            </w:r>
          </w:p>
        </w:tc>
        <w:tc>
          <w:tcPr>
            <w:tcW w:w="10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154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$99,999.00</w:t>
            </w:r>
          </w:p>
        </w:tc>
        <w:tc>
          <w:tcPr>
            <w:tcW w:w="0" w:type="dxa"/>
            <w:vAlign w:val="bottom"/>
          </w:tcPr>
          <w:p>
            <w:pPr>
              <w:spacing w:after="0"/>
              <w:rPr>
                <w:sz w:val="1"/>
                <w:szCs w:val="1"/>
                <w:color w:val="auto"/>
              </w:rPr>
            </w:pPr>
          </w:p>
        </w:tc>
      </w:tr>
      <w:tr>
        <w:trPr>
          <w:trHeight w:val="182"/>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Scott Myers</w:t>
            </w:r>
          </w:p>
        </w:tc>
        <w:tc>
          <w:tcPr>
            <w:tcW w:w="1740" w:type="dxa"/>
            <w:vAlign w:val="bottom"/>
          </w:tcPr>
          <w:p>
            <w:pPr>
              <w:jc w:val="right"/>
              <w:spacing w:after="0"/>
              <w:rPr>
                <w:sz w:val="20"/>
                <w:szCs w:val="20"/>
                <w:color w:val="auto"/>
              </w:rPr>
            </w:pPr>
            <w:r>
              <w:rPr>
                <w:rFonts w:ascii="Arial" w:cs="Arial" w:eastAsia="Arial" w:hAnsi="Arial"/>
                <w:sz w:val="14"/>
                <w:szCs w:val="14"/>
                <w:color w:val="auto"/>
              </w:rPr>
              <w:t>39,409</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19,704</w:t>
            </w:r>
          </w:p>
        </w:tc>
        <w:tc>
          <w:tcPr>
            <w:tcW w:w="100" w:type="dxa"/>
            <w:vAlign w:val="bottom"/>
          </w:tcPr>
          <w:p>
            <w:pPr>
              <w:spacing w:after="0"/>
              <w:rPr>
                <w:sz w:val="15"/>
                <w:szCs w:val="15"/>
                <w:color w:val="auto"/>
              </w:rPr>
            </w:pPr>
          </w:p>
        </w:tc>
        <w:tc>
          <w:tcPr>
            <w:tcW w:w="1860" w:type="dxa"/>
            <w:vAlign w:val="bottom"/>
            <w:gridSpan w:val="2"/>
          </w:tcPr>
          <w:p>
            <w:pPr>
              <w:ind w:left="1540"/>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340" w:right="300" w:hanging="332"/>
        <w:spacing w:after="0" w:line="277"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entered into employment agreements with our named executive officers. For more information regarding these agreements, see the section in this proxy statement entitled “Executive and Director Compensation-Employment Agreements.”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Proposals</w:t>
      </w:r>
    </w:p>
    <w:p>
      <w:pPr>
        <w:spacing w:after="0" w:line="1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 xml:space="preserve">Requirements for Stockholder Proposals or Nominations to be Brought Before the Annual Meeting. </w:t>
      </w:r>
      <w:r>
        <w:rPr>
          <w:rFonts w:ascii="Arial" w:cs="Arial" w:eastAsia="Arial" w:hAnsi="Arial"/>
          <w:sz w:val="17"/>
          <w:szCs w:val="17"/>
          <w:color w:val="auto"/>
        </w:rPr>
        <w:t>Stockholders intending to present a proposal at the</w:t>
      </w:r>
      <w:r>
        <w:rPr>
          <w:rFonts w:ascii="Arial" w:cs="Arial" w:eastAsia="Arial" w:hAnsi="Arial"/>
          <w:sz w:val="17"/>
          <w:szCs w:val="17"/>
          <w:i w:val="1"/>
          <w:iCs w:val="1"/>
          <w:color w:val="auto"/>
        </w:rPr>
        <w:t xml:space="preserve"> </w:t>
      </w:r>
      <w:r>
        <w:rPr>
          <w:rFonts w:ascii="Arial" w:cs="Arial" w:eastAsia="Arial" w:hAnsi="Arial"/>
          <w:sz w:val="17"/>
          <w:szCs w:val="17"/>
          <w:color w:val="auto"/>
        </w:rPr>
        <w:t>2022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2022 Annual Meeting of Stockholders no earlier than the close of business on February 19, 2022 and no later than the close of business on March 21, 2022. The notice must contain the information required by the Amended and Restated Bylaws, a copy of which is available upon request to our Secretary. In the event that the date of the 2022 Annual Meeting of Stockholders is more than 30 days before or more than 60 days after June 18, 2022, then our Secretary must receive such written notice not earlier than the close of business on the 120th day prior to the 2022 Annual Meeting and not later than the close of business on the 90th day prior to the 2022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Requirements for Stockholder Proposals to be Considered for Inclusion in the Company’s Proxy Materials for the 2022 Annual Meeting</w:t>
      </w:r>
      <w:r>
        <w:rPr>
          <w:rFonts w:ascii="Arial" w:cs="Arial" w:eastAsia="Arial" w:hAnsi="Arial"/>
          <w:sz w:val="18"/>
          <w:szCs w:val="18"/>
          <w:color w:val="auto"/>
        </w:rPr>
        <w:t>.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who wishes to submit a proposal for inclusion in our proxy materials must comply with Rule 14a-8 promulgated under the Exchange Act. For such proposals to be included in our proxy materials for presentation at our 2022 Annual Meeting of Stockholders, all applicable requirements of Rule 14a-8 must be satisfied, and we must receive such proposals no later than December 28, 2021 at our offices at 65 Grove Street, Watertown, Massachusetts 02472, Attn: Secretary.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8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copy of Selecta’s Annual Report on Form 10-K for the fiscal year ended December 31, 2020, including financial statements and schedules thereto but not including exhibits, as filed with the SEC, will be sent to any stockholder of record on April 21, 2021 without charge upon written request addressed to:</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Watertown, MA 02472</w:t>
      </w:r>
    </w:p>
    <w:p>
      <w:pPr>
        <w:spacing w:after="0" w:line="103" w:lineRule="exact"/>
        <w:rPr>
          <w:sz w:val="20"/>
          <w:szCs w:val="20"/>
          <w:color w:val="auto"/>
        </w:rPr>
      </w:pPr>
    </w:p>
    <w:p>
      <w:pPr>
        <w:ind w:right="960" w:firstLine="324"/>
        <w:spacing w:after="0" w:line="342" w:lineRule="auto"/>
        <w:rPr>
          <w:sz w:val="20"/>
          <w:szCs w:val="20"/>
          <w:color w:val="auto"/>
        </w:rPr>
      </w:pPr>
      <w:r>
        <w:rPr>
          <w:rFonts w:ascii="Arial" w:cs="Arial" w:eastAsia="Arial" w:hAnsi="Arial"/>
          <w:sz w:val="16"/>
          <w:szCs w:val="16"/>
          <w:color w:val="auto"/>
        </w:rPr>
        <w:t xml:space="preserve">A reasonable fee will be charged for copies of exhibits. You also may access this proxy statement and our Annual Report on Form 10-K at </w:t>
      </w:r>
      <w:r>
        <w:rPr>
          <w:rFonts w:ascii="Arial" w:cs="Arial" w:eastAsia="Arial" w:hAnsi="Arial"/>
          <w:sz w:val="16"/>
          <w:szCs w:val="16"/>
          <w:i w:val="1"/>
          <w:iCs w:val="1"/>
          <w:color w:val="auto"/>
        </w:rPr>
        <w:t>www.proxyvote.com</w:t>
      </w:r>
      <w:r>
        <w:rPr>
          <w:rFonts w:ascii="Arial" w:cs="Arial" w:eastAsia="Arial" w:hAnsi="Arial"/>
          <w:sz w:val="16"/>
          <w:szCs w:val="16"/>
          <w:color w:val="auto"/>
        </w:rPr>
        <w:t>. You also may access our Annual Report on Form 10-K for the year ended December 31, 2020 at</w:t>
      </w:r>
      <w:r>
        <w:rPr>
          <w:rFonts w:ascii="Arial" w:cs="Arial" w:eastAsia="Arial" w:hAnsi="Arial"/>
          <w:sz w:val="16"/>
          <w:szCs w:val="16"/>
          <w:i w:val="1"/>
          <w:iCs w:val="1"/>
          <w:color w:val="auto"/>
        </w:rPr>
        <w:t xml:space="preserve"> www.selectabio.com</w:t>
      </w:r>
      <w:r>
        <w:rPr>
          <w:rFonts w:ascii="Arial" w:cs="Arial" w:eastAsia="Arial" w:hAnsi="Arial"/>
          <w:sz w:val="16"/>
          <w:szCs w:val="16"/>
          <w:color w:val="auto"/>
        </w:rPr>
        <w:t>.</w:t>
      </w:r>
    </w:p>
    <w:p>
      <w:pPr>
        <w:spacing w:after="0" w:line="3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518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457835</wp:posOffset>
            </wp:positionV>
            <wp:extent cx="6043295" cy="7860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43295" cy="786066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139"/>
          </w:cols>
          <w:pgMar w:left="320" w:top="125" w:right="1440" w:bottom="1440" w:gutter="0" w:footer="0" w:header="0"/>
          <w:type w:val="continuous"/>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303530</wp:posOffset>
            </wp:positionV>
            <wp:extent cx="5966460" cy="7680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7680960"/>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34</w:t>
      </w:r>
    </w:p>
    <w:sectPr>
      <w:pgSz w:w="11900" w:h="16838" w:orient="portrait"/>
      <w:cols w:equalWidth="0" w:num="1">
        <w:col w:w="10139"/>
      </w:cols>
      <w:pgMar w:left="32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2)"/>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5"/>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lowerRoman"/>
      <w:start w:val="5"/>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2021-04-29T07:18:11Z</dcterms:created>
  <dcterms:modified xsi:type="dcterms:W3CDTF">2021-04-29T07:18:11Z</dcterms:modified>
</cp:coreProperties>
</file>