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As filed with the Securities and Exchange Commission on August 6, 2020</w:t>
      </w:r>
    </w:p>
    <w:p>
      <w:pPr>
        <w:spacing w:after="0" w:line="50" w:lineRule="exact"/>
        <w:rPr>
          <w:sz w:val="24"/>
          <w:szCs w:val="24"/>
          <w:color w:val="auto"/>
        </w:rPr>
      </w:pPr>
    </w:p>
    <w:p>
      <w:pPr>
        <w:ind w:left="834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50165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110490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39"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UNITED STATES</w:t>
      </w:r>
    </w:p>
    <w:p>
      <w:pPr>
        <w:jc w:val="center"/>
        <w:ind w:right="-55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205740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S-3</w:t>
      </w:r>
    </w:p>
    <w:p>
      <w:pPr>
        <w:spacing w:after="0" w:line="15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177165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9" w:lineRule="exact"/>
        <w:rPr>
          <w:sz w:val="24"/>
          <w:szCs w:val="24"/>
          <w:color w:val="auto"/>
        </w:rPr>
      </w:pPr>
    </w:p>
    <w:p>
      <w:pPr>
        <w:jc w:val="center"/>
        <w:ind w:right="-559"/>
        <w:spacing w:after="0"/>
        <w:rPr>
          <w:sz w:val="20"/>
          <w:szCs w:val="20"/>
          <w:color w:val="auto"/>
        </w:rPr>
      </w:pPr>
      <w:r>
        <w:rPr>
          <w:rFonts w:ascii="Arial" w:cs="Arial" w:eastAsia="Arial" w:hAnsi="Arial"/>
          <w:sz w:val="29"/>
          <w:szCs w:val="29"/>
          <w:b w:val="1"/>
          <w:bCs w:val="1"/>
          <w:color w:val="auto"/>
        </w:rPr>
        <w:t>SELECTA BIOSCIENCES, INC.</w:t>
      </w:r>
    </w:p>
    <w:p>
      <w:pPr>
        <w:spacing w:after="0" w:line="41"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212090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tbl>
      <w:tblPr>
        <w:tblLayout w:type="fixed"/>
        <w:tblInd w:w="1980" w:type="dxa"/>
        <w:tblCellMar>
          <w:top w:w="0" w:type="dxa"/>
          <w:left w:w="0" w:type="dxa"/>
          <w:bottom w:w="0" w:type="dxa"/>
          <w:right w:w="0" w:type="dxa"/>
        </w:tblCellMar>
      </w:tblPr>
      <w:tr>
        <w:trPr>
          <w:trHeight w:val="202"/>
        </w:trPr>
        <w:tc>
          <w:tcPr>
            <w:tcW w:w="3480" w:type="dxa"/>
            <w:vAlign w:val="bottom"/>
          </w:tcPr>
          <w:p>
            <w:pPr>
              <w:jc w:val="center"/>
              <w:ind w:right="1624"/>
              <w:spacing w:after="0"/>
              <w:rPr>
                <w:sz w:val="20"/>
                <w:szCs w:val="20"/>
                <w:color w:val="auto"/>
              </w:rPr>
            </w:pPr>
            <w:r>
              <w:rPr>
                <w:rFonts w:ascii="Arial" w:cs="Arial" w:eastAsia="Arial" w:hAnsi="Arial"/>
                <w:sz w:val="17"/>
                <w:szCs w:val="17"/>
                <w:b w:val="1"/>
                <w:bCs w:val="1"/>
                <w:color w:val="auto"/>
                <w:w w:val="88"/>
              </w:rPr>
              <w:t>Delaware</w:t>
            </w:r>
          </w:p>
        </w:tc>
        <w:tc>
          <w:tcPr>
            <w:tcW w:w="3060" w:type="dxa"/>
            <w:vAlign w:val="bottom"/>
          </w:tcPr>
          <w:p>
            <w:pPr>
              <w:jc w:val="center"/>
              <w:ind w:left="1624"/>
              <w:spacing w:after="0"/>
              <w:rPr>
                <w:sz w:val="20"/>
                <w:szCs w:val="20"/>
                <w:color w:val="auto"/>
              </w:rPr>
            </w:pPr>
            <w:r>
              <w:rPr>
                <w:rFonts w:ascii="Arial" w:cs="Arial" w:eastAsia="Arial" w:hAnsi="Arial"/>
                <w:sz w:val="17"/>
                <w:szCs w:val="17"/>
                <w:b w:val="1"/>
                <w:bCs w:val="1"/>
                <w:color w:val="auto"/>
                <w:w w:val="88"/>
              </w:rPr>
              <w:t>26-1622110</w:t>
            </w:r>
          </w:p>
        </w:tc>
      </w:tr>
      <w:tr>
        <w:trPr>
          <w:trHeight w:val="144"/>
        </w:trPr>
        <w:tc>
          <w:tcPr>
            <w:tcW w:w="3480" w:type="dxa"/>
            <w:vAlign w:val="bottom"/>
          </w:tcPr>
          <w:p>
            <w:pPr>
              <w:jc w:val="center"/>
              <w:ind w:right="1664"/>
              <w:spacing w:after="0" w:line="144" w:lineRule="exact"/>
              <w:rPr>
                <w:sz w:val="20"/>
                <w:szCs w:val="20"/>
                <w:color w:val="auto"/>
              </w:rPr>
            </w:pPr>
            <w:r>
              <w:rPr>
                <w:rFonts w:ascii="Arial" w:cs="Arial" w:eastAsia="Arial" w:hAnsi="Arial"/>
                <w:sz w:val="14"/>
                <w:szCs w:val="14"/>
                <w:b w:val="1"/>
                <w:bCs w:val="1"/>
                <w:color w:val="auto"/>
                <w:w w:val="88"/>
              </w:rPr>
              <w:t>(State or other jurisdiction of</w:t>
            </w:r>
          </w:p>
        </w:tc>
        <w:tc>
          <w:tcPr>
            <w:tcW w:w="3060" w:type="dxa"/>
            <w:vAlign w:val="bottom"/>
          </w:tcPr>
          <w:p>
            <w:pPr>
              <w:jc w:val="center"/>
              <w:ind w:left="1584"/>
              <w:spacing w:after="0" w:line="144" w:lineRule="exact"/>
              <w:rPr>
                <w:sz w:val="20"/>
                <w:szCs w:val="20"/>
                <w:color w:val="auto"/>
              </w:rPr>
            </w:pPr>
            <w:r>
              <w:rPr>
                <w:rFonts w:ascii="Arial" w:cs="Arial" w:eastAsia="Arial" w:hAnsi="Arial"/>
                <w:sz w:val="14"/>
                <w:szCs w:val="14"/>
                <w:b w:val="1"/>
                <w:bCs w:val="1"/>
                <w:color w:val="auto"/>
                <w:w w:val="93"/>
              </w:rPr>
              <w:t>(I.R.S. Employer</w:t>
            </w:r>
          </w:p>
        </w:tc>
      </w:tr>
      <w:tr>
        <w:trPr>
          <w:trHeight w:val="186"/>
        </w:trPr>
        <w:tc>
          <w:tcPr>
            <w:tcW w:w="3480" w:type="dxa"/>
            <w:vAlign w:val="bottom"/>
          </w:tcPr>
          <w:p>
            <w:pPr>
              <w:jc w:val="center"/>
              <w:ind w:right="1624"/>
              <w:spacing w:after="0"/>
              <w:rPr>
                <w:sz w:val="20"/>
                <w:szCs w:val="20"/>
                <w:color w:val="auto"/>
              </w:rPr>
            </w:pPr>
            <w:r>
              <w:rPr>
                <w:rFonts w:ascii="Arial" w:cs="Arial" w:eastAsia="Arial" w:hAnsi="Arial"/>
                <w:sz w:val="14"/>
                <w:szCs w:val="14"/>
                <w:b w:val="1"/>
                <w:bCs w:val="1"/>
                <w:color w:val="auto"/>
                <w:w w:val="89"/>
              </w:rPr>
              <w:t>incorporation or organization)</w:t>
            </w:r>
          </w:p>
        </w:tc>
        <w:tc>
          <w:tcPr>
            <w:tcW w:w="3060" w:type="dxa"/>
            <w:vAlign w:val="bottom"/>
          </w:tcPr>
          <w:p>
            <w:pPr>
              <w:jc w:val="center"/>
              <w:ind w:left="1624"/>
              <w:spacing w:after="0"/>
              <w:rPr>
                <w:sz w:val="20"/>
                <w:szCs w:val="20"/>
                <w:color w:val="auto"/>
              </w:rPr>
            </w:pPr>
            <w:r>
              <w:rPr>
                <w:rFonts w:ascii="Arial" w:cs="Arial" w:eastAsia="Arial" w:hAnsi="Arial"/>
                <w:sz w:val="14"/>
                <w:szCs w:val="14"/>
                <w:b w:val="1"/>
                <w:bCs w:val="1"/>
                <w:color w:val="auto"/>
                <w:w w:val="91"/>
              </w:rPr>
              <w:t>Identification Number)</w:t>
            </w:r>
          </w:p>
        </w:tc>
      </w:tr>
    </w:tbl>
    <w:p>
      <w:pPr>
        <w:spacing w:after="0" w:line="65"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65 Grove Street</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(617) 923-1400</w:t>
      </w:r>
    </w:p>
    <w:p>
      <w:pPr>
        <w:spacing w:after="0" w:line="40" w:lineRule="exact"/>
        <w:rPr>
          <w:sz w:val="24"/>
          <w:szCs w:val="24"/>
          <w:color w:val="auto"/>
        </w:rPr>
      </w:pPr>
    </w:p>
    <w:p>
      <w:pPr>
        <w:jc w:val="center"/>
        <w:ind w:right="-5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13"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Carsten Brunn, Ph.D.</w:t>
      </w:r>
    </w:p>
    <w:p>
      <w:pPr>
        <w:spacing w:after="0" w:line="2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Selecta Biosciences, Inc.</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65 Grove Street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(617) 923-1400</w:t>
      </w:r>
    </w:p>
    <w:p>
      <w:pPr>
        <w:spacing w:after="0" w:line="40" w:lineRule="exact"/>
        <w:rPr>
          <w:sz w:val="24"/>
          <w:szCs w:val="24"/>
          <w:color w:val="auto"/>
        </w:rPr>
      </w:pPr>
    </w:p>
    <w:p>
      <w:pPr>
        <w:jc w:val="center"/>
        <w:ind w:right="-599"/>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for service)</w:t>
      </w:r>
    </w:p>
    <w:p>
      <w:pPr>
        <w:spacing w:after="0" w:line="86"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i w:val="1"/>
          <w:iCs w:val="1"/>
          <w:color w:val="auto"/>
        </w:rPr>
        <w:t>Copies to</w:t>
      </w:r>
      <w:r>
        <w:rPr>
          <w:rFonts w:ascii="Arial" w:cs="Arial" w:eastAsia="Arial" w:hAnsi="Arial"/>
          <w:sz w:val="18"/>
          <w:szCs w:val="18"/>
          <w:b w:val="1"/>
          <w:bCs w:val="1"/>
          <w:color w:val="auto"/>
        </w:rPr>
        <w:t>:</w:t>
      </w:r>
    </w:p>
    <w:p>
      <w:pPr>
        <w:spacing w:after="0" w:line="11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Peter N. Handrinos, Esq.</w:t>
      </w:r>
    </w:p>
    <w:p>
      <w:pPr>
        <w:spacing w:after="0" w:line="2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Wesley C. Holmes, Esq.</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200 Clarendon Street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Boston, MA 02116</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Telephone: (617) 948-6000</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Fax: (617) 948-6001</w:t>
      </w:r>
    </w:p>
    <w:p>
      <w:pPr>
        <w:spacing w:after="0" w:line="58" w:lineRule="exact"/>
        <w:rPr>
          <w:sz w:val="24"/>
          <w:szCs w:val="24"/>
          <w:color w:val="auto"/>
        </w:rPr>
      </w:pPr>
    </w:p>
    <w:p>
      <w:pPr>
        <w:ind w:left="500" w:right="580"/>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148590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2" w:lineRule="exact"/>
        <w:rPr>
          <w:sz w:val="24"/>
          <w:szCs w:val="24"/>
          <w:color w:val="auto"/>
        </w:rPr>
      </w:pPr>
    </w:p>
    <w:p>
      <w:pPr>
        <w:ind w:left="500" w:right="200" w:firstLine="36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34" w:lineRule="exact"/>
        <w:rPr>
          <w:sz w:val="24"/>
          <w:szCs w:val="24"/>
          <w:color w:val="auto"/>
        </w:rPr>
      </w:pPr>
    </w:p>
    <w:p>
      <w:pPr>
        <w:ind w:left="500" w:right="640" w:firstLine="360"/>
        <w:spacing w:after="0" w:line="22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49" w:lineRule="exact"/>
        <w:rPr>
          <w:sz w:val="24"/>
          <w:szCs w:val="24"/>
          <w:color w:val="auto"/>
        </w:rPr>
      </w:pPr>
    </w:p>
    <w:p>
      <w:pPr>
        <w:ind w:left="500" w:firstLine="360"/>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5" w:lineRule="exact"/>
        <w:rPr>
          <w:sz w:val="24"/>
          <w:szCs w:val="24"/>
          <w:color w:val="auto"/>
        </w:rPr>
      </w:pPr>
    </w:p>
    <w:p>
      <w:pPr>
        <w:ind w:left="500" w:right="40" w:firstLine="360"/>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40"/>
          </w:cols>
          <w:pgMar w:left="320" w:top="239" w:right="1439"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100" w:firstLine="360"/>
        <w:spacing w:after="0" w:line="233" w:lineRule="exact"/>
        <w:rPr>
          <w:sz w:val="20"/>
          <w:szCs w:val="20"/>
          <w:color w:val="auto"/>
        </w:rPr>
      </w:pPr>
      <w:r>
        <w:rPr>
          <w:rFonts w:ascii="Arial" w:cs="Arial" w:eastAsia="Arial" w:hAnsi="Arial"/>
          <w:sz w:val="17"/>
          <w:szCs w:val="17"/>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7"/>
          <w:szCs w:val="17"/>
          <w:color w:val="auto"/>
        </w:rPr>
        <w:t>☐</w:t>
      </w:r>
    </w:p>
    <w:p>
      <w:pPr>
        <w:spacing w:after="0" w:line="34" w:lineRule="exact"/>
        <w:rPr>
          <w:sz w:val="20"/>
          <w:szCs w:val="20"/>
          <w:color w:val="auto"/>
        </w:rPr>
      </w:pPr>
    </w:p>
    <w:p>
      <w:pPr>
        <w:ind w:left="500" w:right="420" w:firstLine="360"/>
        <w:spacing w:after="0" w:line="227"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49" w:lineRule="exact"/>
        <w:rPr>
          <w:sz w:val="20"/>
          <w:szCs w:val="20"/>
          <w:color w:val="auto"/>
        </w:rPr>
      </w:pPr>
    </w:p>
    <w:p>
      <w:pPr>
        <w:ind w:left="500" w:right="120" w:firstLine="3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320" w:top="131" w:right="1339" w:bottom="1440" w:gutter="0" w:footer="0" w:header="0"/>
        </w:sectPr>
      </w:pPr>
    </w:p>
    <w:p>
      <w:pPr>
        <w:spacing w:after="0" w:line="229" w:lineRule="exact"/>
        <w:rPr>
          <w:sz w:val="20"/>
          <w:szCs w:val="20"/>
          <w:color w:val="auto"/>
        </w:rPr>
      </w:pPr>
    </w:p>
    <w:p>
      <w:pPr>
        <w:ind w:left="1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8" w:lineRule="exact"/>
        <w:rPr>
          <w:sz w:val="20"/>
          <w:szCs w:val="20"/>
          <w:color w:val="auto"/>
        </w:rPr>
      </w:pPr>
    </w:p>
    <w:p>
      <w:pPr>
        <w:ind w:left="12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6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69" w:lineRule="exact"/>
        <w:rPr>
          <w:sz w:val="20"/>
          <w:szCs w:val="20"/>
          <w:color w:val="auto"/>
        </w:rPr>
      </w:pPr>
    </w:p>
    <w:p>
      <w:pPr>
        <w:sectPr>
          <w:pgSz w:w="11900" w:h="16838" w:orient="portrait"/>
          <w:cols w:equalWidth="0" w:num="2">
            <w:col w:w="4740" w:space="720"/>
            <w:col w:w="4780"/>
          </w:cols>
          <w:pgMar w:left="320" w:top="131" w:right="1339" w:bottom="1440" w:gutter="0" w:footer="0" w:header="0"/>
          <w:type w:val="continuous"/>
        </w:sectPr>
      </w:pPr>
    </w:p>
    <w:p>
      <w:pPr>
        <w:jc w:val="center"/>
        <w:ind w:right="-379"/>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w:t>
      </w:r>
    </w:p>
    <w:p>
      <w:pPr>
        <w:spacing w:after="0" w:line="23" w:lineRule="exact"/>
        <w:rPr>
          <w:sz w:val="20"/>
          <w:szCs w:val="20"/>
          <w:color w:val="auto"/>
        </w:rPr>
      </w:pPr>
    </w:p>
    <w:p>
      <w:pPr>
        <w:ind w:left="500" w:right="140"/>
        <w:spacing w:after="0" w:line="226" w:lineRule="exact"/>
        <w:rPr>
          <w:sz w:val="20"/>
          <w:szCs w:val="20"/>
          <w:color w:val="auto"/>
        </w:rPr>
      </w:pPr>
      <w:r>
        <w:rPr>
          <w:rFonts w:ascii="Arial" w:cs="Arial" w:eastAsia="Arial" w:hAnsi="Arial"/>
          <w:sz w:val="18"/>
          <w:szCs w:val="18"/>
          <w:color w:val="auto"/>
        </w:rPr>
        <w:t xml:space="preserve">period for comply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7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40"/>
        </w:trPr>
        <w:tc>
          <w:tcPr>
            <w:tcW w:w="6740" w:type="dxa"/>
            <w:vAlign w:val="bottom"/>
            <w:tcBorders>
              <w:top w:val="single" w:sz="8" w:color="auto"/>
              <w:bottom w:val="single" w:sz="8" w:color="auto"/>
              <w:right w:val="single" w:sz="8" w:color="auto"/>
            </w:tcBorders>
          </w:tcPr>
          <w:p>
            <w:pPr>
              <w:spacing w:after="0"/>
              <w:rPr>
                <w:sz w:val="3"/>
                <w:szCs w:val="3"/>
                <w:color w:val="auto"/>
              </w:rPr>
            </w:pPr>
          </w:p>
        </w:tc>
        <w:tc>
          <w:tcPr>
            <w:tcW w:w="1880" w:type="dxa"/>
            <w:vAlign w:val="bottom"/>
            <w:tcBorders>
              <w:top w:val="single" w:sz="8" w:color="auto"/>
              <w:bottom w:val="single" w:sz="8" w:color="auto"/>
              <w:right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674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 to be</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67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registered/proposed</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7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maximum offering price</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7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 unit/proposed</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7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maximum aggregate</w:t>
            </w:r>
          </w:p>
        </w:tc>
        <w:tc>
          <w:tcPr>
            <w:tcW w:w="112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91"/>
              </w:rPr>
              <w:t>Amount of</w:t>
            </w:r>
          </w:p>
        </w:tc>
      </w:tr>
      <w:tr>
        <w:trPr>
          <w:trHeight w:val="189"/>
        </w:trPr>
        <w:tc>
          <w:tcPr>
            <w:tcW w:w="6740" w:type="dxa"/>
            <w:vAlign w:val="bottom"/>
            <w:tcBorders>
              <w:right w:val="single" w:sz="8" w:color="auto"/>
            </w:tcBorders>
          </w:tcPr>
          <w:p>
            <w:pPr>
              <w:ind w:left="192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offering price</w:t>
            </w:r>
          </w:p>
        </w:tc>
        <w:tc>
          <w:tcPr>
            <w:tcW w:w="1120" w:type="dxa"/>
            <w:vAlign w:val="bottom"/>
            <w:gridSpan w:val="2"/>
          </w:tcPr>
          <w:p>
            <w:pPr>
              <w:jc w:val="center"/>
              <w:ind w:left="122"/>
              <w:spacing w:after="0"/>
              <w:rPr>
                <w:sz w:val="20"/>
                <w:szCs w:val="20"/>
                <w:color w:val="auto"/>
              </w:rPr>
            </w:pPr>
            <w:r>
              <w:rPr>
                <w:rFonts w:ascii="Arial" w:cs="Arial" w:eastAsia="Arial" w:hAnsi="Arial"/>
                <w:sz w:val="14"/>
                <w:szCs w:val="14"/>
                <w:b w:val="1"/>
                <w:bCs w:val="1"/>
                <w:color w:val="auto"/>
                <w:w w:val="86"/>
              </w:rPr>
              <w:t>registration fee</w:t>
            </w:r>
          </w:p>
        </w:tc>
      </w:tr>
      <w:tr>
        <w:trPr>
          <w:trHeight w:val="39"/>
        </w:trPr>
        <w:tc>
          <w:tcPr>
            <w:tcW w:w="674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50"/>
        </w:trPr>
        <w:tc>
          <w:tcPr>
            <w:tcW w:w="67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6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Preferred Stock</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67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88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6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880" w:type="dxa"/>
            <w:vAlign w:val="bottom"/>
            <w:tcBorders>
              <w:right w:val="single" w:sz="8" w:color="auto"/>
            </w:tcBorders>
          </w:tcPr>
          <w:p>
            <w:pPr>
              <w:jc w:val="right"/>
              <w:ind w:right="199"/>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67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Units</w:t>
            </w:r>
          </w:p>
        </w:tc>
        <w:tc>
          <w:tcPr>
            <w:tcW w:w="1880" w:type="dxa"/>
            <w:vAlign w:val="bottom"/>
            <w:tcBorders>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7"/>
        </w:trPr>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$37,000,000(3)</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$4,803(4)</w:t>
            </w:r>
          </w:p>
        </w:tc>
      </w:tr>
      <w:tr>
        <w:trPr>
          <w:trHeight w:val="20"/>
        </w:trPr>
        <w:tc>
          <w:tcPr>
            <w:tcW w:w="67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ind w:left="860" w:right="220" w:hanging="366"/>
        <w:spacing w:after="0" w:line="279"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22" w:lineRule="exact"/>
        <w:rPr>
          <w:rFonts w:ascii="Arial" w:cs="Arial" w:eastAsia="Arial" w:hAnsi="Arial"/>
          <w:sz w:val="17"/>
          <w:szCs w:val="17"/>
          <w:color w:val="auto"/>
        </w:rPr>
      </w:pPr>
    </w:p>
    <w:p>
      <w:pPr>
        <w:ind w:left="860" w:hanging="366"/>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rights to acquire common stock or preferred stock of the Company under any shareholder rights plan then in effect, if applicable under the terms of any such plan.</w:t>
      </w:r>
    </w:p>
    <w:p>
      <w:pPr>
        <w:spacing w:after="0" w:line="35" w:lineRule="exact"/>
        <w:rPr>
          <w:rFonts w:ascii="Arial" w:cs="Arial" w:eastAsia="Arial" w:hAnsi="Arial"/>
          <w:sz w:val="18"/>
          <w:szCs w:val="18"/>
          <w:color w:val="auto"/>
        </w:rPr>
      </w:pPr>
    </w:p>
    <w:p>
      <w:pPr>
        <w:ind w:left="860" w:right="80" w:hanging="366"/>
        <w:spacing w:after="0" w:line="259"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$200,000,000.</w:t>
      </w:r>
    </w:p>
    <w:p>
      <w:pPr>
        <w:spacing w:after="0" w:line="38" w:lineRule="exact"/>
        <w:rPr>
          <w:rFonts w:ascii="Arial" w:cs="Arial" w:eastAsia="Arial" w:hAnsi="Arial"/>
          <w:sz w:val="18"/>
          <w:szCs w:val="18"/>
          <w:color w:val="auto"/>
        </w:rPr>
      </w:pPr>
    </w:p>
    <w:p>
      <w:pPr>
        <w:ind w:left="860" w:hanging="366"/>
        <w:spacing w:after="0" w:line="273"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registration fee has been calculated in accordance with Rule 457(o) under the Securities Act of 1933, as amended. The $200,000,000 of securities registered pursuant to this registration statement includes $163,000,000 of securities (the “Unsold Securities”) registered pursuant to the Registration Statement on Form S-3 (No. 333-219900), which became effective on August 28, 2017. Pursuant to Rule 415(a)(6) under the Securities Act of 1933, as amended, the filing fees previously paid in connection with the Unsold Securities will continue to be applied to the Unsold Securities. A filing fee of $4,803 is paid herewith in connection with the $37,000,000 of additional securities registered hereunder.</w:t>
      </w:r>
    </w:p>
    <w:p>
      <w:pPr>
        <w:spacing w:after="0" w:line="25" w:lineRule="exact"/>
        <w:rPr>
          <w:sz w:val="20"/>
          <w:szCs w:val="20"/>
          <w:color w:val="auto"/>
        </w:rPr>
      </w:pPr>
    </w:p>
    <w:p>
      <w:pPr>
        <w:jc w:val="both"/>
        <w:ind w:left="500" w:right="260" w:firstLine="360"/>
        <w:spacing w:after="0" w:line="303"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47625</wp:posOffset>
            </wp:positionV>
            <wp:extent cx="6189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90170</wp:posOffset>
            </wp:positionV>
            <wp:extent cx="618934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364490</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registration statement contains:</w:t>
      </w:r>
    </w:p>
    <w:p>
      <w:pPr>
        <w:spacing w:after="0" w:line="117" w:lineRule="exact"/>
        <w:rPr>
          <w:sz w:val="20"/>
          <w:szCs w:val="20"/>
          <w:color w:val="auto"/>
        </w:rPr>
      </w:pPr>
    </w:p>
    <w:p>
      <w:pPr>
        <w:ind w:left="1980" w:right="819" w:hanging="358"/>
        <w:spacing w:after="0" w:line="308" w:lineRule="auto"/>
        <w:tabs>
          <w:tab w:leader="none" w:pos="1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base prospectus which covers the offering, issuance and sale by us of up to $200,000,000 in the aggregate of the securities identified above from time to time in one or more offerings; and</w:t>
      </w:r>
    </w:p>
    <w:p>
      <w:pPr>
        <w:spacing w:after="0" w:line="38" w:lineRule="exact"/>
        <w:rPr>
          <w:rFonts w:ascii="Arial" w:cs="Arial" w:eastAsia="Arial" w:hAnsi="Arial"/>
          <w:sz w:val="17"/>
          <w:szCs w:val="17"/>
          <w:color w:val="auto"/>
        </w:rPr>
      </w:pPr>
    </w:p>
    <w:p>
      <w:pPr>
        <w:ind w:left="1980" w:right="799" w:hanging="358"/>
        <w:spacing w:after="0" w:line="263"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sales agreement prospectus supplement covering the offering, issuance and sale by us of up to a maximum aggregate offering price of $50,000,000 of our common stock that may be issued and sold under a sales agreement with Jefferies LLC.</w:t>
      </w:r>
    </w:p>
    <w:p>
      <w:pPr>
        <w:spacing w:after="0" w:line="116"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$50,000,000 of common stock that may be offered, issued and sold under the sales agreement prospectus supplement is included in the $200,000,000 of securities that may be offered, issued and sold by us under the base prospectus. Upon termination of the sales agreement with Jefferies LLC, any portion of the $50,000,000 included in the sales agreement prospectus supplement that is not sold pursuant to the sales agreement will be available for sale in other offerings pursuant to the base prospectus, and if no shares are sold under the sales agreement, the full $50,000,000 of securities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5484495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880" w:type="dxa"/>
        <w:tblCellMar>
          <w:top w:w="0" w:type="dxa"/>
          <w:left w:w="0" w:type="dxa"/>
          <w:bottom w:w="0" w:type="dxa"/>
          <w:right w:w="0" w:type="dxa"/>
        </w:tblCellMar>
      </w:tblPr>
      <w:tr>
        <w:trPr>
          <w:trHeight w:val="4459"/>
        </w:trPr>
        <w:tc>
          <w:tcPr>
            <w:tcW w:w="160" w:type="dxa"/>
            <w:vAlign w:val="bottom"/>
            <w:textDirection w:val="btLr"/>
          </w:tcPr>
          <w:p>
            <w:pPr>
              <w:spacing w:after="0"/>
              <w:rPr>
                <w:sz w:val="20"/>
                <w:szCs w:val="20"/>
                <w:color w:val="auto"/>
              </w:rPr>
            </w:pPr>
            <w:r>
              <w:rPr>
                <w:rFonts w:ascii="Arial" w:cs="Arial" w:eastAsia="Arial" w:hAnsi="Arial"/>
                <w:sz w:val="18"/>
                <w:szCs w:val="18"/>
                <w:b w:val="1"/>
                <w:bCs w:val="1"/>
                <w:color w:val="F15060"/>
              </w:rPr>
              <w:t>securities may not be sold until the registration</w:t>
            </w:r>
          </w:p>
        </w:tc>
        <w:tc>
          <w:tcPr>
            <w:tcW w:w="340" w:type="dxa"/>
            <w:vAlign w:val="bottom"/>
            <w:textDirection w:val="btLr"/>
          </w:tcPr>
          <w:p>
            <w:pPr>
              <w:ind w:left="16"/>
              <w:spacing w:after="0"/>
              <w:rPr>
                <w:sz w:val="20"/>
                <w:szCs w:val="20"/>
                <w:color w:val="auto"/>
              </w:rPr>
            </w:pPr>
            <w:r>
              <w:rPr>
                <w:rFonts w:ascii="Arial" w:cs="Arial" w:eastAsia="Arial" w:hAnsi="Arial"/>
                <w:sz w:val="18"/>
                <w:szCs w:val="18"/>
                <w:b w:val="1"/>
                <w:bCs w:val="1"/>
                <w:color w:val="F15060"/>
                <w:w w:val="99"/>
              </w:rPr>
              <w:t>prospectus is not an offer to sell nor does it seek an</w:t>
            </w:r>
          </w:p>
        </w:tc>
      </w:tr>
      <w:tr>
        <w:trPr>
          <w:trHeight w:val="2470"/>
        </w:trPr>
        <w:tc>
          <w:tcPr>
            <w:tcW w:w="160" w:type="dxa"/>
            <w:vAlign w:val="bottom"/>
            <w:textDirection w:val="btLr"/>
          </w:tcPr>
          <w:p>
            <w:pPr>
              <w:spacing w:after="0"/>
              <w:rPr>
                <w:sz w:val="20"/>
                <w:szCs w:val="20"/>
                <w:color w:val="auto"/>
              </w:rPr>
            </w:pPr>
            <w:r>
              <w:rPr>
                <w:rFonts w:ascii="Arial" w:cs="Arial" w:eastAsia="Arial" w:hAnsi="Arial"/>
                <w:sz w:val="18"/>
                <w:szCs w:val="18"/>
                <w:b w:val="1"/>
                <w:bCs w:val="1"/>
                <w:color w:val="F15060"/>
                <w:w w:val="99"/>
              </w:rPr>
              <w:t>and may be changed. These</w:t>
            </w:r>
          </w:p>
        </w:tc>
        <w:tc>
          <w:tcPr>
            <w:tcW w:w="340" w:type="dxa"/>
            <w:vAlign w:val="bottom"/>
            <w:textDirection w:val="btLr"/>
          </w:tcPr>
          <w:p>
            <w:pPr>
              <w:ind w:left="191"/>
              <w:spacing w:after="0"/>
              <w:rPr>
                <w:sz w:val="20"/>
                <w:szCs w:val="20"/>
                <w:color w:val="auto"/>
              </w:rPr>
            </w:pPr>
            <w:r>
              <w:rPr>
                <w:rFonts w:ascii="Arial" w:cs="Arial" w:eastAsia="Arial" w:hAnsi="Arial"/>
                <w:sz w:val="13"/>
                <w:szCs w:val="13"/>
                <w:b w:val="1"/>
                <w:bCs w:val="1"/>
                <w:color w:val="F15060"/>
                <w:w w:val="78"/>
              </w:rPr>
              <w:t>is effective. This preliminaryorsaleisnotpermitted.</w:t>
            </w:r>
          </w:p>
        </w:tc>
      </w:tr>
      <w:tr>
        <w:trPr>
          <w:trHeight w:val="5359"/>
        </w:trPr>
        <w:tc>
          <w:tcPr>
            <w:tcW w:w="160" w:type="dxa"/>
            <w:vAlign w:val="bottom"/>
            <w:textDirection w:val="btLr"/>
          </w:tcPr>
          <w:p>
            <w:pPr>
              <w:spacing w:after="0"/>
              <w:rPr>
                <w:sz w:val="20"/>
                <w:szCs w:val="20"/>
                <w:color w:val="auto"/>
              </w:rPr>
            </w:pPr>
            <w:r>
              <w:rPr>
                <w:rFonts w:ascii="Arial" w:cs="Arial" w:eastAsia="Arial" w:hAnsi="Arial"/>
                <w:sz w:val="18"/>
                <w:szCs w:val="18"/>
                <w:b w:val="1"/>
                <w:bCs w:val="1"/>
                <w:color w:val="F15060"/>
                <w:w w:val="99"/>
              </w:rPr>
              <w:t>The information in this preliminary prospectus is not complete</w:t>
            </w:r>
          </w:p>
        </w:tc>
        <w:tc>
          <w:tcPr>
            <w:tcW w:w="340" w:type="dxa"/>
            <w:vAlign w:val="bottom"/>
            <w:textDirection w:val="btLr"/>
          </w:tcPr>
          <w:p>
            <w:pPr>
              <w:ind w:left="191"/>
              <w:spacing w:after="0"/>
              <w:rPr>
                <w:sz w:val="20"/>
                <w:szCs w:val="20"/>
                <w:color w:val="auto"/>
              </w:rPr>
            </w:pPr>
            <w:r>
              <w:rPr>
                <w:rFonts w:ascii="Arial" w:cs="Arial" w:eastAsia="Arial" w:hAnsi="Arial"/>
                <w:sz w:val="13"/>
                <w:szCs w:val="13"/>
                <w:b w:val="1"/>
                <w:bCs w:val="1"/>
                <w:color w:val="F15060"/>
                <w:w w:val="72"/>
              </w:rPr>
              <w:t>statement filed with the Securities and Exchange Commissionoffertobuythesesecuritiesinanyjurisdictionwheretheoffer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F15060"/>
        </w:rPr>
        <w:t>SUBJECT TO COMPLETION, DATED AUGUST 6,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180340</wp:posOffset>
            </wp:positionV>
            <wp:extent cx="193738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73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Selecta Biosciences, Inc.</w:t>
      </w: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$200,000,000</w:t>
      </w: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Arial" w:cs="Arial" w:eastAsia="Arial" w:hAnsi="Arial"/>
          <w:sz w:val="25"/>
          <w:szCs w:val="25"/>
          <w:b w:val="1"/>
          <w:bCs w:val="1"/>
          <w:color w:val="auto"/>
        </w:rPr>
        <w:t>Common Stock</w:t>
      </w:r>
    </w:p>
    <w:p>
      <w:pPr>
        <w:ind w:left="3260"/>
        <w:spacing w:after="0" w:line="202" w:lineRule="auto"/>
        <w:rPr>
          <w:sz w:val="20"/>
          <w:szCs w:val="20"/>
          <w:color w:val="auto"/>
        </w:rPr>
      </w:pPr>
      <w:r>
        <w:rPr>
          <w:rFonts w:ascii="Arial" w:cs="Arial" w:eastAsia="Arial" w:hAnsi="Arial"/>
          <w:sz w:val="25"/>
          <w:szCs w:val="25"/>
          <w:b w:val="1"/>
          <w:bCs w:val="1"/>
          <w:color w:val="auto"/>
        </w:rPr>
        <w:t>Preferred Stock</w:t>
      </w:r>
    </w:p>
    <w:p>
      <w:pPr>
        <w:ind w:left="3300"/>
        <w:spacing w:after="0" w:line="203" w:lineRule="auto"/>
        <w:rPr>
          <w:sz w:val="20"/>
          <w:szCs w:val="20"/>
          <w:color w:val="auto"/>
        </w:rPr>
      </w:pPr>
      <w:r>
        <w:rPr>
          <w:rFonts w:ascii="Arial" w:cs="Arial" w:eastAsia="Arial" w:hAnsi="Arial"/>
          <w:sz w:val="25"/>
          <w:szCs w:val="25"/>
          <w:b w:val="1"/>
          <w:bCs w:val="1"/>
          <w:color w:val="auto"/>
        </w:rPr>
        <w:t>Debt Securities</w:t>
      </w:r>
    </w:p>
    <w:p>
      <w:pPr>
        <w:ind w:left="3580"/>
        <w:spacing w:after="0" w:line="203" w:lineRule="auto"/>
        <w:rPr>
          <w:sz w:val="20"/>
          <w:szCs w:val="20"/>
          <w:color w:val="auto"/>
        </w:rPr>
      </w:pPr>
      <w:r>
        <w:rPr>
          <w:rFonts w:ascii="Arial" w:cs="Arial" w:eastAsia="Arial" w:hAnsi="Arial"/>
          <w:sz w:val="25"/>
          <w:szCs w:val="25"/>
          <w:b w:val="1"/>
          <w:bCs w:val="1"/>
          <w:color w:val="auto"/>
        </w:rPr>
        <w:t>Warrants</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25"/>
          <w:szCs w:val="25"/>
          <w:b w:val="1"/>
          <w:bCs w:val="1"/>
          <w:color w:val="auto"/>
        </w:rPr>
        <w:t>Units</w:t>
      </w:r>
    </w:p>
    <w:p>
      <w:pPr>
        <w:spacing w:after="0" w:line="200" w:lineRule="exact"/>
        <w:rPr>
          <w:sz w:val="20"/>
          <w:szCs w:val="20"/>
          <w:color w:val="auto"/>
        </w:rPr>
      </w:pPr>
    </w:p>
    <w:p>
      <w:pPr>
        <w:spacing w:after="0" w:line="222" w:lineRule="exact"/>
        <w:rPr>
          <w:sz w:val="20"/>
          <w:szCs w:val="20"/>
          <w:color w:val="auto"/>
        </w:rPr>
      </w:pPr>
    </w:p>
    <w:p>
      <w:pPr>
        <w:ind w:right="459" w:firstLine="360"/>
        <w:spacing w:after="0" w:line="291" w:lineRule="auto"/>
        <w:rPr>
          <w:sz w:val="20"/>
          <w:szCs w:val="20"/>
          <w:color w:val="auto"/>
        </w:rPr>
      </w:pPr>
      <w:r>
        <w:rPr>
          <w:rFonts w:ascii="Arial" w:cs="Arial" w:eastAsia="Arial" w:hAnsi="Arial"/>
          <w:sz w:val="17"/>
          <w:szCs w:val="17"/>
          <w:color w:val="auto"/>
        </w:rPr>
        <w:t>We may offer and sell up to $200,000,000 in the aggregate of the securities identified above from time to time in one or more offerings. This prospectus provides you with a general description of the securities.</w:t>
      </w:r>
    </w:p>
    <w:p>
      <w:pPr>
        <w:spacing w:after="0" w:line="201" w:lineRule="exact"/>
        <w:rPr>
          <w:sz w:val="20"/>
          <w:szCs w:val="20"/>
          <w:color w:val="auto"/>
        </w:rPr>
      </w:pPr>
    </w:p>
    <w:p>
      <w:pPr>
        <w:ind w:right="459" w:firstLine="360"/>
        <w:spacing w:after="0" w:line="241"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243" w:lineRule="exact"/>
        <w:rPr>
          <w:sz w:val="20"/>
          <w:szCs w:val="20"/>
          <w:color w:val="auto"/>
        </w:rPr>
      </w:pPr>
    </w:p>
    <w:p>
      <w:pPr>
        <w:ind w:right="379" w:firstLine="360"/>
        <w:spacing w:after="0" w:line="271"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28" w:lineRule="exact"/>
        <w:rPr>
          <w:sz w:val="20"/>
          <w:szCs w:val="20"/>
          <w:color w:val="auto"/>
        </w:rPr>
      </w:pPr>
    </w:p>
    <w:p>
      <w:pPr>
        <w:ind w:right="359" w:firstLine="3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SEE THE “RISK FACTORS” ON PAGE </w:t>
      </w:r>
      <w:hyperlink w:anchor="page9">
        <w:r>
          <w:rPr>
            <w:rFonts w:ascii="Arial" w:cs="Arial" w:eastAsia="Arial" w:hAnsi="Arial"/>
            <w:sz w:val="18"/>
            <w:szCs w:val="18"/>
            <w:b w:val="1"/>
            <w:bCs w:val="1"/>
            <w:color w:val="0000EE"/>
          </w:rPr>
          <w:t>5</w:t>
        </w:r>
        <w:r>
          <w:rPr>
            <w:rFonts w:ascii="Arial" w:cs="Arial" w:eastAsia="Arial" w:hAnsi="Arial"/>
            <w:sz w:val="18"/>
            <w:szCs w:val="18"/>
            <w:b w:val="1"/>
            <w:bCs w:val="1"/>
            <w:color w:val="auto"/>
          </w:rPr>
          <w:t xml:space="preserve"> </w:t>
        </w:r>
      </w:hyperlink>
      <w:r>
        <w:rPr>
          <w:rFonts w:ascii="Arial" w:cs="Arial" w:eastAsia="Arial" w:hAnsi="Arial"/>
          <w:sz w:val="18"/>
          <w:szCs w:val="18"/>
          <w:b w:val="1"/>
          <w:bCs w:val="1"/>
          <w:color w:val="auto"/>
        </w:rPr>
        <w:t>OF THIS PROSPECTUS AND ANY SIMILAR SECTION CONTAINED IN THE APPLICABLE PROSPECTUS SUPPLEMENT CONCERNING FACTORS YOU SHOULD CONSIDER BEFORE INVESTING IN OUR SECURITIES.</w:t>
      </w:r>
    </w:p>
    <w:p>
      <w:pPr>
        <w:spacing w:after="0" w:line="238" w:lineRule="exact"/>
        <w:rPr>
          <w:sz w:val="20"/>
          <w:szCs w:val="20"/>
          <w:color w:val="auto"/>
        </w:rPr>
      </w:pPr>
    </w:p>
    <w:p>
      <w:pPr>
        <w:ind w:right="579" w:firstLine="360"/>
        <w:spacing w:after="0" w:line="342" w:lineRule="auto"/>
        <w:rPr>
          <w:sz w:val="20"/>
          <w:szCs w:val="20"/>
          <w:color w:val="auto"/>
        </w:rPr>
      </w:pPr>
      <w:r>
        <w:rPr>
          <w:rFonts w:ascii="Arial" w:cs="Arial" w:eastAsia="Arial" w:hAnsi="Arial"/>
          <w:sz w:val="16"/>
          <w:szCs w:val="16"/>
          <w:color w:val="auto"/>
        </w:rPr>
        <w:t>Our common stock is listed on the Nasdaq Global Market under the symbol “</w:t>
      </w:r>
      <w:r>
        <w:rPr>
          <w:rFonts w:ascii="Arial" w:cs="Arial" w:eastAsia="Arial" w:hAnsi="Arial"/>
          <w:sz w:val="16"/>
          <w:szCs w:val="16"/>
          <w:i w:val="1"/>
          <w:iCs w:val="1"/>
          <w:color w:val="auto"/>
        </w:rPr>
        <w:t>SELB</w:t>
      </w:r>
      <w:r>
        <w:rPr>
          <w:rFonts w:ascii="Arial" w:cs="Arial" w:eastAsia="Arial" w:hAnsi="Arial"/>
          <w:sz w:val="16"/>
          <w:szCs w:val="16"/>
          <w:color w:val="auto"/>
        </w:rPr>
        <w:t>.” On August 5, 2020, the last reported sale price of our common stock on the Nasdaq Global Market was $2.78 per share.</w:t>
      </w:r>
    </w:p>
    <w:p>
      <w:pPr>
        <w:spacing w:after="0" w:line="174" w:lineRule="exact"/>
        <w:rPr>
          <w:sz w:val="20"/>
          <w:szCs w:val="20"/>
          <w:color w:val="auto"/>
        </w:rPr>
      </w:pPr>
    </w:p>
    <w:p>
      <w:pPr>
        <w:ind w:right="4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30"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283210</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380" w:space="200"/>
            <w:col w:w="8559"/>
          </w:cols>
          <w:pgMar w:left="32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7320" w:type="dxa"/>
            <w:vAlign w:val="bottom"/>
            <w:shd w:val="clear" w:color="auto" w:fill="CCEEFF"/>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ABOUT THIS PROSPECTUS</w:t>
              </w:r>
            </w:hyperlink>
          </w:p>
        </w:tc>
        <w:tc>
          <w:tcPr>
            <w:tcW w:w="900" w:type="dxa"/>
            <w:vAlign w:val="bottom"/>
            <w:shd w:val="clear" w:color="auto" w:fill="CCEEFF"/>
          </w:tcPr>
          <w:p>
            <w:pPr>
              <w:jc w:val="right"/>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1</w:t>
              </w:r>
            </w:hyperlink>
          </w:p>
        </w:tc>
      </w:tr>
      <w:tr>
        <w:trPr>
          <w:trHeight w:val="279"/>
        </w:trPr>
        <w:tc>
          <w:tcPr>
            <w:tcW w:w="7320" w:type="dxa"/>
            <w:vAlign w:val="bottom"/>
          </w:tcPr>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WHERE YOU CAN FIND MORE INFORMATION; INCORPORATION BY REFERENCE</w:t>
              </w:r>
            </w:hyperlink>
          </w:p>
        </w:tc>
        <w:tc>
          <w:tcPr>
            <w:tcW w:w="900" w:type="dxa"/>
            <w:vAlign w:val="bottom"/>
          </w:tcPr>
          <w:p>
            <w:pPr>
              <w:jc w:val="right"/>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2</w:t>
              </w:r>
            </w:hyperlink>
          </w:p>
        </w:tc>
      </w:tr>
      <w:tr>
        <w:trPr>
          <w:trHeight w:val="31"/>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0"/>
        </w:trPr>
        <w:tc>
          <w:tcPr>
            <w:tcW w:w="732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THE COMPANY</w:t>
              </w:r>
            </w:hyperlink>
          </w:p>
        </w:tc>
        <w:tc>
          <w:tcPr>
            <w:tcW w:w="900" w:type="dxa"/>
            <w:vAlign w:val="bottom"/>
            <w:tcBorders>
              <w:bottom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4</w:t>
              </w:r>
            </w:hyperlink>
          </w:p>
        </w:tc>
      </w:tr>
      <w:tr>
        <w:trPr>
          <w:trHeight w:val="280"/>
        </w:trPr>
        <w:tc>
          <w:tcPr>
            <w:tcW w:w="7320" w:type="dxa"/>
            <w:vAlign w:val="bottom"/>
          </w:tcPr>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RISK FACTORS</w:t>
              </w:r>
            </w:hyperlink>
          </w:p>
        </w:tc>
        <w:tc>
          <w:tcPr>
            <w:tcW w:w="900" w:type="dxa"/>
            <w:vAlign w:val="bottom"/>
          </w:tcPr>
          <w:p>
            <w:pPr>
              <w:jc w:val="right"/>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5</w:t>
              </w:r>
            </w:hyperlink>
          </w:p>
        </w:tc>
      </w:tr>
      <w:tr>
        <w:trPr>
          <w:trHeight w:val="31"/>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0"/>
        </w:trPr>
        <w:tc>
          <w:tcPr>
            <w:tcW w:w="732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USE OF PROCEEDS</w:t>
              </w:r>
            </w:hyperlink>
          </w:p>
        </w:tc>
        <w:tc>
          <w:tcPr>
            <w:tcW w:w="900" w:type="dxa"/>
            <w:vAlign w:val="bottom"/>
            <w:tcBorders>
              <w:bottom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6</w:t>
              </w:r>
            </w:hyperlink>
          </w:p>
        </w:tc>
      </w:tr>
      <w:tr>
        <w:trPr>
          <w:trHeight w:val="280"/>
        </w:trPr>
        <w:tc>
          <w:tcPr>
            <w:tcW w:w="7320" w:type="dxa"/>
            <w:vAlign w:val="bottom"/>
          </w:tcPr>
          <w:p>
            <w:pPr>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DESCRIPTION OF CAPITAL STOCK</w:t>
              </w:r>
            </w:hyperlink>
          </w:p>
        </w:tc>
        <w:tc>
          <w:tcPr>
            <w:tcW w:w="900" w:type="dxa"/>
            <w:vAlign w:val="bottom"/>
          </w:tcPr>
          <w:p>
            <w:pPr>
              <w:jc w:val="right"/>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7</w:t>
              </w:r>
            </w:hyperlink>
          </w:p>
        </w:tc>
      </w:tr>
      <w:tr>
        <w:trPr>
          <w:trHeight w:val="31"/>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0"/>
        </w:trPr>
        <w:tc>
          <w:tcPr>
            <w:tcW w:w="732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DESCRIPTION OF DEBT SECURITIES</w:t>
              </w:r>
            </w:hyperlink>
          </w:p>
        </w:tc>
        <w:tc>
          <w:tcPr>
            <w:tcW w:w="900" w:type="dxa"/>
            <w:vAlign w:val="bottom"/>
            <w:tcBorders>
              <w:bottom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11</w:t>
              </w:r>
            </w:hyperlink>
          </w:p>
        </w:tc>
      </w:tr>
      <w:tr>
        <w:trPr>
          <w:trHeight w:val="280"/>
        </w:trPr>
        <w:tc>
          <w:tcPr>
            <w:tcW w:w="7320" w:type="dxa"/>
            <w:vAlign w:val="bottom"/>
          </w:tcPr>
          <w:p>
            <w:pPr>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DESCRIPTION OF WARRANTS</w:t>
              </w:r>
            </w:hyperlink>
          </w:p>
        </w:tc>
        <w:tc>
          <w:tcPr>
            <w:tcW w:w="900" w:type="dxa"/>
            <w:vAlign w:val="bottom"/>
          </w:tcPr>
          <w:p>
            <w:pPr>
              <w:jc w:val="right"/>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18</w:t>
              </w:r>
            </w:hyperlink>
          </w:p>
        </w:tc>
      </w:tr>
      <w:tr>
        <w:trPr>
          <w:trHeight w:val="31"/>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1"/>
        </w:trPr>
        <w:tc>
          <w:tcPr>
            <w:tcW w:w="732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DESCRIPTION OF UNITS</w:t>
              </w:r>
            </w:hyperlink>
          </w:p>
        </w:tc>
        <w:tc>
          <w:tcPr>
            <w:tcW w:w="900" w:type="dxa"/>
            <w:vAlign w:val="bottom"/>
            <w:tcBorders>
              <w:bottom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19</w:t>
              </w:r>
            </w:hyperlink>
          </w:p>
        </w:tc>
      </w:tr>
      <w:tr>
        <w:trPr>
          <w:trHeight w:val="279"/>
        </w:trPr>
        <w:tc>
          <w:tcPr>
            <w:tcW w:w="7320" w:type="dxa"/>
            <w:vAlign w:val="bottom"/>
          </w:tcPr>
          <w:p>
            <w:pPr>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GLOBAL SECURITIES</w:t>
              </w:r>
            </w:hyperlink>
          </w:p>
        </w:tc>
        <w:tc>
          <w:tcPr>
            <w:tcW w:w="900" w:type="dxa"/>
            <w:vAlign w:val="bottom"/>
          </w:tcPr>
          <w:p>
            <w:pPr>
              <w:jc w:val="right"/>
              <w:spacing w:after="0"/>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20</w:t>
              </w:r>
            </w:hyperlink>
          </w:p>
        </w:tc>
      </w:tr>
      <w:tr>
        <w:trPr>
          <w:trHeight w:val="31"/>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1"/>
        </w:trPr>
        <w:tc>
          <w:tcPr>
            <w:tcW w:w="732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PLAN OF DISTRIBUTION</w:t>
              </w:r>
            </w:hyperlink>
          </w:p>
        </w:tc>
        <w:tc>
          <w:tcPr>
            <w:tcW w:w="900" w:type="dxa"/>
            <w:vAlign w:val="bottom"/>
            <w:tcBorders>
              <w:bottom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24</w:t>
              </w:r>
            </w:hyperlink>
          </w:p>
        </w:tc>
      </w:tr>
      <w:tr>
        <w:trPr>
          <w:trHeight w:val="279"/>
        </w:trPr>
        <w:tc>
          <w:tcPr>
            <w:tcW w:w="7320" w:type="dxa"/>
            <w:vAlign w:val="bottom"/>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LEGAL MATTERS</w:t>
              </w:r>
            </w:hyperlink>
          </w:p>
        </w:tc>
        <w:tc>
          <w:tcPr>
            <w:tcW w:w="900" w:type="dxa"/>
            <w:vAlign w:val="bottom"/>
          </w:tcPr>
          <w:p>
            <w:pPr>
              <w:jc w:val="right"/>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26</w:t>
              </w:r>
            </w:hyperlink>
          </w:p>
        </w:tc>
      </w:tr>
      <w:tr>
        <w:trPr>
          <w:trHeight w:val="31"/>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7320" w:type="dxa"/>
            <w:vAlign w:val="bottom"/>
            <w:shd w:val="clear" w:color="auto" w:fill="CCEEFF"/>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EXPERTS</w:t>
              </w:r>
            </w:hyperlink>
          </w:p>
        </w:tc>
        <w:tc>
          <w:tcPr>
            <w:tcW w:w="900" w:type="dxa"/>
            <w:vAlign w:val="bottom"/>
            <w:shd w:val="clear" w:color="auto" w:fill="CCEEFF"/>
          </w:tcPr>
          <w:p>
            <w:pPr>
              <w:jc w:val="right"/>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26</w:t>
              </w:r>
            </w:hyperlink>
          </w:p>
        </w:tc>
      </w:tr>
      <w:tr>
        <w:trPr>
          <w:trHeight w:val="31"/>
        </w:trPr>
        <w:tc>
          <w:tcPr>
            <w:tcW w:w="7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17"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16"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When we refer to “Selecta,” “we,” “our,” “us” and the “Company” in this prospectus, we mean Selecta Biosciences, Inc. and its consolidated subsidiaries, unless otherwise specified. When we refer to “you,” we mean the potential holders of the applicable series of securities.</w:t>
      </w:r>
    </w:p>
    <w:p>
      <w:pPr>
        <w:spacing w:after="0" w:line="103" w:lineRule="exact"/>
        <w:rPr>
          <w:sz w:val="20"/>
          <w:szCs w:val="20"/>
          <w:color w:val="auto"/>
        </w:rPr>
      </w:pPr>
    </w:p>
    <w:p>
      <w:pPr>
        <w:ind w:left="1260" w:right="1039" w:firstLine="360"/>
        <w:spacing w:after="0" w:line="239" w:lineRule="auto"/>
        <w:rPr>
          <w:sz w:val="20"/>
          <w:szCs w:val="20"/>
          <w:color w:val="auto"/>
        </w:rPr>
      </w:pPr>
      <w:r>
        <w:rPr>
          <w:rFonts w:ascii="Arial" w:cs="Arial" w:eastAsia="Arial" w:hAnsi="Arial"/>
          <w:sz w:val="18"/>
          <w:szCs w:val="18"/>
          <w:color w:val="auto"/>
        </w:rPr>
        <w:t>We use our registered trademark, Selecta Biosciences, Inc. in this prospectus. This prospectus, including the documents incorporated by reference into this prospectus, also includes trademarks, tradenames and service marks that are the property of other organizations. Solely for convenience, trademarks and tradenames referred to in this prospectus appear without the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6"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www.selectabiosciences.com</w:t>
      </w:r>
      <w:r>
        <w:rPr>
          <w:rFonts w:ascii="Arial" w:cs="Arial" w:eastAsia="Arial" w:hAnsi="Arial"/>
          <w:sz w:val="18"/>
          <w:szCs w:val="18"/>
          <w:color w:val="auto"/>
        </w:rPr>
        <w:t>. The information on our web site, however, is not, and should not be deemed to be, a part of this prospectus.</w:t>
      </w:r>
    </w:p>
    <w:p>
      <w:pPr>
        <w:spacing w:after="0" w:line="103"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Incorporation by Reference</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62" w:lineRule="exact"/>
        <w:rPr>
          <w:sz w:val="20"/>
          <w:szCs w:val="20"/>
          <w:color w:val="auto"/>
        </w:rPr>
      </w:pPr>
    </w:p>
    <w:p>
      <w:pPr>
        <w:ind w:left="1980" w:right="919" w:hanging="358"/>
        <w:spacing w:after="0" w:line="277" w:lineRule="auto"/>
        <w:tabs>
          <w:tab w:leader="none" w:pos="1980" w:val="left"/>
        </w:tabs>
        <w:numPr>
          <w:ilvl w:val="0"/>
          <w:numId w:val="3"/>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Our Annual Report on Form 10-K for the year ended December 31, 2019, filed with the SEC on</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March 12, 2020.</w:t>
        </w:r>
      </w:hyperlink>
    </w:p>
    <w:p>
      <w:pPr>
        <w:spacing w:after="0" w:line="62" w:lineRule="exact"/>
        <w:rPr>
          <w:rFonts w:ascii="Arial" w:cs="Arial" w:eastAsia="Arial" w:hAnsi="Arial"/>
          <w:sz w:val="18"/>
          <w:szCs w:val="18"/>
          <w:u w:val="single" w:color="auto"/>
          <w:color w:val="0000EE"/>
        </w:rPr>
      </w:pPr>
    </w:p>
    <w:p>
      <w:pPr>
        <w:ind w:left="1980" w:right="679" w:hanging="358"/>
        <w:spacing w:after="0" w:line="277" w:lineRule="auto"/>
        <w:tabs>
          <w:tab w:leader="none" w:pos="198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The information specifically incorporated by reference into our Annual Report on Form 10-K from </w:t>
      </w:r>
      <w:hyperlink r:id="rId24">
        <w:r>
          <w:rPr>
            <w:rFonts w:ascii="Arial" w:cs="Arial" w:eastAsia="Arial" w:hAnsi="Arial"/>
            <w:sz w:val="18"/>
            <w:szCs w:val="18"/>
            <w:u w:val="single" w:color="auto"/>
            <w:color w:val="0000EE"/>
          </w:rPr>
          <w:t>our Definitive Proxy Statement on Schedule 14A, filed with the SEC on April 28,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980" w:right="939" w:hanging="358"/>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2020 and June 30, 2020, filed with the SEC on </w:t>
      </w:r>
      <w:hyperlink r:id="rId25">
        <w:r>
          <w:rPr>
            <w:rFonts w:ascii="Arial" w:cs="Arial" w:eastAsia="Arial" w:hAnsi="Arial"/>
            <w:sz w:val="18"/>
            <w:szCs w:val="18"/>
            <w:u w:val="single" w:color="auto"/>
            <w:color w:val="0000EE"/>
          </w:rPr>
          <w:t>May 7,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6">
        <w:r>
          <w:rPr>
            <w:rFonts w:ascii="Arial" w:cs="Arial" w:eastAsia="Arial" w:hAnsi="Arial"/>
            <w:sz w:val="18"/>
            <w:szCs w:val="18"/>
            <w:u w:val="single" w:color="auto"/>
            <w:color w:val="0000EE"/>
          </w:rPr>
          <w:t>August 6, 2020</w:t>
        </w:r>
      </w:hyperlink>
      <w:r>
        <w:rPr>
          <w:rFonts w:ascii="Arial" w:cs="Arial" w:eastAsia="Arial" w:hAnsi="Arial"/>
          <w:sz w:val="18"/>
          <w:szCs w:val="18"/>
          <w:color w:val="auto"/>
        </w:rPr>
        <w:t>, respectively.</w:t>
      </w:r>
    </w:p>
    <w:p>
      <w:pPr>
        <w:spacing w:after="0" w:line="62" w:lineRule="exact"/>
        <w:rPr>
          <w:rFonts w:ascii="Arial" w:cs="Arial" w:eastAsia="Arial" w:hAnsi="Arial"/>
          <w:sz w:val="18"/>
          <w:szCs w:val="18"/>
          <w:color w:val="auto"/>
        </w:rPr>
      </w:pPr>
    </w:p>
    <w:p>
      <w:pPr>
        <w:ind w:left="1980" w:right="739" w:hanging="358"/>
        <w:spacing w:after="0" w:line="308" w:lineRule="auto"/>
        <w:tabs>
          <w:tab w:leader="none" w:pos="1980" w:val="left"/>
        </w:tabs>
        <w:numPr>
          <w:ilvl w:val="0"/>
          <w:numId w:val="3"/>
        </w:numPr>
        <w:rPr>
          <w:rFonts w:ascii="Arial" w:cs="Arial" w:eastAsia="Arial" w:hAnsi="Arial"/>
          <w:sz w:val="17"/>
          <w:szCs w:val="17"/>
          <w:color w:val="0000EE"/>
        </w:rPr>
      </w:pPr>
      <w:hyperlink r:id="rId27">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March 31,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27, 2020</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June 12,</w:t>
        </w:r>
      </w:hyperlink>
      <w:r>
        <w:rPr>
          <w:rFonts w:ascii="Arial" w:cs="Arial" w:eastAsia="Arial" w:hAnsi="Arial"/>
          <w:sz w:val="17"/>
          <w:szCs w:val="17"/>
          <w:color w:val="auto"/>
        </w:rPr>
        <w:t xml:space="preserve"> </w:t>
      </w:r>
      <w:hyperlink r:id="rId27">
        <w:r>
          <w:rPr>
            <w:rFonts w:ascii="Arial" w:cs="Arial" w:eastAsia="Arial" w:hAnsi="Arial"/>
            <w:sz w:val="17"/>
            <w:szCs w:val="17"/>
            <w:u w:val="single" w:color="auto"/>
            <w:color w:val="0000EE"/>
          </w:rPr>
          <w:t>2020</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28">
        <w:r>
          <w:rPr>
            <w:rFonts w:ascii="Arial" w:cs="Arial" w:eastAsia="Arial" w:hAnsi="Arial"/>
            <w:sz w:val="17"/>
            <w:szCs w:val="17"/>
            <w:u w:val="single" w:color="auto"/>
            <w:color w:val="0000EE"/>
          </w:rPr>
          <w:t xml:space="preserve">June 18, 2020 </w:t>
        </w:r>
      </w:hyperlink>
      <w:hyperlink r:id="rId27">
        <w:r>
          <w:rPr>
            <w:rFonts w:ascii="Arial" w:cs="Arial" w:eastAsia="Arial" w:hAnsi="Arial"/>
            <w:sz w:val="17"/>
            <w:szCs w:val="17"/>
            <w:color w:val="000000"/>
          </w:rPr>
          <w:t>(with respect to Items 1.01 and 8.01),</w:t>
        </w:r>
        <w:r>
          <w:rPr>
            <w:rFonts w:ascii="Arial" w:cs="Arial" w:eastAsia="Arial" w:hAnsi="Arial"/>
            <w:sz w:val="17"/>
            <w:szCs w:val="17"/>
            <w:color w:val="0000EE"/>
          </w:rPr>
          <w:t xml:space="preserve"> </w:t>
        </w:r>
      </w:hyperlink>
      <w:hyperlink r:id="rId29">
        <w:r>
          <w:rPr>
            <w:rFonts w:ascii="Arial" w:cs="Arial" w:eastAsia="Arial" w:hAnsi="Arial"/>
            <w:sz w:val="17"/>
            <w:szCs w:val="17"/>
            <w:u w:val="single" w:color="auto"/>
            <w:color w:val="0000EE"/>
          </w:rPr>
          <w:t xml:space="preserve">June 22, 2020 </w:t>
        </w:r>
      </w:hyperlink>
      <w:hyperlink r:id="rId27">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30">
        <w:r>
          <w:rPr>
            <w:rFonts w:ascii="Arial" w:cs="Arial" w:eastAsia="Arial" w:hAnsi="Arial"/>
            <w:sz w:val="17"/>
            <w:szCs w:val="17"/>
            <w:u w:val="single" w:color="auto"/>
            <w:color w:val="0000EE"/>
          </w:rPr>
          <w:t>June 25, 2020</w:t>
        </w:r>
      </w:hyperlink>
      <w:hyperlink r:id="rId27">
        <w:r>
          <w:rPr>
            <w:rFonts w:ascii="Arial" w:cs="Arial" w:eastAsia="Arial" w:hAnsi="Arial"/>
            <w:sz w:val="17"/>
            <w:szCs w:val="17"/>
            <w:color w:val="000000"/>
          </w:rPr>
          <w:t>.</w:t>
        </w:r>
      </w:hyperlink>
    </w:p>
    <w:p>
      <w:pPr>
        <w:spacing w:after="0" w:line="38" w:lineRule="exact"/>
        <w:rPr>
          <w:rFonts w:ascii="Arial" w:cs="Arial" w:eastAsia="Arial" w:hAnsi="Arial"/>
          <w:sz w:val="17"/>
          <w:szCs w:val="17"/>
          <w:color w:val="0000EE"/>
        </w:rPr>
      </w:pPr>
    </w:p>
    <w:p>
      <w:pPr>
        <w:ind w:left="1980" w:right="739" w:hanging="358"/>
        <w:spacing w:after="0" w:line="263" w:lineRule="auto"/>
        <w:tabs>
          <w:tab w:leader="none" w:pos="1980" w:val="left"/>
        </w:tabs>
        <w:numPr>
          <w:ilvl w:val="0"/>
          <w:numId w:val="3"/>
        </w:numPr>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The description of our Common Stock contained in our Registration Statement on Form 8-A, filed</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with the SEC on June 8, 2016 and any amendment or report filed with the SEC for the purpose of</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updating the description.</w:t>
        </w:r>
      </w:hyperlink>
    </w:p>
    <w:p>
      <w:pPr>
        <w:spacing w:after="0" w:line="116" w:lineRule="exact"/>
        <w:rPr>
          <w:rFonts w:ascii="Arial" w:cs="Arial" w:eastAsia="Arial" w:hAnsi="Arial"/>
          <w:sz w:val="18"/>
          <w:szCs w:val="18"/>
          <w:u w:val="single" w:color="auto"/>
          <w:color w:val="0000EE"/>
        </w:rPr>
      </w:pPr>
    </w:p>
    <w:p>
      <w:pPr>
        <w:ind w:left="1260" w:right="739" w:firstLine="360"/>
        <w:spacing w:after="0" w:line="25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370" w:lineRule="exact"/>
        <w:rPr>
          <w:rFonts w:ascii="Arial" w:cs="Arial" w:eastAsia="Arial" w:hAnsi="Arial"/>
          <w:sz w:val="18"/>
          <w:szCs w:val="18"/>
          <w:u w:val="single" w:color="auto"/>
          <w:color w:val="0000EE"/>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8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(617) 923-1400</w:t>
      </w:r>
    </w:p>
    <w:p>
      <w:pPr>
        <w:spacing w:after="0" w:line="143" w:lineRule="exact"/>
        <w:rPr>
          <w:sz w:val="20"/>
          <w:szCs w:val="20"/>
          <w:color w:val="auto"/>
        </w:rPr>
      </w:pPr>
    </w:p>
    <w:p>
      <w:pPr>
        <w:ind w:left="1260" w:right="1559" w:firstLine="360"/>
        <w:spacing w:after="0" w:line="308"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THE COMPANY</w:t>
      </w:r>
    </w:p>
    <w:p>
      <w:pPr>
        <w:spacing w:after="0" w:line="148"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are a clinical-stage biopharmaceutical company using our ImmTOR platform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20"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Our proprietary tolerogenic ImmTOR platform encapsulates an immunomodulator in biodegradable nanoparticles and is designed to mitigate the formation of anti-drug antibodies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109"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We filed our certificate of incorporation with the Secretary of State of Delaware on December 10, 2007.</w:t>
      </w:r>
    </w:p>
    <w:p>
      <w:pPr>
        <w:spacing w:after="0" w:line="89"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Our principal executive offices are located at 65 Grove Street, Watertown, MA 02472, and our telephone number is (617) 923-1400.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1519" w:firstLine="360"/>
        <w:spacing w:after="0" w:line="27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and our amended and restated bylaws, each of which has been publicly filed with the SEC. See “Where You Can Find More Information; Incorporation by Reference.”</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authorized capital stock consists of:</w:t>
      </w:r>
    </w:p>
    <w:p>
      <w:pPr>
        <w:spacing w:after="0" w:line="131" w:lineRule="exact"/>
        <w:rPr>
          <w:sz w:val="20"/>
          <w:szCs w:val="20"/>
          <w:color w:val="auto"/>
        </w:rPr>
      </w:pPr>
    </w:p>
    <w:p>
      <w:pPr>
        <w:ind w:left="1980" w:hanging="358"/>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200,000,000 shares of common stock, $0.0001 par value; and</w:t>
      </w:r>
    </w:p>
    <w:p>
      <w:pPr>
        <w:spacing w:after="0" w:line="130" w:lineRule="exact"/>
        <w:rPr>
          <w:rFonts w:ascii="Arial" w:cs="Arial" w:eastAsia="Arial" w:hAnsi="Arial"/>
          <w:sz w:val="18"/>
          <w:szCs w:val="18"/>
          <w:color w:val="auto"/>
        </w:rPr>
      </w:pPr>
    </w:p>
    <w:p>
      <w:pPr>
        <w:ind w:left="1980" w:hanging="358"/>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10,000,000 shares of preferred stock, $0.0001 par value.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Nasdaq Global Market under the symbol “SELB.”</w:t>
      </w:r>
    </w:p>
    <w:p>
      <w:pPr>
        <w:spacing w:after="0" w:line="158" w:lineRule="exact"/>
        <w:rPr>
          <w:sz w:val="20"/>
          <w:szCs w:val="20"/>
          <w:color w:val="auto"/>
        </w:rPr>
      </w:pPr>
    </w:p>
    <w:p>
      <w:pPr>
        <w:ind w:left="1260" w:right="719" w:firstLine="360"/>
        <w:spacing w:after="0" w:line="268"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common stock are entitled to one vote for each share held on all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17"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i w:val="1"/>
          <w:iCs w:val="1"/>
          <w:color w:val="auto"/>
        </w:rPr>
        <w:t>Rights upon Liquidation</w:t>
      </w:r>
      <w:r>
        <w:rPr>
          <w:rFonts w:ascii="Arial" w:cs="Arial" w:eastAsia="Arial" w:hAnsi="Arial"/>
          <w:sz w:val="17"/>
          <w:szCs w:val="17"/>
          <w:color w:val="auto"/>
        </w:rPr>
        <w:t>. In the event of our liquidation or dissolution, the holders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are entitled to receive proportionately our net assets available for distribution to stockholders after the payment of all debts and other liabilities and subject to the prior rights of any outstanding preferred stock.</w:t>
      </w:r>
    </w:p>
    <w:p>
      <w:pPr>
        <w:spacing w:after="0" w:line="84"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common stock have no preemptive, subscription, redemption or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The rights, preferences and privileges of holders of common stock are subject to and may be adversely affected by the rights of the holders of shares of any series of preferred stock that we may designate and issue in the future.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w:t>
      </w:r>
    </w:p>
    <w:p>
      <w:pPr>
        <w:spacing w:after="0" w:line="162"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w:t>
      </w:r>
    </w:p>
    <w:p>
      <w:pPr>
        <w:spacing w:after="0" w:line="14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22"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1260" w:right="859" w:firstLine="360"/>
        <w:spacing w:after="0" w:line="248" w:lineRule="auto"/>
        <w:rPr>
          <w:sz w:val="20"/>
          <w:szCs w:val="20"/>
          <w:color w:val="auto"/>
        </w:rPr>
      </w:pPr>
      <w:r>
        <w:rPr>
          <w:rFonts w:ascii="Arial" w:cs="Arial" w:eastAsia="Arial" w:hAnsi="Arial"/>
          <w:sz w:val="18"/>
          <w:szCs w:val="18"/>
          <w:color w:val="auto"/>
        </w:rPr>
        <w:t>Certain holders our common stock or their transferees are entitled to the following rights with respect to the registration of such shares for public resale under the Securities Act of 1933, as amended (the “Securities Act”).</w:t>
      </w:r>
    </w:p>
    <w:p>
      <w:pPr>
        <w:spacing w:after="0" w:line="101"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These registration rights are granted pursuant to the (i) amended and restated investors’ rights agreement by and among us and certain of our stockholders, or the investors’ rights agreement and (ii) a registration rights agreement we entered into in connection with the private placement of 37,634,883 shares of our common stock and warrants to purchase 31,330,629 shares of our common stock, or the 2019 Private Placement, which closed on December 23, 2019.</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5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7"/>
          <w:szCs w:val="17"/>
          <w:color w:val="auto"/>
        </w:rPr>
        <w:t>Holders of registrable securities under the investors’ rights agreement have registration rights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06"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7"/>
          <w:szCs w:val="17"/>
          <w:i w:val="1"/>
          <w:iCs w:val="1"/>
          <w:color w:val="auto"/>
        </w:rPr>
        <w:t xml:space="preserve">Piggyback Registration Rights </w:t>
      </w:r>
      <w:r>
        <w:rPr>
          <w:rFonts w:ascii="Arial" w:cs="Arial" w:eastAsia="Arial" w:hAnsi="Arial"/>
          <w:sz w:val="17"/>
          <w:szCs w:val="17"/>
          <w:color w:val="auto"/>
        </w:rPr>
        <w:t>. Any time we propose to register any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9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i w:val="1"/>
          <w:iCs w:val="1"/>
          <w:color w:val="auto"/>
        </w:rPr>
        <w:t>Form S-3 Registration Rights</w:t>
      </w:r>
      <w:r>
        <w:rPr>
          <w:rFonts w:ascii="Arial" w:cs="Arial" w:eastAsia="Arial" w:hAnsi="Arial"/>
          <w:sz w:val="17"/>
          <w:szCs w:val="17"/>
          <w:color w:val="auto"/>
        </w:rPr>
        <w:t>. If the holders of registrable securities request in writing that we effect a</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with respect to registrable securities at an aggregate price to the public in the offering of at least $2,000,000, and we are entitled under the Securities Act to register our shares on a registration statement on Form S-3, we will be required to effect such registration. We will not be required to effect a registration pursuant to these Form S- 3 registration rights if, within a given calendar year, we have already effected two registrations on Form S-3 for the holders of registrable securities.</w:t>
      </w:r>
    </w:p>
    <w:p>
      <w:pPr>
        <w:spacing w:after="0" w:line="108"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Ordinarily, other than underwriting discounts and commissions, we will be required to pay</w:t>
      </w:r>
      <w:r>
        <w:rPr>
          <w:rFonts w:ascii="Arial" w:cs="Arial" w:eastAsia="Arial" w:hAnsi="Arial"/>
          <w:sz w:val="18"/>
          <w:szCs w:val="18"/>
          <w:i w:val="1"/>
          <w:iCs w:val="1"/>
          <w:color w:val="auto"/>
        </w:rPr>
        <w:t xml:space="preserve"> </w:t>
      </w:r>
      <w:r>
        <w:rPr>
          <w:rFonts w:ascii="Arial" w:cs="Arial" w:eastAsia="Arial" w:hAnsi="Arial"/>
          <w:sz w:val="18"/>
          <w:szCs w:val="18"/>
          <w:color w:val="auto"/>
        </w:rPr>
        <w:t>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122"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i w:val="1"/>
          <w:iCs w:val="1"/>
          <w:color w:val="auto"/>
        </w:rPr>
        <w:t>Termination of Registration Rights</w:t>
      </w:r>
      <w:r>
        <w:rPr>
          <w:rFonts w:ascii="Arial" w:cs="Arial" w:eastAsia="Arial" w:hAnsi="Arial"/>
          <w:sz w:val="18"/>
          <w:szCs w:val="18"/>
          <w:color w:val="auto"/>
        </w:rPr>
        <w:t>. The registration rights terminate upon the earlier of June 27, 2021,</w:t>
      </w:r>
      <w:r>
        <w:rPr>
          <w:rFonts w:ascii="Arial" w:cs="Arial" w:eastAsia="Arial" w:hAnsi="Arial"/>
          <w:sz w:val="18"/>
          <w:szCs w:val="18"/>
          <w:i w:val="1"/>
          <w:iCs w:val="1"/>
          <w:color w:val="auto"/>
        </w:rPr>
        <w:t xml:space="preserve"> </w:t>
      </w:r>
      <w:r>
        <w:rPr>
          <w:rFonts w:ascii="Arial" w:cs="Arial" w:eastAsia="Arial" w:hAnsi="Arial"/>
          <w:sz w:val="18"/>
          <w:szCs w:val="18"/>
          <w:color w:val="auto"/>
        </w:rPr>
        <w:t>or, with respect to the registration rights of an individual holder, when the holder can sell all of such holder’s registrable securities in a three-month period without restriction under Rule 144 under the Securities Act.</w:t>
      </w: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2019 Registration Rights Agreement</w:t>
      </w:r>
    </w:p>
    <w:p>
      <w:pPr>
        <w:spacing w:after="0" w:line="144"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shares of common stock underlying the warrants and the shares of common stock issued in connection with our 2019 Private Placement are currently registered under a registration statement that has been declared effective by the SEC, pursuant to a registration rights agreement entered into between us and the investors in the private placement. Subject to certain exceptions, pursuant to the related registration rights agreement,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December 23, 2024.</w:t>
      </w:r>
    </w:p>
    <w:p>
      <w:pPr>
        <w:spacing w:after="0" w:line="11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registration rights agreement.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62"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97"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5"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ability of our board of directors, without action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20"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i w:val="1"/>
          <w:iCs w:val="1"/>
          <w:color w:val="auto"/>
        </w:rPr>
        <w:t>Stockholder Meetings</w:t>
      </w:r>
      <w:r>
        <w:rPr>
          <w:rFonts w:ascii="Arial" w:cs="Arial" w:eastAsia="Arial" w:hAnsi="Arial"/>
          <w:sz w:val="17"/>
          <w:szCs w:val="17"/>
          <w:color w:val="auto"/>
        </w:rPr>
        <w:t>. Our amended and restated bylaws provide that a special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may be called only by our chairman of the board, chief executive officer or president (in the absence of a chief executive officer), or by a resolution adopted by a majority of our board of directors.</w:t>
      </w:r>
    </w:p>
    <w:p>
      <w:pPr>
        <w:spacing w:after="0" w:line="84"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i w:val="1"/>
          <w:iCs w:val="1"/>
          <w:color w:val="auto"/>
        </w:rPr>
        <w:t>Requirements for Advance Notification of Stockholder Nominations and Proposals</w:t>
      </w:r>
      <w:r>
        <w:rPr>
          <w:rFonts w:ascii="Arial" w:cs="Arial" w:eastAsia="Arial" w:hAnsi="Arial"/>
          <w:sz w:val="17"/>
          <w:szCs w:val="17"/>
          <w:color w:val="auto"/>
        </w:rPr>
        <w:t>. Our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04"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restated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the right of stockholders to act by written consent without a meeting.</w:t>
      </w:r>
    </w:p>
    <w:p>
      <w:pPr>
        <w:spacing w:after="0" w:line="103"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i w:val="1"/>
          <w:iCs w:val="1"/>
          <w:color w:val="auto"/>
        </w:rPr>
        <w:t>Staggered Board</w:t>
      </w:r>
      <w:r>
        <w:rPr>
          <w:rFonts w:ascii="Arial" w:cs="Arial" w:eastAsia="Arial" w:hAnsi="Arial"/>
          <w:sz w:val="18"/>
          <w:szCs w:val="18"/>
          <w:color w:val="auto"/>
        </w:rPr>
        <w:t>. Our board of directors is divided into three classes. The directors in each class will</w:t>
      </w:r>
      <w:r>
        <w:rPr>
          <w:rFonts w:ascii="Arial" w:cs="Arial" w:eastAsia="Arial" w:hAnsi="Arial"/>
          <w:sz w:val="18"/>
          <w:szCs w:val="18"/>
          <w:i w:val="1"/>
          <w:iCs w:val="1"/>
          <w:color w:val="auto"/>
        </w:rPr>
        <w:t xml:space="preserve"> </w:t>
      </w:r>
      <w:r>
        <w:rPr>
          <w:rFonts w:ascii="Arial" w:cs="Arial" w:eastAsia="Arial" w:hAnsi="Arial"/>
          <w:sz w:val="18"/>
          <w:szCs w:val="18"/>
          <w:color w:val="auto"/>
        </w:rPr>
        <w:t>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ectPr>
          <w:pgSz w:w="11900" w:h="16838" w:orient="portrait"/>
          <w:cols w:equalWidth="0" w:num="1">
            <w:col w:w="10139"/>
          </w:cols>
          <w:pgMar w:left="320" w:top="132"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Our restated certificate of incorporation provides that no member of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06"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i w:val="1"/>
          <w:iCs w:val="1"/>
          <w:color w:val="auto"/>
        </w:rPr>
        <w:t>Stockholders Not Entitled to Cumulative Voting</w:t>
      </w:r>
      <w:r>
        <w:rPr>
          <w:rFonts w:ascii="Arial" w:cs="Arial" w:eastAsia="Arial" w:hAnsi="Arial"/>
          <w:sz w:val="18"/>
          <w:szCs w:val="18"/>
          <w:color w:val="auto"/>
        </w:rPr>
        <w:t>. Our restated certificate of incorporation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20"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Section 203 of the General Corporation Law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24"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Our restated certificate of incorporation provides that, unless we consent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or (4)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19"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i w:val="1"/>
          <w:iCs w:val="1"/>
          <w:color w:val="auto"/>
        </w:rPr>
        <w:t>Amendment of Restated Certificate of Incorporation</w:t>
      </w:r>
      <w:r>
        <w:rPr>
          <w:rFonts w:ascii="Arial" w:cs="Arial" w:eastAsia="Arial" w:hAnsi="Arial"/>
          <w:sz w:val="17"/>
          <w:szCs w:val="17"/>
          <w:color w:val="auto"/>
        </w:rPr>
        <w:t>. The amendment of any of the above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in our restated certificate of incorporation,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DEBT SECURITIES</w:t>
      </w:r>
    </w:p>
    <w:p>
      <w:pPr>
        <w:spacing w:after="0" w:line="148"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5" w:lineRule="exact"/>
        <w:rPr>
          <w:sz w:val="20"/>
          <w:szCs w:val="20"/>
          <w:color w:val="auto"/>
        </w:rPr>
      </w:pPr>
    </w:p>
    <w:p>
      <w:pPr>
        <w:ind w:left="1260" w:right="739" w:firstLine="360"/>
        <w:spacing w:after="0" w:line="301"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0"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97"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As used in this section only, “Selecta,” “we,” “our” or “us” refer to Selecta Biosciences, Inc. excluding our subsidiaries, unless expressly stated or the context otherwise requires.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20" w:lineRule="exact"/>
        <w:rPr>
          <w:sz w:val="20"/>
          <w:szCs w:val="20"/>
          <w:color w:val="auto"/>
        </w:rPr>
      </w:pPr>
    </w:p>
    <w:p>
      <w:pPr>
        <w:jc w:val="both"/>
        <w:ind w:left="1260" w:right="779" w:firstLine="360"/>
        <w:spacing w:after="0" w:line="257" w:lineRule="auto"/>
        <w:rPr>
          <w:sz w:val="20"/>
          <w:szCs w:val="20"/>
          <w:color w:val="auto"/>
        </w:rPr>
      </w:pPr>
      <w:r>
        <w:rPr>
          <w:rFonts w:ascii="Arial" w:cs="Arial" w:eastAsia="Arial" w:hAnsi="Arial"/>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0" w:lineRule="exact"/>
        <w:rPr>
          <w:sz w:val="20"/>
          <w:szCs w:val="20"/>
          <w:color w:val="auto"/>
        </w:rPr>
      </w:pPr>
    </w:p>
    <w:p>
      <w:pPr>
        <w:ind w:left="1980" w:hanging="358"/>
        <w:spacing w:after="0"/>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title and ranking of the debt securities (including the terms of any subordination provisions);</w:t>
      </w:r>
    </w:p>
    <w:p>
      <w:pPr>
        <w:spacing w:after="0" w:line="128" w:lineRule="exact"/>
        <w:rPr>
          <w:rFonts w:ascii="Arial" w:cs="Arial" w:eastAsia="Arial" w:hAnsi="Arial"/>
          <w:sz w:val="17"/>
          <w:szCs w:val="17"/>
          <w:color w:val="auto"/>
        </w:rPr>
      </w:pPr>
    </w:p>
    <w:p>
      <w:pPr>
        <w:ind w:left="1980" w:right="97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62" w:lineRule="exact"/>
        <w:rPr>
          <w:rFonts w:ascii="Arial" w:cs="Arial" w:eastAsia="Arial" w:hAnsi="Arial"/>
          <w:sz w:val="18"/>
          <w:szCs w:val="18"/>
          <w:color w:val="auto"/>
        </w:rPr>
      </w:pPr>
    </w:p>
    <w:p>
      <w:pPr>
        <w:ind w:left="1980" w:hanging="358"/>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980" w:hanging="358"/>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left="1980" w:right="859" w:hanging="358"/>
        <w:spacing w:after="0" w:line="25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9" w:lineRule="exact"/>
        <w:rPr>
          <w:rFonts w:ascii="Arial" w:cs="Arial" w:eastAsia="Arial" w:hAnsi="Arial"/>
          <w:sz w:val="18"/>
          <w:szCs w:val="18"/>
          <w:color w:val="auto"/>
        </w:rPr>
      </w:pPr>
    </w:p>
    <w:p>
      <w:pPr>
        <w:ind w:left="1980" w:right="919" w:hanging="358"/>
        <w:spacing w:after="0" w:line="259"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8" w:lineRule="exact"/>
        <w:rPr>
          <w:rFonts w:ascii="Arial" w:cs="Arial" w:eastAsia="Arial" w:hAnsi="Arial"/>
          <w:sz w:val="18"/>
          <w:szCs w:val="18"/>
          <w:color w:val="auto"/>
        </w:rPr>
      </w:pPr>
    </w:p>
    <w:p>
      <w:pPr>
        <w:ind w:left="1980" w:right="75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79" w:hanging="358"/>
        <w:spacing w:after="0" w:line="279" w:lineRule="auto"/>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49" w:lineRule="exact"/>
        <w:rPr>
          <w:rFonts w:ascii="Arial" w:cs="Arial" w:eastAsia="Arial" w:hAnsi="Arial"/>
          <w:sz w:val="17"/>
          <w:szCs w:val="17"/>
          <w:color w:val="auto"/>
        </w:rPr>
      </w:pPr>
    </w:p>
    <w:p>
      <w:pPr>
        <w:ind w:left="1980" w:right="719" w:hanging="358"/>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2" w:lineRule="exact"/>
        <w:rPr>
          <w:rFonts w:ascii="Arial" w:cs="Arial" w:eastAsia="Arial" w:hAnsi="Arial"/>
          <w:sz w:val="18"/>
          <w:szCs w:val="18"/>
          <w:color w:val="auto"/>
        </w:rPr>
      </w:pPr>
    </w:p>
    <w:p>
      <w:pPr>
        <w:ind w:left="1980" w:right="1179" w:hanging="358"/>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48" w:lineRule="exact"/>
        <w:rPr>
          <w:rFonts w:ascii="Arial" w:cs="Arial" w:eastAsia="Arial" w:hAnsi="Arial"/>
          <w:sz w:val="18"/>
          <w:szCs w:val="18"/>
          <w:color w:val="auto"/>
        </w:rPr>
      </w:pPr>
    </w:p>
    <w:p>
      <w:pPr>
        <w:ind w:left="1980" w:right="819" w:hanging="358"/>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48" w:lineRule="exact"/>
        <w:rPr>
          <w:rFonts w:ascii="Arial" w:cs="Arial" w:eastAsia="Arial" w:hAnsi="Arial"/>
          <w:sz w:val="18"/>
          <w:szCs w:val="18"/>
          <w:color w:val="auto"/>
        </w:rPr>
      </w:pPr>
    </w:p>
    <w:p>
      <w:pPr>
        <w:ind w:left="1980" w:right="859" w:hanging="358"/>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62" w:lineRule="exact"/>
        <w:rPr>
          <w:rFonts w:ascii="Arial" w:cs="Arial" w:eastAsia="Arial" w:hAnsi="Arial"/>
          <w:sz w:val="18"/>
          <w:szCs w:val="18"/>
          <w:color w:val="auto"/>
        </w:rPr>
      </w:pPr>
    </w:p>
    <w:p>
      <w:pPr>
        <w:ind w:left="1980" w:right="979" w:hanging="358"/>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2" w:lineRule="exact"/>
        <w:rPr>
          <w:rFonts w:ascii="Arial" w:cs="Arial" w:eastAsia="Arial" w:hAnsi="Arial"/>
          <w:sz w:val="18"/>
          <w:szCs w:val="18"/>
          <w:color w:val="auto"/>
        </w:rPr>
      </w:pPr>
    </w:p>
    <w:p>
      <w:pPr>
        <w:ind w:left="1980" w:right="1059" w:hanging="358"/>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48" w:lineRule="exact"/>
        <w:rPr>
          <w:rFonts w:ascii="Arial" w:cs="Arial" w:eastAsia="Arial" w:hAnsi="Arial"/>
          <w:sz w:val="18"/>
          <w:szCs w:val="18"/>
          <w:color w:val="auto"/>
        </w:rPr>
      </w:pPr>
    </w:p>
    <w:p>
      <w:pPr>
        <w:ind w:left="1980" w:right="739" w:hanging="358"/>
        <w:spacing w:after="0" w:line="286" w:lineRule="auto"/>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43" w:lineRule="exact"/>
        <w:rPr>
          <w:rFonts w:ascii="Arial" w:cs="Arial" w:eastAsia="Arial" w:hAnsi="Arial"/>
          <w:sz w:val="17"/>
          <w:szCs w:val="17"/>
          <w:color w:val="auto"/>
        </w:rPr>
      </w:pPr>
    </w:p>
    <w:p>
      <w:pPr>
        <w:ind w:left="1980" w:right="919" w:hanging="358"/>
        <w:spacing w:after="0" w:line="259"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5" w:lineRule="exact"/>
        <w:rPr>
          <w:rFonts w:ascii="Arial" w:cs="Arial" w:eastAsia="Arial" w:hAnsi="Arial"/>
          <w:sz w:val="18"/>
          <w:szCs w:val="18"/>
          <w:color w:val="auto"/>
        </w:rPr>
      </w:pPr>
    </w:p>
    <w:p>
      <w:pPr>
        <w:ind w:left="1980" w:hanging="358"/>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03" w:lineRule="exact"/>
        <w:rPr>
          <w:rFonts w:ascii="Arial" w:cs="Arial" w:eastAsia="Arial" w:hAnsi="Arial"/>
          <w:sz w:val="18"/>
          <w:szCs w:val="18"/>
          <w:color w:val="auto"/>
        </w:rPr>
      </w:pPr>
    </w:p>
    <w:p>
      <w:pPr>
        <w:ind w:left="1980" w:right="939" w:hanging="358"/>
        <w:spacing w:after="0" w:line="286" w:lineRule="auto"/>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43" w:lineRule="exact"/>
        <w:rPr>
          <w:rFonts w:ascii="Arial" w:cs="Arial" w:eastAsia="Arial" w:hAnsi="Arial"/>
          <w:sz w:val="17"/>
          <w:szCs w:val="17"/>
          <w:color w:val="auto"/>
        </w:rPr>
      </w:pPr>
    </w:p>
    <w:p>
      <w:pPr>
        <w:ind w:left="1980" w:right="1239" w:hanging="358"/>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48" w:lineRule="exact"/>
        <w:rPr>
          <w:rFonts w:ascii="Arial" w:cs="Arial" w:eastAsia="Arial" w:hAnsi="Arial"/>
          <w:sz w:val="18"/>
          <w:szCs w:val="18"/>
          <w:color w:val="auto"/>
        </w:rPr>
      </w:pPr>
    </w:p>
    <w:p>
      <w:pPr>
        <w:ind w:left="1980" w:right="819" w:hanging="358"/>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48" w:lineRule="exact"/>
        <w:rPr>
          <w:rFonts w:ascii="Arial" w:cs="Arial" w:eastAsia="Arial" w:hAnsi="Arial"/>
          <w:sz w:val="18"/>
          <w:szCs w:val="18"/>
          <w:color w:val="auto"/>
        </w:rPr>
      </w:pPr>
    </w:p>
    <w:p>
      <w:pPr>
        <w:ind w:left="1980" w:right="699" w:hanging="358"/>
        <w:spacing w:after="0" w:line="259"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65" w:lineRule="exact"/>
        <w:rPr>
          <w:rFonts w:ascii="Arial" w:cs="Arial" w:eastAsia="Arial" w:hAnsi="Arial"/>
          <w:sz w:val="18"/>
          <w:szCs w:val="18"/>
          <w:color w:val="auto"/>
        </w:rPr>
      </w:pPr>
    </w:p>
    <w:p>
      <w:pPr>
        <w:ind w:left="1980" w:right="719" w:hanging="358"/>
        <w:spacing w:after="0" w:line="286" w:lineRule="auto"/>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43" w:lineRule="exact"/>
        <w:rPr>
          <w:rFonts w:ascii="Arial" w:cs="Arial" w:eastAsia="Arial" w:hAnsi="Arial"/>
          <w:sz w:val="17"/>
          <w:szCs w:val="17"/>
          <w:color w:val="auto"/>
        </w:rPr>
      </w:pPr>
    </w:p>
    <w:p>
      <w:pPr>
        <w:ind w:left="1980" w:right="879" w:hanging="358"/>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ind w:left="1260" w:right="939" w:firstLine="360"/>
        <w:spacing w:after="0" w:line="262"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05"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and Exchange</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27"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i w:val="1"/>
          <w:iCs w:val="1"/>
          <w:color w:val="auto"/>
        </w:rPr>
        <w:t xml:space="preserve">Certificated Debt Securities. </w:t>
      </w:r>
      <w:r>
        <w:rPr>
          <w:rFonts w:ascii="Arial" w:cs="Arial" w:eastAsia="Arial" w:hAnsi="Arial"/>
          <w:sz w:val="18"/>
          <w:szCs w:val="18"/>
          <w:color w:val="auto"/>
        </w:rPr>
        <w:t>You may transfer or exchange certificated debt securities at any office</w:t>
      </w:r>
      <w:r>
        <w:rPr>
          <w:rFonts w:ascii="Arial" w:cs="Arial" w:eastAsia="Arial" w:hAnsi="Arial"/>
          <w:sz w:val="18"/>
          <w:szCs w:val="18"/>
          <w:i w:val="1"/>
          <w:iCs w:val="1"/>
          <w:color w:val="auto"/>
        </w:rPr>
        <w:t xml:space="preserve"> </w:t>
      </w:r>
      <w:r>
        <w:rPr>
          <w:rFonts w:ascii="Arial" w:cs="Arial" w:eastAsia="Arial" w:hAnsi="Arial"/>
          <w:sz w:val="18"/>
          <w:szCs w:val="18"/>
          <w:color w:val="auto"/>
        </w:rPr>
        <w:t>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20"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90"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i w:val="1"/>
          <w:iCs w:val="1"/>
          <w:color w:val="auto"/>
        </w:rPr>
        <w:t xml:space="preserve">Global Debt Securities and Book-Entry System. </w:t>
      </w:r>
      <w:r>
        <w:rPr>
          <w:rFonts w:ascii="Arial" w:cs="Arial" w:eastAsia="Arial" w:hAnsi="Arial"/>
          <w:sz w:val="18"/>
          <w:szCs w:val="18"/>
          <w:color w:val="auto"/>
        </w:rPr>
        <w:t>Each global debt security representing book-entry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will be deposited with, or on behalf of, the Depositary, and registered in the name of the Depositary or a nominee of the Depositary. Please see “Global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Covenants</w:t>
      </w:r>
    </w:p>
    <w:p>
      <w:pPr>
        <w:spacing w:after="0" w:line="162"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62"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4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62" w:lineRule="exact"/>
        <w:rPr>
          <w:sz w:val="20"/>
          <w:szCs w:val="20"/>
          <w:color w:val="auto"/>
        </w:rPr>
      </w:pPr>
    </w:p>
    <w:p>
      <w:pPr>
        <w:ind w:left="1980" w:right="979" w:hanging="358"/>
        <w:spacing w:after="0" w:line="286" w:lineRule="auto"/>
        <w:tabs>
          <w:tab w:leader="none" w:pos="1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Selecta) is a corporation organized and validly existing under the laws of any U.S. domestic jurisdiction and expressly assumes our obligations on the debt securities and under the indenture; and</w:t>
      </w:r>
    </w:p>
    <w:p>
      <w:pPr>
        <w:spacing w:after="0" w:line="57" w:lineRule="exact"/>
        <w:rPr>
          <w:rFonts w:ascii="Arial" w:cs="Arial" w:eastAsia="Arial" w:hAnsi="Arial"/>
          <w:sz w:val="17"/>
          <w:szCs w:val="17"/>
          <w:color w:val="auto"/>
        </w:rPr>
      </w:pPr>
    </w:p>
    <w:p>
      <w:pPr>
        <w:ind w:left="1980" w:right="1199" w:hanging="358"/>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03"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 (Section 5.1)</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980" w:right="699" w:hanging="358"/>
        <w:spacing w:after="0" w:line="259"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78" w:lineRule="exact"/>
        <w:rPr>
          <w:rFonts w:ascii="Arial" w:cs="Arial" w:eastAsia="Arial" w:hAnsi="Arial"/>
          <w:sz w:val="18"/>
          <w:szCs w:val="18"/>
          <w:color w:val="auto"/>
        </w:rPr>
      </w:pPr>
    </w:p>
    <w:p>
      <w:pPr>
        <w:ind w:left="1980" w:hanging="358"/>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17" w:lineRule="exact"/>
        <w:rPr>
          <w:rFonts w:ascii="Arial" w:cs="Arial" w:eastAsia="Arial" w:hAnsi="Arial"/>
          <w:sz w:val="18"/>
          <w:szCs w:val="18"/>
          <w:color w:val="auto"/>
        </w:rPr>
      </w:pPr>
    </w:p>
    <w:p>
      <w:pPr>
        <w:ind w:left="1980" w:right="739" w:hanging="358"/>
        <w:spacing w:after="0" w:line="255"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Selecta and the trustee receive written notice from the holders of not less than 25% in principal amount of the outstanding debt securities of that series as provided in the indenture;</w:t>
      </w:r>
    </w:p>
    <w:p>
      <w:pPr>
        <w:spacing w:after="0" w:line="84" w:lineRule="exact"/>
        <w:rPr>
          <w:rFonts w:ascii="Arial" w:cs="Arial" w:eastAsia="Arial" w:hAnsi="Arial"/>
          <w:sz w:val="18"/>
          <w:szCs w:val="18"/>
          <w:color w:val="auto"/>
        </w:rPr>
      </w:pPr>
    </w:p>
    <w:p>
      <w:pPr>
        <w:ind w:left="1980" w:hanging="358"/>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Selecta;</w:t>
      </w:r>
    </w:p>
    <w:p>
      <w:pPr>
        <w:spacing w:after="0" w:line="130" w:lineRule="exact"/>
        <w:rPr>
          <w:rFonts w:ascii="Arial" w:cs="Arial" w:eastAsia="Arial" w:hAnsi="Arial"/>
          <w:sz w:val="18"/>
          <w:szCs w:val="18"/>
          <w:color w:val="auto"/>
        </w:rPr>
      </w:pPr>
    </w:p>
    <w:p>
      <w:pPr>
        <w:ind w:left="1980" w:right="839" w:hanging="358"/>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89"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2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19"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10" w:lineRule="exact"/>
        <w:rPr>
          <w:sz w:val="20"/>
          <w:szCs w:val="20"/>
          <w:color w:val="auto"/>
        </w:rPr>
      </w:pPr>
    </w:p>
    <w:p>
      <w:pPr>
        <w:jc w:val="both"/>
        <w:ind w:left="1260" w:right="779" w:firstLine="360"/>
        <w:spacing w:after="0" w:line="271"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ind w:left="1260" w:right="839"/>
        <w:spacing w:after="0" w:line="253" w:lineRule="auto"/>
        <w:rPr>
          <w:sz w:val="20"/>
          <w:szCs w:val="20"/>
          <w:color w:val="auto"/>
        </w:rPr>
      </w:pPr>
      <w:r>
        <w:rPr>
          <w:rFonts w:ascii="Arial" w:cs="Arial" w:eastAsia="Arial" w:hAnsi="Arial"/>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ectPr>
          <w:pgSz w:w="11900" w:h="16838" w:orient="portrait"/>
          <w:cols w:equalWidth="0" w:num="1">
            <w:col w:w="10139"/>
          </w:cols>
          <w:pgMar w:left="320" w:top="132"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0" w:lineRule="exact"/>
        <w:rPr>
          <w:sz w:val="20"/>
          <w:szCs w:val="20"/>
          <w:color w:val="auto"/>
        </w:rPr>
      </w:pPr>
    </w:p>
    <w:p>
      <w:pPr>
        <w:ind w:left="1980" w:right="739" w:hanging="358"/>
        <w:spacing w:after="0" w:line="277"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62" w:lineRule="exact"/>
        <w:rPr>
          <w:rFonts w:ascii="Arial" w:cs="Arial" w:eastAsia="Arial" w:hAnsi="Arial"/>
          <w:sz w:val="18"/>
          <w:szCs w:val="18"/>
          <w:color w:val="auto"/>
        </w:rPr>
      </w:pPr>
    </w:p>
    <w:p>
      <w:pPr>
        <w:ind w:left="1980" w:right="819" w:hanging="358"/>
        <w:spacing w:after="0" w:line="255"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25" w:lineRule="exact"/>
        <w:rPr>
          <w:sz w:val="20"/>
          <w:szCs w:val="20"/>
          <w:color w:val="auto"/>
        </w:rPr>
      </w:pPr>
    </w:p>
    <w:p>
      <w:pPr>
        <w:ind w:left="1260" w:right="959" w:firstLine="360"/>
        <w:spacing w:after="0" w:line="24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07"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and Waiver</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63" w:lineRule="exact"/>
        <w:rPr>
          <w:sz w:val="20"/>
          <w:szCs w:val="20"/>
          <w:color w:val="auto"/>
        </w:rPr>
      </w:pPr>
    </w:p>
    <w:p>
      <w:pPr>
        <w:ind w:left="1980" w:hanging="358"/>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980" w:right="1079" w:hanging="358"/>
        <w:spacing w:after="0" w:line="27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48" w:lineRule="exact"/>
        <w:rPr>
          <w:rFonts w:ascii="Arial" w:cs="Arial" w:eastAsia="Arial" w:hAnsi="Arial"/>
          <w:sz w:val="18"/>
          <w:szCs w:val="18"/>
          <w:color w:val="auto"/>
        </w:rPr>
      </w:pPr>
    </w:p>
    <w:p>
      <w:pPr>
        <w:ind w:left="1980" w:hanging="358"/>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980" w:right="1139" w:hanging="358"/>
        <w:spacing w:after="0" w:line="27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62" w:lineRule="exact"/>
        <w:rPr>
          <w:rFonts w:ascii="Arial" w:cs="Arial" w:eastAsia="Arial" w:hAnsi="Arial"/>
          <w:sz w:val="18"/>
          <w:szCs w:val="18"/>
          <w:color w:val="auto"/>
        </w:rPr>
      </w:pPr>
    </w:p>
    <w:p>
      <w:pPr>
        <w:ind w:left="1980" w:hanging="358"/>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03" w:lineRule="exact"/>
        <w:rPr>
          <w:rFonts w:ascii="Arial" w:cs="Arial" w:eastAsia="Arial" w:hAnsi="Arial"/>
          <w:sz w:val="18"/>
          <w:szCs w:val="18"/>
          <w:color w:val="auto"/>
        </w:rPr>
      </w:pPr>
    </w:p>
    <w:p>
      <w:pPr>
        <w:ind w:left="1980" w:hanging="358"/>
        <w:spacing w:after="0"/>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add covenants or events of default for the benefit of the holders of debt securities of any series;</w:t>
      </w:r>
    </w:p>
    <w:p>
      <w:pPr>
        <w:spacing w:after="0" w:line="128" w:lineRule="exact"/>
        <w:rPr>
          <w:rFonts w:ascii="Arial" w:cs="Arial" w:eastAsia="Arial" w:hAnsi="Arial"/>
          <w:sz w:val="17"/>
          <w:szCs w:val="17"/>
          <w:color w:val="auto"/>
        </w:rPr>
      </w:pPr>
    </w:p>
    <w:p>
      <w:pPr>
        <w:ind w:left="1980" w:hanging="358"/>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1980" w:hanging="358"/>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17" w:lineRule="exact"/>
        <w:rPr>
          <w:rFonts w:ascii="Arial" w:cs="Arial" w:eastAsia="Arial" w:hAnsi="Arial"/>
          <w:sz w:val="18"/>
          <w:szCs w:val="18"/>
          <w:color w:val="auto"/>
        </w:rPr>
      </w:pPr>
    </w:p>
    <w:p>
      <w:pPr>
        <w:ind w:left="1980" w:right="739" w:hanging="358"/>
        <w:spacing w:after="0" w:line="27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w:t>
      </w:r>
    </w:p>
    <w:p>
      <w:pPr>
        <w:spacing w:after="0" w:line="48" w:lineRule="exact"/>
        <w:rPr>
          <w:rFonts w:ascii="Arial" w:cs="Arial" w:eastAsia="Arial" w:hAnsi="Arial"/>
          <w:sz w:val="18"/>
          <w:szCs w:val="18"/>
          <w:color w:val="auto"/>
        </w:rPr>
      </w:pPr>
    </w:p>
    <w:p>
      <w:pPr>
        <w:jc w:val="both"/>
        <w:ind w:left="1980" w:right="679" w:hanging="358"/>
        <w:spacing w:after="0" w:line="263"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980" w:right="1119" w:hanging="358"/>
        <w:spacing w:after="0" w:line="27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03"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7"/>
          <w:szCs w:val="17"/>
          <w:color w:val="auto"/>
        </w:rPr>
        <w:t>We may also modify and amend the indenture with the consent of the holders of at least a majority in principal amount of the outstanding debt securities of each series affected by the modifications or</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color w:val="auto"/>
        </w:rPr>
        <w:t>amendments. We may not make any modification or amendment without the consent of the holders of each affected debt security then outstanding if that amendment will:</w:t>
      </w:r>
    </w:p>
    <w:p>
      <w:pPr>
        <w:spacing w:after="0" w:line="62" w:lineRule="exact"/>
        <w:rPr>
          <w:sz w:val="20"/>
          <w:szCs w:val="20"/>
          <w:color w:val="auto"/>
        </w:rPr>
      </w:pPr>
    </w:p>
    <w:p>
      <w:pPr>
        <w:ind w:left="1980" w:right="759" w:hanging="358"/>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62" w:lineRule="exact"/>
        <w:rPr>
          <w:rFonts w:ascii="Arial" w:cs="Arial" w:eastAsia="Arial" w:hAnsi="Arial"/>
          <w:sz w:val="18"/>
          <w:szCs w:val="18"/>
          <w:color w:val="auto"/>
        </w:rPr>
      </w:pPr>
    </w:p>
    <w:p>
      <w:pPr>
        <w:ind w:left="1980" w:right="1019" w:hanging="358"/>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62" w:lineRule="exact"/>
        <w:rPr>
          <w:rFonts w:ascii="Arial" w:cs="Arial" w:eastAsia="Arial" w:hAnsi="Arial"/>
          <w:sz w:val="18"/>
          <w:szCs w:val="18"/>
          <w:color w:val="auto"/>
        </w:rPr>
      </w:pPr>
    </w:p>
    <w:p>
      <w:pPr>
        <w:ind w:left="1980" w:right="799" w:hanging="358"/>
        <w:spacing w:after="0" w:line="263"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980" w:hanging="358"/>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17" w:lineRule="exact"/>
        <w:rPr>
          <w:rFonts w:ascii="Arial" w:cs="Arial" w:eastAsia="Arial" w:hAnsi="Arial"/>
          <w:sz w:val="18"/>
          <w:szCs w:val="18"/>
          <w:color w:val="auto"/>
        </w:rPr>
      </w:pPr>
    </w:p>
    <w:p>
      <w:pPr>
        <w:ind w:left="1980" w:right="819" w:hanging="358"/>
        <w:spacing w:after="0" w:line="259"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92" w:lineRule="exact"/>
        <w:rPr>
          <w:rFonts w:ascii="Arial" w:cs="Arial" w:eastAsia="Arial" w:hAnsi="Arial"/>
          <w:sz w:val="18"/>
          <w:szCs w:val="18"/>
          <w:color w:val="auto"/>
        </w:rPr>
      </w:pPr>
    </w:p>
    <w:p>
      <w:pPr>
        <w:ind w:left="1980" w:right="899" w:hanging="358"/>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62" w:lineRule="exact"/>
        <w:rPr>
          <w:rFonts w:ascii="Arial" w:cs="Arial" w:eastAsia="Arial" w:hAnsi="Arial"/>
          <w:sz w:val="18"/>
          <w:szCs w:val="18"/>
          <w:color w:val="auto"/>
        </w:rPr>
      </w:pPr>
    </w:p>
    <w:p>
      <w:pPr>
        <w:ind w:left="1980" w:right="699" w:hanging="358"/>
        <w:spacing w:after="0" w:line="259"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8" w:lineRule="exact"/>
        <w:rPr>
          <w:rFonts w:ascii="Arial" w:cs="Arial" w:eastAsia="Arial" w:hAnsi="Arial"/>
          <w:sz w:val="18"/>
          <w:szCs w:val="18"/>
          <w:color w:val="auto"/>
        </w:rPr>
      </w:pPr>
    </w:p>
    <w:p>
      <w:pPr>
        <w:ind w:left="1980" w:hanging="358"/>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144"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62"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1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90" w:lineRule="auto"/>
        <w:rPr>
          <w:sz w:val="20"/>
          <w:szCs w:val="20"/>
          <w:color w:val="auto"/>
        </w:rPr>
      </w:pPr>
      <w:r>
        <w:rPr>
          <w:rFonts w:ascii="Arial" w:cs="Arial" w:eastAsia="Arial" w:hAnsi="Arial"/>
          <w:sz w:val="17"/>
          <w:szCs w:val="17"/>
          <w:color w:val="auto"/>
        </w:rPr>
        <w:t>to United States federal income tax on the same amounts and in the same manner and at the same times as would have been the case if the deposit, defeasance and discharge had not occurred. (Section 8.3)</w:t>
      </w:r>
    </w:p>
    <w:p>
      <w:pPr>
        <w:ind w:left="1260" w:right="1139" w:firstLine="360"/>
        <w:spacing w:after="0" w:line="246"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applicable series of debt securities, upon compliance with certain conditions:</w:t>
      </w:r>
    </w:p>
    <w:p>
      <w:pPr>
        <w:spacing w:after="0" w:line="62" w:lineRule="exact"/>
        <w:rPr>
          <w:sz w:val="20"/>
          <w:szCs w:val="20"/>
          <w:color w:val="auto"/>
        </w:rPr>
      </w:pPr>
    </w:p>
    <w:p>
      <w:pPr>
        <w:ind w:left="1980" w:right="699" w:hanging="358"/>
        <w:spacing w:after="0" w:line="286" w:lineRule="auto"/>
        <w:tabs>
          <w:tab w:leader="none" w:pos="1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57" w:lineRule="exact"/>
        <w:rPr>
          <w:rFonts w:ascii="Arial" w:cs="Arial" w:eastAsia="Arial" w:hAnsi="Arial"/>
          <w:sz w:val="17"/>
          <w:szCs w:val="17"/>
          <w:color w:val="auto"/>
        </w:rPr>
      </w:pPr>
    </w:p>
    <w:p>
      <w:pPr>
        <w:ind w:left="1980" w:right="839" w:hanging="358"/>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conditions include:</w:t>
      </w:r>
    </w:p>
    <w:p>
      <w:pPr>
        <w:spacing w:after="0" w:line="90" w:lineRule="exact"/>
        <w:rPr>
          <w:sz w:val="20"/>
          <w:szCs w:val="20"/>
          <w:color w:val="auto"/>
        </w:rPr>
      </w:pPr>
    </w:p>
    <w:p>
      <w:pPr>
        <w:ind w:left="1980" w:right="679" w:hanging="358"/>
        <w:spacing w:after="0" w:line="271" w:lineRule="auto"/>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0" w:lineRule="exact"/>
        <w:rPr>
          <w:rFonts w:ascii="Arial" w:cs="Arial" w:eastAsia="Arial" w:hAnsi="Arial"/>
          <w:sz w:val="17"/>
          <w:szCs w:val="17"/>
          <w:color w:val="auto"/>
        </w:rPr>
      </w:pPr>
    </w:p>
    <w:p>
      <w:pPr>
        <w:ind w:left="1980" w:right="699" w:hanging="358"/>
        <w:spacing w:after="0" w:line="275" w:lineRule="auto"/>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94" w:lineRule="exact"/>
        <w:rPr>
          <w:sz w:val="20"/>
          <w:szCs w:val="20"/>
          <w:color w:val="auto"/>
        </w:rPr>
      </w:pPr>
    </w:p>
    <w:p>
      <w:pPr>
        <w:ind w:left="1260" w:right="719" w:firstLine="360"/>
        <w:spacing w:after="0"/>
        <w:rPr>
          <w:sz w:val="20"/>
          <w:szCs w:val="20"/>
          <w:color w:val="auto"/>
        </w:rPr>
      </w:pPr>
      <w:r>
        <w:rPr>
          <w:rFonts w:ascii="Arial" w:cs="Arial" w:eastAsia="Arial" w:hAnsi="Arial"/>
          <w:sz w:val="17"/>
          <w:szCs w:val="17"/>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81" w:lineRule="exact"/>
        <w:rPr>
          <w:sz w:val="20"/>
          <w:szCs w:val="20"/>
          <w:color w:val="auto"/>
        </w:rPr>
      </w:pPr>
    </w:p>
    <w:p>
      <w:pPr>
        <w:ind w:left="1260" w:right="919" w:firstLine="360"/>
        <w:spacing w:after="0" w:line="246"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48" w:lineRule="exact"/>
        <w:rPr>
          <w:sz w:val="20"/>
          <w:szCs w:val="20"/>
          <w:color w:val="auto"/>
        </w:rPr>
      </w:pPr>
    </w:p>
    <w:p>
      <w:pPr>
        <w:ind w:left="1260" w:right="899" w:firstLine="360"/>
        <w:spacing w:after="0" w:line="231"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54" w:lineRule="exact"/>
        <w:rPr>
          <w:sz w:val="20"/>
          <w:szCs w:val="20"/>
          <w:color w:val="auto"/>
        </w:rPr>
      </w:pPr>
    </w:p>
    <w:p>
      <w:pPr>
        <w:ind w:left="1260" w:right="699" w:firstLine="360"/>
        <w:spacing w:after="0" w:line="222" w:lineRule="auto"/>
        <w:rPr>
          <w:sz w:val="20"/>
          <w:szCs w:val="20"/>
          <w:color w:val="auto"/>
        </w:rPr>
      </w:pPr>
      <w:r>
        <w:rPr>
          <w:rFonts w:ascii="Arial" w:cs="Arial" w:eastAsia="Arial" w:hAnsi="Arial"/>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WARRANTS</w:t>
      </w:r>
    </w:p>
    <w:p>
      <w:pPr>
        <w:spacing w:after="0" w:line="104"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6"/>
          <w:szCs w:val="16"/>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45" w:lineRule="exact"/>
        <w:rPr>
          <w:sz w:val="20"/>
          <w:szCs w:val="20"/>
          <w:color w:val="auto"/>
        </w:rPr>
      </w:pPr>
    </w:p>
    <w:p>
      <w:pPr>
        <w:ind w:left="1260" w:right="859" w:firstLine="360"/>
        <w:spacing w:after="0" w:line="290" w:lineRule="auto"/>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58" w:lineRule="exact"/>
        <w:rPr>
          <w:sz w:val="20"/>
          <w:szCs w:val="20"/>
          <w:color w:val="auto"/>
        </w:rPr>
      </w:pPr>
    </w:p>
    <w:p>
      <w:pPr>
        <w:ind w:left="1980" w:right="819" w:hanging="358"/>
        <w:spacing w:after="0" w:line="263"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48" w:lineRule="exact"/>
        <w:rPr>
          <w:rFonts w:ascii="Arial" w:cs="Arial" w:eastAsia="Arial" w:hAnsi="Arial"/>
          <w:sz w:val="18"/>
          <w:szCs w:val="18"/>
          <w:color w:val="auto"/>
        </w:rPr>
      </w:pPr>
    </w:p>
    <w:p>
      <w:pPr>
        <w:ind w:left="1980" w:right="1239" w:hanging="358"/>
        <w:spacing w:after="0" w:line="263"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35" w:lineRule="exact"/>
        <w:rPr>
          <w:rFonts w:ascii="Arial" w:cs="Arial" w:eastAsia="Arial" w:hAnsi="Arial"/>
          <w:sz w:val="18"/>
          <w:szCs w:val="18"/>
          <w:color w:val="auto"/>
        </w:rPr>
      </w:pPr>
    </w:p>
    <w:p>
      <w:pPr>
        <w:ind w:left="1980" w:right="779" w:hanging="358"/>
        <w:spacing w:after="0" w:line="325" w:lineRule="auto"/>
        <w:tabs>
          <w:tab w:leader="none" w:pos="1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principal amount of debt securities that may be purchased upon exercise of a debt warrant and the exercise price for the warrants, which may be payable in cash, securities or other property;</w:t>
      </w:r>
    </w:p>
    <w:p>
      <w:pPr>
        <w:spacing w:after="0" w:line="1" w:lineRule="exact"/>
        <w:rPr>
          <w:rFonts w:ascii="Arial" w:cs="Arial" w:eastAsia="Arial" w:hAnsi="Arial"/>
          <w:sz w:val="16"/>
          <w:szCs w:val="16"/>
          <w:color w:val="auto"/>
        </w:rPr>
      </w:pPr>
    </w:p>
    <w:p>
      <w:pPr>
        <w:ind w:left="1980" w:right="819" w:hanging="358"/>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35" w:lineRule="exact"/>
        <w:rPr>
          <w:rFonts w:ascii="Arial" w:cs="Arial" w:eastAsia="Arial" w:hAnsi="Arial"/>
          <w:sz w:val="18"/>
          <w:szCs w:val="18"/>
          <w:color w:val="auto"/>
        </w:rPr>
      </w:pPr>
    </w:p>
    <w:p>
      <w:pPr>
        <w:ind w:left="1980" w:hanging="358"/>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76" w:lineRule="exact"/>
        <w:rPr>
          <w:rFonts w:ascii="Arial" w:cs="Arial" w:eastAsia="Arial" w:hAnsi="Arial"/>
          <w:sz w:val="18"/>
          <w:szCs w:val="18"/>
          <w:color w:val="auto"/>
        </w:rPr>
      </w:pPr>
    </w:p>
    <w:p>
      <w:pPr>
        <w:ind w:left="1980" w:right="719" w:hanging="358"/>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1" w:lineRule="exact"/>
        <w:rPr>
          <w:rFonts w:ascii="Arial" w:cs="Arial" w:eastAsia="Arial" w:hAnsi="Arial"/>
          <w:sz w:val="18"/>
          <w:szCs w:val="18"/>
          <w:color w:val="auto"/>
        </w:rPr>
      </w:pPr>
    </w:p>
    <w:p>
      <w:pPr>
        <w:ind w:left="1980" w:hanging="358"/>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90" w:lineRule="exact"/>
        <w:rPr>
          <w:rFonts w:ascii="Arial" w:cs="Arial" w:eastAsia="Arial" w:hAnsi="Arial"/>
          <w:sz w:val="18"/>
          <w:szCs w:val="18"/>
          <w:color w:val="auto"/>
        </w:rPr>
      </w:pPr>
    </w:p>
    <w:p>
      <w:pPr>
        <w:ind w:left="1980" w:right="919" w:hanging="358"/>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Holders of equity warrants will not be entitled:</w:t>
      </w:r>
    </w:p>
    <w:p>
      <w:pPr>
        <w:spacing w:after="0" w:line="91" w:lineRule="exact"/>
        <w:rPr>
          <w:sz w:val="20"/>
          <w:szCs w:val="20"/>
          <w:color w:val="auto"/>
        </w:rPr>
      </w:pPr>
    </w:p>
    <w:p>
      <w:pPr>
        <w:ind w:left="1980" w:hanging="358"/>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76" w:lineRule="exact"/>
        <w:rPr>
          <w:rFonts w:ascii="Arial" w:cs="Arial" w:eastAsia="Arial" w:hAnsi="Arial"/>
          <w:sz w:val="18"/>
          <w:szCs w:val="18"/>
          <w:color w:val="auto"/>
        </w:rPr>
      </w:pPr>
    </w:p>
    <w:p>
      <w:pPr>
        <w:ind w:left="1980" w:right="859" w:hanging="358"/>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 notice as shareholders with respect to any meeting of shareholders for the election of our directors or any other matter; or</w:t>
      </w:r>
    </w:p>
    <w:p>
      <w:pPr>
        <w:spacing w:after="0" w:line="35" w:lineRule="exact"/>
        <w:rPr>
          <w:rFonts w:ascii="Arial" w:cs="Arial" w:eastAsia="Arial" w:hAnsi="Arial"/>
          <w:sz w:val="18"/>
          <w:szCs w:val="18"/>
          <w:color w:val="auto"/>
        </w:rPr>
      </w:pPr>
    </w:p>
    <w:p>
      <w:pPr>
        <w:ind w:left="1980" w:hanging="358"/>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exercise any rights as shareholders of Selecta.</w:t>
      </w:r>
    </w:p>
    <w:p>
      <w:pPr>
        <w:spacing w:after="0" w:line="87"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4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DESCRIPTION OF UNITS</w:t>
      </w:r>
    </w:p>
    <w:p>
      <w:pPr>
        <w:spacing w:after="0" w:line="131"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84" w:lineRule="exact"/>
        <w:rPr>
          <w:sz w:val="20"/>
          <w:szCs w:val="20"/>
          <w:color w:val="auto"/>
        </w:rPr>
      </w:pPr>
    </w:p>
    <w:p>
      <w:pPr>
        <w:ind w:left="1260" w:right="879" w:firstLine="360"/>
        <w:spacing w:after="0" w:line="268" w:lineRule="auto"/>
        <w:rPr>
          <w:sz w:val="20"/>
          <w:szCs w:val="20"/>
          <w:color w:val="auto"/>
        </w:rPr>
      </w:pPr>
      <w:r>
        <w:rPr>
          <w:rFonts w:ascii="Arial" w:cs="Arial" w:eastAsia="Arial" w:hAnsi="Arial"/>
          <w:sz w:val="17"/>
          <w:szCs w:val="17"/>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90" w:lineRule="exact"/>
        <w:rPr>
          <w:sz w:val="20"/>
          <w:szCs w:val="20"/>
          <w:color w:val="auto"/>
        </w:rPr>
      </w:pPr>
    </w:p>
    <w:p>
      <w:pPr>
        <w:ind w:left="1260" w:right="1159" w:firstLine="360"/>
        <w:spacing w:after="0" w:line="290" w:lineRule="auto"/>
        <w:rPr>
          <w:sz w:val="20"/>
          <w:szCs w:val="20"/>
          <w:color w:val="auto"/>
        </w:rPr>
      </w:pPr>
      <w:r>
        <w:rPr>
          <w:rFonts w:ascii="Arial" w:cs="Arial" w:eastAsia="Arial" w:hAnsi="Arial"/>
          <w:sz w:val="17"/>
          <w:szCs w:val="17"/>
          <w:color w:val="auto"/>
        </w:rPr>
        <w:t>If we offer any units, certain terms of that series of units will be described in the applicable prospectus supplement, including, without limitation, the following, as applicable:</w:t>
      </w:r>
    </w:p>
    <w:p>
      <w:pPr>
        <w:spacing w:after="0" w:line="58" w:lineRule="exact"/>
        <w:rPr>
          <w:sz w:val="20"/>
          <w:szCs w:val="20"/>
          <w:color w:val="auto"/>
        </w:rPr>
      </w:pPr>
    </w:p>
    <w:p>
      <w:pPr>
        <w:ind w:left="1980" w:hanging="358"/>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17" w:lineRule="exact"/>
        <w:rPr>
          <w:rFonts w:ascii="Arial" w:cs="Arial" w:eastAsia="Arial" w:hAnsi="Arial"/>
          <w:sz w:val="18"/>
          <w:szCs w:val="18"/>
          <w:color w:val="auto"/>
        </w:rPr>
      </w:pPr>
    </w:p>
    <w:p>
      <w:pPr>
        <w:ind w:left="1980" w:hanging="358"/>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17" w:lineRule="exact"/>
        <w:rPr>
          <w:rFonts w:ascii="Arial" w:cs="Arial" w:eastAsia="Arial" w:hAnsi="Arial"/>
          <w:sz w:val="18"/>
          <w:szCs w:val="18"/>
          <w:color w:val="auto"/>
        </w:rPr>
      </w:pPr>
    </w:p>
    <w:p>
      <w:pPr>
        <w:ind w:left="1980" w:hanging="358"/>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17" w:lineRule="exact"/>
        <w:rPr>
          <w:rFonts w:ascii="Arial" w:cs="Arial" w:eastAsia="Arial" w:hAnsi="Arial"/>
          <w:sz w:val="18"/>
          <w:szCs w:val="18"/>
          <w:color w:val="auto"/>
        </w:rPr>
      </w:pPr>
    </w:p>
    <w:p>
      <w:pPr>
        <w:ind w:left="1980" w:right="1459" w:hanging="358"/>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62" w:lineRule="exact"/>
        <w:rPr>
          <w:rFonts w:ascii="Arial" w:cs="Arial" w:eastAsia="Arial" w:hAnsi="Arial"/>
          <w:sz w:val="18"/>
          <w:szCs w:val="18"/>
          <w:color w:val="auto"/>
        </w:rPr>
      </w:pPr>
    </w:p>
    <w:p>
      <w:pPr>
        <w:ind w:left="1980" w:hanging="358"/>
        <w:spacing w:after="0"/>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discussion of certain United States federal income tax considerations applicable to the units; and</w:t>
      </w:r>
    </w:p>
    <w:p>
      <w:pPr>
        <w:spacing w:after="0" w:line="128" w:lineRule="exact"/>
        <w:rPr>
          <w:rFonts w:ascii="Arial" w:cs="Arial" w:eastAsia="Arial" w:hAnsi="Arial"/>
          <w:sz w:val="17"/>
          <w:szCs w:val="17"/>
          <w:color w:val="auto"/>
        </w:rPr>
      </w:pPr>
    </w:p>
    <w:p>
      <w:pPr>
        <w:ind w:left="1980" w:hanging="358"/>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Book-Entry, Delivery and Form</w:t>
      </w:r>
    </w:p>
    <w:p>
      <w:pPr>
        <w:spacing w:after="0" w:line="131" w:lineRule="exact"/>
        <w:rPr>
          <w:sz w:val="20"/>
          <w:szCs w:val="20"/>
          <w:color w:val="auto"/>
        </w:rPr>
      </w:pPr>
    </w:p>
    <w:p>
      <w:pPr>
        <w:ind w:left="1260" w:right="819" w:firstLine="360"/>
        <w:spacing w:after="0" w:line="268"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DTC has advised us that it is:</w:t>
      </w:r>
    </w:p>
    <w:p>
      <w:pPr>
        <w:spacing w:after="0" w:line="118" w:lineRule="exact"/>
        <w:rPr>
          <w:sz w:val="20"/>
          <w:szCs w:val="20"/>
          <w:color w:val="auto"/>
        </w:rPr>
      </w:pPr>
    </w:p>
    <w:p>
      <w:pPr>
        <w:ind w:left="1980" w:hanging="358"/>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17" w:lineRule="exact"/>
        <w:rPr>
          <w:rFonts w:ascii="Arial" w:cs="Arial" w:eastAsia="Arial" w:hAnsi="Arial"/>
          <w:sz w:val="18"/>
          <w:szCs w:val="18"/>
          <w:color w:val="auto"/>
        </w:rPr>
      </w:pPr>
    </w:p>
    <w:p>
      <w:pPr>
        <w:ind w:left="1980" w:hanging="358"/>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17" w:lineRule="exact"/>
        <w:rPr>
          <w:rFonts w:ascii="Arial" w:cs="Arial" w:eastAsia="Arial" w:hAnsi="Arial"/>
          <w:sz w:val="18"/>
          <w:szCs w:val="18"/>
          <w:color w:val="auto"/>
        </w:rPr>
      </w:pPr>
    </w:p>
    <w:p>
      <w:pPr>
        <w:ind w:left="1980" w:hanging="358"/>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1980" w:hanging="358"/>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1980" w:hanging="358"/>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27"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92"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85" w:lineRule="exact"/>
        <w:rPr>
          <w:sz w:val="20"/>
          <w:szCs w:val="20"/>
          <w:color w:val="auto"/>
        </w:rPr>
      </w:pPr>
    </w:p>
    <w:p>
      <w:pPr>
        <w:ind w:left="1260" w:right="739" w:firstLine="360"/>
        <w:spacing w:after="0" w:line="281"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w:t>
      </w:r>
    </w:p>
    <w:p>
      <w:pPr>
        <w:spacing w:after="0" w:line="2" w:lineRule="exact"/>
        <w:rPr>
          <w:sz w:val="20"/>
          <w:szCs w:val="20"/>
          <w:color w:val="auto"/>
        </w:rPr>
      </w:pPr>
    </w:p>
    <w:p>
      <w:pPr>
        <w:ind w:left="1260" w:right="679" w:firstLine="2"/>
        <w:spacing w:after="0" w:line="273" w:lineRule="auto"/>
        <w:tabs>
          <w:tab w:leader="none" w:pos="1442"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82"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10139"/>
          </w:cols>
          <w:pgMar w:left="32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7"/>
          <w:szCs w:val="17"/>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78"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7"/>
          <w:szCs w:val="17"/>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7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96" w:lineRule="exact"/>
        <w:rPr>
          <w:sz w:val="20"/>
          <w:szCs w:val="20"/>
          <w:color w:val="auto"/>
        </w:rPr>
      </w:pPr>
    </w:p>
    <w:p>
      <w:pPr>
        <w:ind w:left="1260" w:right="679" w:firstLine="360"/>
        <w:spacing w:after="0" w:line="287"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76" w:lineRule="exact"/>
        <w:rPr>
          <w:sz w:val="20"/>
          <w:szCs w:val="20"/>
          <w:color w:val="auto"/>
        </w:rPr>
      </w:pPr>
    </w:p>
    <w:p>
      <w:pPr>
        <w:ind w:left="1260" w:right="719" w:firstLine="360"/>
        <w:spacing w:after="0" w:line="267"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9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83"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7"/>
          <w:szCs w:val="17"/>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79"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79" w:lineRule="exact"/>
        <w:rPr>
          <w:sz w:val="20"/>
          <w:szCs w:val="20"/>
          <w:color w:val="auto"/>
        </w:rPr>
      </w:pPr>
    </w:p>
    <w:p>
      <w:pPr>
        <w:ind w:left="1260" w:right="899" w:firstLine="360"/>
        <w:spacing w:after="0" w:line="290" w:lineRule="auto"/>
        <w:rPr>
          <w:sz w:val="20"/>
          <w:szCs w:val="20"/>
          <w:color w:val="auto"/>
        </w:rPr>
      </w:pPr>
      <w:r>
        <w:rPr>
          <w:rFonts w:ascii="Arial" w:cs="Arial" w:eastAsia="Arial" w:hAnsi="Arial"/>
          <w:sz w:val="17"/>
          <w:szCs w:val="17"/>
          <w:color w:val="auto"/>
        </w:rPr>
        <w:t>As noted above, beneficial owners of a particular series of securities generally will not receive certificates representing their ownership interests in those securities. However, if:</w:t>
      </w:r>
    </w:p>
    <w:p>
      <w:pPr>
        <w:spacing w:after="0" w:line="58" w:lineRule="exact"/>
        <w:rPr>
          <w:sz w:val="20"/>
          <w:szCs w:val="20"/>
          <w:color w:val="auto"/>
        </w:rPr>
      </w:pPr>
    </w:p>
    <w:p>
      <w:pPr>
        <w:ind w:left="1980" w:right="719" w:hanging="358"/>
        <w:spacing w:after="0" w:line="25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79" w:lineRule="exact"/>
        <w:rPr>
          <w:rFonts w:ascii="Arial" w:cs="Arial" w:eastAsia="Arial" w:hAnsi="Arial"/>
          <w:sz w:val="18"/>
          <w:szCs w:val="18"/>
          <w:color w:val="auto"/>
        </w:rPr>
      </w:pPr>
    </w:p>
    <w:p>
      <w:pPr>
        <w:ind w:left="1980" w:right="739" w:hanging="358"/>
        <w:spacing w:after="0" w:line="277"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62" w:lineRule="exact"/>
        <w:rPr>
          <w:rFonts w:ascii="Arial" w:cs="Arial" w:eastAsia="Arial" w:hAnsi="Arial"/>
          <w:sz w:val="18"/>
          <w:szCs w:val="18"/>
          <w:color w:val="auto"/>
        </w:rPr>
      </w:pPr>
    </w:p>
    <w:p>
      <w:pPr>
        <w:ind w:left="1980" w:hanging="358"/>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right="839"/>
        <w:spacing w:after="0" w:line="274" w:lineRule="auto"/>
        <w:rPr>
          <w:sz w:val="20"/>
          <w:szCs w:val="20"/>
          <w:color w:val="auto"/>
        </w:rPr>
      </w:pPr>
      <w:r>
        <w:rPr>
          <w:rFonts w:ascii="Arial" w:cs="Arial" w:eastAsia="Arial" w:hAnsi="Arial"/>
          <w:sz w:val="16"/>
          <w:szCs w:val="16"/>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4"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6"/>
          <w:szCs w:val="16"/>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71"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7"/>
          <w:szCs w:val="17"/>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8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8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8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7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6"/>
          <w:szCs w:val="16"/>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w:t>
      </w:r>
    </w:p>
    <w:p>
      <w:pPr>
        <w:spacing w:after="0" w:line="114" w:lineRule="exact"/>
        <w:rPr>
          <w:sz w:val="20"/>
          <w:szCs w:val="20"/>
          <w:color w:val="auto"/>
        </w:rPr>
      </w:pPr>
    </w:p>
    <w:p>
      <w:pPr>
        <w:ind w:left="1260" w:right="819" w:firstLine="360"/>
        <w:spacing w:after="0" w:line="252"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spacing w:after="0" w:line="271" w:lineRule="auto"/>
        <w:rPr>
          <w:sz w:val="20"/>
          <w:szCs w:val="20"/>
          <w:color w:val="auto"/>
        </w:rPr>
      </w:pPr>
      <w:r>
        <w:rPr>
          <w:rFonts w:ascii="Arial" w:cs="Arial" w:eastAsia="Arial" w:hAnsi="Arial"/>
          <w:sz w:val="17"/>
          <w:szCs w:val="17"/>
          <w:color w:val="auto"/>
        </w:rPr>
        <w:t>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18"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7"/>
          <w:szCs w:val="17"/>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44" w:lineRule="exact"/>
        <w:rPr>
          <w:sz w:val="20"/>
          <w:szCs w:val="20"/>
          <w:color w:val="auto"/>
        </w:rPr>
      </w:pPr>
    </w:p>
    <w:p>
      <w:pPr>
        <w:ind w:left="1980" w:hanging="358"/>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76" w:lineRule="exact"/>
        <w:rPr>
          <w:rFonts w:ascii="Arial" w:cs="Arial" w:eastAsia="Arial" w:hAnsi="Arial"/>
          <w:sz w:val="18"/>
          <w:szCs w:val="18"/>
          <w:color w:val="auto"/>
        </w:rPr>
      </w:pPr>
    </w:p>
    <w:p>
      <w:pPr>
        <w:ind w:left="1980" w:hanging="358"/>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1980" w:hanging="358"/>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76" w:lineRule="exact"/>
        <w:rPr>
          <w:rFonts w:ascii="Arial" w:cs="Arial" w:eastAsia="Arial" w:hAnsi="Arial"/>
          <w:sz w:val="18"/>
          <w:szCs w:val="18"/>
          <w:color w:val="auto"/>
        </w:rPr>
      </w:pPr>
    </w:p>
    <w:p>
      <w:pPr>
        <w:ind w:left="1980" w:hanging="358"/>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4"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7"/>
          <w:szCs w:val="17"/>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78" w:lineRule="exact"/>
        <w:rPr>
          <w:sz w:val="20"/>
          <w:szCs w:val="20"/>
          <w:color w:val="auto"/>
        </w:rPr>
      </w:pPr>
    </w:p>
    <w:p>
      <w:pPr>
        <w:jc w:val="both"/>
        <w:ind w:left="1260" w:right="739" w:firstLine="360"/>
        <w:spacing w:after="0" w:line="261"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78"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7"/>
          <w:szCs w:val="17"/>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78"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89"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91"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95" w:lineRule="exact"/>
        <w:rPr>
          <w:sz w:val="20"/>
          <w:szCs w:val="20"/>
          <w:color w:val="auto"/>
        </w:rPr>
      </w:pPr>
    </w:p>
    <w:p>
      <w:pPr>
        <w:ind w:left="1260" w:right="699" w:firstLine="360"/>
        <w:spacing w:after="0" w:line="278"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w:t>
      </w:r>
    </w:p>
    <w:p>
      <w:pPr>
        <w:sectPr>
          <w:pgSz w:w="11900" w:h="16838" w:orient="portrait"/>
          <w:cols w:equalWidth="0" w:num="1">
            <w:col w:w="10139"/>
          </w:cols>
          <w:pgMar w:left="320" w:top="131"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87" w:lineRule="exact"/>
        <w:rPr>
          <w:sz w:val="20"/>
          <w:szCs w:val="20"/>
          <w:color w:val="auto"/>
        </w:rPr>
      </w:pPr>
    </w:p>
    <w:p>
      <w:pPr>
        <w:ind w:left="1260" w:right="1299" w:firstLine="360"/>
        <w:spacing w:after="0" w:line="290" w:lineRule="auto"/>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68" w:lineRule="exact"/>
        <w:rPr>
          <w:sz w:val="20"/>
          <w:szCs w:val="20"/>
          <w:color w:val="auto"/>
        </w:rPr>
      </w:pPr>
    </w:p>
    <w:p>
      <w:pPr>
        <w:ind w:left="1260" w:right="879" w:firstLine="360"/>
        <w:spacing w:after="0" w:line="290" w:lineRule="auto"/>
        <w:rPr>
          <w:sz w:val="20"/>
          <w:szCs w:val="20"/>
          <w:color w:val="auto"/>
        </w:rPr>
      </w:pPr>
      <w:r>
        <w:rPr>
          <w:rFonts w:ascii="Arial" w:cs="Arial" w:eastAsia="Arial" w:hAnsi="Arial"/>
          <w:sz w:val="17"/>
          <w:szCs w:val="17"/>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LEGAL MATTERS</w:t>
      </w:r>
    </w:p>
    <w:p>
      <w:pPr>
        <w:spacing w:after="0" w:line="131" w:lineRule="exact"/>
        <w:rPr>
          <w:sz w:val="20"/>
          <w:szCs w:val="20"/>
          <w:color w:val="auto"/>
        </w:rPr>
      </w:pPr>
    </w:p>
    <w:p>
      <w:pPr>
        <w:ind w:left="1260" w:right="719" w:firstLine="360"/>
        <w:spacing w:after="0" w:line="302" w:lineRule="auto"/>
        <w:rPr>
          <w:sz w:val="20"/>
          <w:szCs w:val="20"/>
          <w:color w:val="auto"/>
        </w:rPr>
      </w:pPr>
      <w:r>
        <w:rPr>
          <w:rFonts w:ascii="Arial" w:cs="Arial" w:eastAsia="Arial" w:hAnsi="Arial"/>
          <w:sz w:val="16"/>
          <w:szCs w:val="16"/>
          <w:color w:val="auto"/>
        </w:rPr>
        <w:t>Latham &amp; Watkins LLP will pass upon certain legal matters relating to the issuance and sale of the securities offered hereby on behalf of Selecta Biosciences, Inc. Additional legal matters may be passed upon for us or any underwriters, dealers or agents, by counsel that we will name in the applicable prospectus supplement.</w:t>
      </w:r>
    </w:p>
    <w:p>
      <w:pPr>
        <w:spacing w:after="0" w:line="15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EXPERTS</w:t>
      </w:r>
    </w:p>
    <w:p>
      <w:pPr>
        <w:spacing w:after="0" w:line="131" w:lineRule="exact"/>
        <w:rPr>
          <w:sz w:val="20"/>
          <w:szCs w:val="20"/>
          <w:color w:val="auto"/>
        </w:rPr>
      </w:pPr>
    </w:p>
    <w:p>
      <w:pPr>
        <w:ind w:left="1260" w:right="779" w:firstLine="360"/>
        <w:spacing w:after="0" w:line="287" w:lineRule="auto"/>
        <w:rPr>
          <w:rFonts w:ascii="Arial" w:cs="Arial" w:eastAsia="Arial" w:hAnsi="Arial"/>
          <w:sz w:val="16"/>
          <w:szCs w:val="16"/>
          <w:color w:val="0000EE"/>
        </w:rPr>
      </w:pPr>
      <w:r>
        <w:rPr>
          <w:rFonts w:ascii="Arial" w:cs="Arial" w:eastAsia="Arial" w:hAnsi="Arial"/>
          <w:sz w:val="16"/>
          <w:szCs w:val="16"/>
          <w:color w:val="auto"/>
        </w:rPr>
        <w:t xml:space="preserve">The consolidated financial statements of Selecta Biosciences, Inc. appearing in Selecta Biosciences, Inc.’s </w:t>
      </w:r>
      <w:hyperlink r:id="rId56">
        <w:r>
          <w:rPr>
            <w:rFonts w:ascii="Arial" w:cs="Arial" w:eastAsia="Arial" w:hAnsi="Arial"/>
            <w:sz w:val="16"/>
            <w:szCs w:val="16"/>
            <w:u w:val="single" w:color="auto"/>
            <w:color w:val="0000EE"/>
          </w:rPr>
          <w:t>Annual Report on Form 10-K for the year ended December 31, 2019</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have been audited by Ernst &amp; Young LLP,</w:t>
      </w:r>
      <w:r>
        <w:rPr>
          <w:rFonts w:ascii="Arial" w:cs="Arial" w:eastAsia="Arial" w:hAnsi="Arial"/>
          <w:sz w:val="16"/>
          <w:szCs w:val="16"/>
          <w:color w:val="0000EE"/>
        </w:rPr>
        <w:t xml:space="preserve"> </w:t>
      </w:r>
      <w:r>
        <w:rPr>
          <w:rFonts w:ascii="Arial" w:cs="Arial" w:eastAsia="Arial" w:hAnsi="Arial"/>
          <w:sz w:val="16"/>
          <w:szCs w:val="16"/>
          <w:color w:val="000000"/>
        </w:rPr>
        <w:t>independent registered public accounting firm, as set forth in their report thereon (which contains an explanatory paragraph describing conditions that raise substantial doubt about the Company’s ability to continue as a going conern as described in Note 1 to the consolidated financial statements) included therein, and incorporated herein by reference. Such consolidated financial statements are, and audited consolidated financial statements to be included in subsequently filed documents will be, incorporated herein in reliance upon the report of Ernst &amp; Young LLP pertaining to such consolidated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3127"/>
        </w:trPr>
        <w:tc>
          <w:tcPr>
            <w:tcW w:w="140" w:type="dxa"/>
            <w:vAlign w:val="bottom"/>
            <w:textDirection w:val="btLr"/>
          </w:tcPr>
          <w:p>
            <w:pPr>
              <w:spacing w:after="0"/>
              <w:rPr>
                <w:sz w:val="20"/>
                <w:szCs w:val="20"/>
                <w:color w:val="auto"/>
              </w:rPr>
            </w:pPr>
            <w:r>
              <w:rPr>
                <w:rFonts w:ascii="Arial" w:cs="Arial" w:eastAsia="Arial" w:hAnsi="Arial"/>
                <w:sz w:val="14"/>
                <w:szCs w:val="14"/>
                <w:color w:val="F15060"/>
                <w:w w:val="94"/>
              </w:rPr>
              <w:t>filed with the Securities and Exchange Commission is</w:t>
            </w:r>
          </w:p>
        </w:tc>
        <w:tc>
          <w:tcPr>
            <w:tcW w:w="140" w:type="dxa"/>
            <w:vAlign w:val="bottom"/>
            <w:textDirection w:val="btLr"/>
          </w:tcPr>
          <w:p>
            <w:pPr>
              <w:spacing w:after="0"/>
              <w:rPr>
                <w:sz w:val="20"/>
                <w:szCs w:val="20"/>
                <w:color w:val="auto"/>
              </w:rPr>
            </w:pPr>
            <w:r>
              <w:rPr>
                <w:rFonts w:ascii="Arial" w:cs="Arial" w:eastAsia="Arial" w:hAnsi="Arial"/>
                <w:sz w:val="14"/>
                <w:szCs w:val="14"/>
                <w:color w:val="F15060"/>
                <w:w w:val="93"/>
              </w:rPr>
              <w:t>not permitted.</w:t>
            </w:r>
          </w:p>
        </w:tc>
      </w:tr>
      <w:tr>
        <w:trPr>
          <w:trHeight w:val="4332"/>
        </w:trPr>
        <w:tc>
          <w:tcPr>
            <w:tcW w:w="140" w:type="dxa"/>
            <w:vAlign w:val="bottom"/>
            <w:textDirection w:val="btLr"/>
          </w:tcPr>
          <w:p>
            <w:pPr>
              <w:spacing w:after="0"/>
              <w:rPr>
                <w:sz w:val="20"/>
                <w:szCs w:val="20"/>
                <w:color w:val="auto"/>
              </w:rPr>
            </w:pPr>
            <w:r>
              <w:rPr>
                <w:rFonts w:ascii="Arial" w:cs="Arial" w:eastAsia="Arial" w:hAnsi="Arial"/>
                <w:sz w:val="14"/>
                <w:szCs w:val="14"/>
                <w:color w:val="F15060"/>
                <w:w w:val="93"/>
              </w:rPr>
              <w:t>changed. These securities may not be sold until the registration statement</w:t>
            </w:r>
          </w:p>
        </w:tc>
        <w:tc>
          <w:tcPr>
            <w:tcW w:w="140" w:type="dxa"/>
            <w:vAlign w:val="bottom"/>
            <w:textDirection w:val="btLr"/>
          </w:tcPr>
          <w:p>
            <w:pPr>
              <w:spacing w:after="0"/>
              <w:rPr>
                <w:sz w:val="20"/>
                <w:szCs w:val="20"/>
                <w:color w:val="auto"/>
              </w:rPr>
            </w:pPr>
            <w:r>
              <w:rPr>
                <w:rFonts w:ascii="Arial" w:cs="Arial" w:eastAsia="Arial" w:hAnsi="Arial"/>
                <w:sz w:val="14"/>
                <w:szCs w:val="14"/>
                <w:color w:val="F15060"/>
                <w:w w:val="93"/>
              </w:rPr>
              <w:t>an offer to buy these securities in any jurisdiction where the offer or sale is</w:t>
            </w:r>
          </w:p>
        </w:tc>
      </w:tr>
      <w:tr>
        <w:trPr>
          <w:trHeight w:val="732"/>
        </w:trPr>
        <w:tc>
          <w:tcPr>
            <w:tcW w:w="280" w:type="dxa"/>
            <w:vAlign w:val="bottom"/>
            <w:gridSpan w:val="2"/>
            <w:textDirection w:val="btLr"/>
          </w:tcPr>
          <w:p>
            <w:pPr>
              <w:ind w:left="165"/>
              <w:spacing w:after="0"/>
              <w:rPr>
                <w:sz w:val="20"/>
                <w:szCs w:val="20"/>
                <w:color w:val="auto"/>
              </w:rPr>
            </w:pPr>
            <w:r>
              <w:rPr>
                <w:rFonts w:ascii="Arial" w:cs="Arial" w:eastAsia="Arial" w:hAnsi="Arial"/>
                <w:sz w:val="10"/>
                <w:szCs w:val="10"/>
                <w:color w:val="F15060"/>
                <w:w w:val="71"/>
              </w:rPr>
              <w:t>and may bedoesitseek</w:t>
            </w:r>
          </w:p>
        </w:tc>
      </w:tr>
      <w:tr>
        <w:trPr>
          <w:trHeight w:val="585"/>
        </w:trPr>
        <w:tc>
          <w:tcPr>
            <w:tcW w:w="280" w:type="dxa"/>
            <w:vAlign w:val="bottom"/>
            <w:gridSpan w:val="2"/>
            <w:textDirection w:val="btLr"/>
          </w:tcPr>
          <w:p>
            <w:pPr>
              <w:ind w:left="165"/>
              <w:spacing w:after="0"/>
              <w:rPr>
                <w:sz w:val="20"/>
                <w:szCs w:val="20"/>
                <w:color w:val="auto"/>
              </w:rPr>
            </w:pPr>
            <w:r>
              <w:rPr>
                <w:rFonts w:ascii="Arial" w:cs="Arial" w:eastAsia="Arial" w:hAnsi="Arial"/>
                <w:sz w:val="10"/>
                <w:szCs w:val="10"/>
                <w:color w:val="F15060"/>
                <w:w w:val="73"/>
              </w:rPr>
              <w:t>completetosellnor</w:t>
            </w:r>
          </w:p>
        </w:tc>
      </w:tr>
      <w:tr>
        <w:trPr>
          <w:trHeight w:val="3744"/>
        </w:trPr>
        <w:tc>
          <w:tcPr>
            <w:tcW w:w="140" w:type="dxa"/>
            <w:vAlign w:val="bottom"/>
            <w:textDirection w:val="btLr"/>
          </w:tcPr>
          <w:p>
            <w:pPr>
              <w:spacing w:after="0"/>
              <w:rPr>
                <w:sz w:val="20"/>
                <w:szCs w:val="20"/>
                <w:color w:val="auto"/>
              </w:rPr>
            </w:pPr>
            <w:r>
              <w:rPr>
                <w:rFonts w:ascii="Arial" w:cs="Arial" w:eastAsia="Arial" w:hAnsi="Arial"/>
                <w:sz w:val="14"/>
                <w:szCs w:val="14"/>
                <w:color w:val="F15060"/>
                <w:w w:val="93"/>
              </w:rPr>
              <w:t>The information in this preliminary prospectus supplement is not</w:t>
            </w:r>
          </w:p>
        </w:tc>
        <w:tc>
          <w:tcPr>
            <w:tcW w:w="140" w:type="dxa"/>
            <w:vAlign w:val="bottom"/>
            <w:textDirection w:val="btLr"/>
          </w:tcPr>
          <w:p>
            <w:pPr>
              <w:spacing w:after="0"/>
              <w:rPr>
                <w:sz w:val="20"/>
                <w:szCs w:val="20"/>
                <w:color w:val="auto"/>
              </w:rPr>
            </w:pPr>
            <w:r>
              <w:rPr>
                <w:rFonts w:ascii="Arial" w:cs="Arial" w:eastAsia="Arial" w:hAnsi="Arial"/>
                <w:sz w:val="14"/>
                <w:szCs w:val="14"/>
                <w:color w:val="F15060"/>
                <w:w w:val="93"/>
              </w:rPr>
              <w:t>effective. This preliminary prospectus supplement is not an offer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100"/>
        <w:spacing w:after="0"/>
        <w:rPr>
          <w:sz w:val="20"/>
          <w:szCs w:val="20"/>
          <w:color w:val="auto"/>
        </w:rPr>
      </w:pPr>
      <w:r>
        <w:rPr>
          <w:rFonts w:ascii="Arial" w:cs="Arial" w:eastAsia="Arial" w:hAnsi="Arial"/>
          <w:sz w:val="17"/>
          <w:szCs w:val="17"/>
          <w:color w:val="F15060"/>
        </w:rPr>
        <w:t>SUBJECT TO COMPLETION, DATED AUGUST 6, 2020.</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184150</wp:posOffset>
            </wp:positionV>
            <wp:extent cx="2588895" cy="643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5888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Arial" w:cs="Arial" w:eastAsia="Arial" w:hAnsi="Arial"/>
          <w:sz w:val="29"/>
          <w:szCs w:val="29"/>
          <w:b w:val="1"/>
          <w:bCs w:val="1"/>
          <w:color w:val="auto"/>
        </w:rPr>
        <w:t>Up to $50,000,000</w:t>
      </w:r>
    </w:p>
    <w:p>
      <w:pPr>
        <w:spacing w:after="0" w:line="180" w:lineRule="exact"/>
        <w:rPr>
          <w:sz w:val="20"/>
          <w:szCs w:val="20"/>
          <w:color w:val="auto"/>
        </w:rPr>
      </w:pPr>
    </w:p>
    <w:p>
      <w:pPr>
        <w:jc w:val="center"/>
        <w:ind w:right="33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259715</wp:posOffset>
            </wp:positionV>
            <wp:extent cx="1234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19"/>
        <w:spacing w:after="0" w:line="239" w:lineRule="auto"/>
        <w:rPr>
          <w:sz w:val="20"/>
          <w:szCs w:val="20"/>
          <w:color w:val="auto"/>
        </w:rPr>
      </w:pPr>
      <w:r>
        <w:rPr>
          <w:rFonts w:ascii="Arial" w:cs="Arial" w:eastAsia="Arial" w:hAnsi="Arial"/>
          <w:sz w:val="17"/>
          <w:szCs w:val="17"/>
          <w:color w:val="auto"/>
        </w:rPr>
        <w:t>We have entered into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or sales agreement, with Jefferies LLC, or Jefferies, dated August 6, 2020, relating to the sale of shares of our common stock offered by this prospectus supplement. In accordance with the terms of the sales agreement, under this prospectus supplement we may offer and sell shares of our common stock, $0.0001 par value per share, having an aggregate offering price of up to $50,000,000 from time to time through Jefferies, acting as our agent.</w:t>
      </w:r>
    </w:p>
    <w:p>
      <w:pPr>
        <w:spacing w:after="0" w:line="136" w:lineRule="exact"/>
        <w:rPr>
          <w:sz w:val="20"/>
          <w:szCs w:val="20"/>
          <w:color w:val="auto"/>
        </w:rPr>
      </w:pPr>
    </w:p>
    <w:p>
      <w:pPr>
        <w:ind w:right="459"/>
        <w:spacing w:after="0" w:line="251" w:lineRule="auto"/>
        <w:rPr>
          <w:sz w:val="20"/>
          <w:szCs w:val="20"/>
          <w:color w:val="auto"/>
        </w:rPr>
      </w:pPr>
      <w:r>
        <w:rPr>
          <w:rFonts w:ascii="Arial" w:cs="Arial" w:eastAsia="Arial" w:hAnsi="Arial"/>
          <w:sz w:val="17"/>
          <w:szCs w:val="17"/>
          <w:color w:val="auto"/>
        </w:rPr>
        <w:t>Sales of our common stock, if any, under this prospectus supplement will be made by any method permitted that is deemed an “at the market offering” as defined in Rule 415(a)(4) under the Securities Act of 1933, as amended, or the Securities Act. Jefferies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52" w:lineRule="exact"/>
        <w:rPr>
          <w:sz w:val="20"/>
          <w:szCs w:val="20"/>
          <w:color w:val="auto"/>
        </w:rPr>
      </w:pPr>
    </w:p>
    <w:p>
      <w:pPr>
        <w:ind w:right="399"/>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Jefferies will be entitled to compensation at a commission rate of up to 3.0% of the gross sales price per share sold under the sales agreement. See “Plan of Distribution” beginning on page S- </w:t>
      </w:r>
      <w:hyperlink w:anchor="page42">
        <w:r>
          <w:rPr>
            <w:rFonts w:ascii="Arial" w:cs="Arial" w:eastAsia="Arial" w:hAnsi="Arial"/>
            <w:sz w:val="16"/>
            <w:szCs w:val="16"/>
            <w:u w:val="single" w:color="auto"/>
            <w:color w:val="0000EE"/>
          </w:rPr>
          <w:t>10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 regarding the compensation to be paid to Jefferies.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186055</wp:posOffset>
            </wp:positionV>
            <wp:extent cx="1234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39"/>
        <w:spacing w:after="0" w:line="251"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“RISK FACTORS” ON PAGE S-</w:t>
      </w:r>
      <w:hyperlink w:anchor="page38">
        <w:r>
          <w:rPr>
            <w:rFonts w:ascii="Arial" w:cs="Arial" w:eastAsia="Arial" w:hAnsi="Arial"/>
            <w:sz w:val="22"/>
            <w:szCs w:val="22"/>
            <w:b w:val="1"/>
            <w:bCs w:val="1"/>
            <w:u w:val="single" w:color="auto"/>
            <w:color w:val="0000EE"/>
          </w:rPr>
          <w:t>6</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OF THIS PROSPECTUS SUPPLEMENT AND IN THE DOCUMENTS INCORPORATED BY REFERENCE IN THIS PROSPECTUS SUPPLEMENT CONCERNING FACTORS YOU SHOULD CONSIDER BEFORE INVESTING IN OUR COMMON STOCK.</w:t>
      </w:r>
    </w:p>
    <w:p>
      <w:pPr>
        <w:spacing w:after="0" w:line="117" w:lineRule="exact"/>
        <w:rPr>
          <w:sz w:val="20"/>
          <w:szCs w:val="20"/>
          <w:color w:val="auto"/>
        </w:rPr>
      </w:pPr>
    </w:p>
    <w:p>
      <w:pPr>
        <w:ind w:right="779"/>
        <w:spacing w:after="0" w:line="332" w:lineRule="auto"/>
        <w:rPr>
          <w:sz w:val="20"/>
          <w:szCs w:val="20"/>
          <w:color w:val="auto"/>
        </w:rPr>
      </w:pPr>
      <w:r>
        <w:rPr>
          <w:rFonts w:ascii="Arial" w:cs="Arial" w:eastAsia="Arial" w:hAnsi="Arial"/>
          <w:sz w:val="16"/>
          <w:szCs w:val="16"/>
          <w:color w:val="auto"/>
        </w:rPr>
        <w:t>Our common stock is listed on the Nasdaq Global Market under the symbol “</w:t>
      </w:r>
      <w:r>
        <w:rPr>
          <w:rFonts w:ascii="Arial" w:cs="Arial" w:eastAsia="Arial" w:hAnsi="Arial"/>
          <w:sz w:val="16"/>
          <w:szCs w:val="16"/>
          <w:i w:val="1"/>
          <w:iCs w:val="1"/>
          <w:color w:val="auto"/>
        </w:rPr>
        <w:t>SELB</w:t>
      </w:r>
      <w:r>
        <w:rPr>
          <w:rFonts w:ascii="Arial" w:cs="Arial" w:eastAsia="Arial" w:hAnsi="Arial"/>
          <w:sz w:val="16"/>
          <w:szCs w:val="16"/>
          <w:color w:val="auto"/>
        </w:rPr>
        <w:t>.” On August 5, 2020, the last reported sale price of our common stock on the Nasdaq Global Market was $2.78 per share.</w:t>
      </w:r>
    </w:p>
    <w:p>
      <w:pPr>
        <w:spacing w:after="0" w:line="56" w:lineRule="exact"/>
        <w:rPr>
          <w:sz w:val="20"/>
          <w:szCs w:val="20"/>
          <w:color w:val="auto"/>
        </w:rPr>
      </w:pPr>
    </w:p>
    <w:p>
      <w:pPr>
        <w:ind w:right="359"/>
        <w:spacing w:after="0" w:line="28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374650</wp:posOffset>
            </wp:positionV>
            <wp:extent cx="12344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36"/>
          <w:szCs w:val="36"/>
          <w:b w:val="1"/>
          <w:bCs w:val="1"/>
          <w:color w:val="auto"/>
        </w:rPr>
        <w:t>Jefferies</w:t>
      </w:r>
    </w:p>
    <w:p>
      <w:pPr>
        <w:spacing w:after="0" w:line="175" w:lineRule="exact"/>
        <w:rPr>
          <w:sz w:val="20"/>
          <w:szCs w:val="20"/>
          <w:color w:val="auto"/>
        </w:rPr>
      </w:pPr>
    </w:p>
    <w:tbl>
      <w:tblPr>
        <w:tblLayout w:type="fixed"/>
        <w:tblInd w:w="1640" w:type="dxa"/>
        <w:tblCellMar>
          <w:top w:w="0" w:type="dxa"/>
          <w:left w:w="0" w:type="dxa"/>
          <w:bottom w:w="0" w:type="dxa"/>
          <w:right w:w="0" w:type="dxa"/>
        </w:tblCellMar>
      </w:tblPr>
      <w:tr>
        <w:trPr>
          <w:trHeight w:val="225"/>
        </w:trPr>
        <w:tc>
          <w:tcPr>
            <w:tcW w:w="3920" w:type="dxa"/>
            <w:vAlign w:val="bottom"/>
          </w:tcPr>
          <w:p>
            <w:pPr>
              <w:spacing w:after="0"/>
              <w:rPr>
                <w:sz w:val="20"/>
                <w:szCs w:val="20"/>
                <w:color w:val="auto"/>
              </w:rPr>
            </w:pPr>
            <w:r>
              <w:rPr>
                <w:rFonts w:ascii="Arial" w:cs="Arial" w:eastAsia="Arial" w:hAnsi="Arial"/>
                <w:sz w:val="17"/>
                <w:szCs w:val="17"/>
                <w:b w:val="1"/>
                <w:bCs w:val="1"/>
                <w:color w:val="auto"/>
              </w:rPr>
              <w:t>The date of this prospectus supplement is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53975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520" w:space="60"/>
            <w:col w:w="855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390"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7020" w:type="dxa"/>
            <w:vAlign w:val="bottom"/>
            <w:tcBorders>
              <w:top w:val="single" w:sz="8" w:color="auto"/>
            </w:tcBorders>
            <w:shd w:val="clear" w:color="auto" w:fill="CCEEFF"/>
          </w:tcPr>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ABOUT THIS PROSPECTUS SUPPLEMENT</w:t>
              </w:r>
            </w:hyperlink>
          </w:p>
        </w:tc>
        <w:tc>
          <w:tcPr>
            <w:tcW w:w="1200" w:type="dxa"/>
            <w:vAlign w:val="bottom"/>
            <w:tcBorders>
              <w:top w:val="single" w:sz="8" w:color="auto"/>
            </w:tcBorders>
            <w:shd w:val="clear" w:color="auto" w:fill="CCEEFF"/>
          </w:tcPr>
          <w:p>
            <w:pPr>
              <w:jc w:val="right"/>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S-1</w:t>
              </w:r>
            </w:hyperlink>
          </w:p>
        </w:tc>
      </w:tr>
      <w:tr>
        <w:trPr>
          <w:trHeight w:val="241"/>
        </w:trPr>
        <w:tc>
          <w:tcPr>
            <w:tcW w:w="7020" w:type="dxa"/>
            <w:vAlign w:val="bottom"/>
          </w:tcPr>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WHERE YOU CAN FIND MORE INFORMATION; INCORPORATION BY REFERENCE</w:t>
              </w:r>
            </w:hyperlink>
          </w:p>
        </w:tc>
        <w:tc>
          <w:tcPr>
            <w:tcW w:w="1200" w:type="dxa"/>
            <w:vAlign w:val="bottom"/>
          </w:tcPr>
          <w:p>
            <w:pPr>
              <w:jc w:val="right"/>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S-2</w:t>
              </w:r>
            </w:hyperlink>
          </w:p>
        </w:tc>
      </w:tr>
      <w:tr>
        <w:trPr>
          <w:trHeight w:val="245"/>
        </w:trPr>
        <w:tc>
          <w:tcPr>
            <w:tcW w:w="7020" w:type="dxa"/>
            <w:vAlign w:val="bottom"/>
            <w:shd w:val="clear" w:color="auto" w:fill="CCEEFF"/>
          </w:tcPr>
          <w:p>
            <w:pPr>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THE COMPANY</w:t>
              </w:r>
            </w:hyperlink>
          </w:p>
        </w:tc>
        <w:tc>
          <w:tcPr>
            <w:tcW w:w="1200" w:type="dxa"/>
            <w:vAlign w:val="bottom"/>
            <w:shd w:val="clear" w:color="auto" w:fill="CCEEFF"/>
          </w:tcPr>
          <w:p>
            <w:pPr>
              <w:jc w:val="right"/>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S-4</w:t>
              </w:r>
            </w:hyperlink>
          </w:p>
        </w:tc>
      </w:tr>
      <w:tr>
        <w:trPr>
          <w:trHeight w:val="241"/>
        </w:trPr>
        <w:tc>
          <w:tcPr>
            <w:tcW w:w="7020" w:type="dxa"/>
            <w:vAlign w:val="bottom"/>
          </w:tcPr>
          <w:p>
            <w:pPr>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THE OFFERING</w:t>
              </w:r>
            </w:hyperlink>
          </w:p>
        </w:tc>
        <w:tc>
          <w:tcPr>
            <w:tcW w:w="1200" w:type="dxa"/>
            <w:vAlign w:val="bottom"/>
          </w:tcPr>
          <w:p>
            <w:pPr>
              <w:jc w:val="right"/>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S-5</w:t>
              </w:r>
            </w:hyperlink>
          </w:p>
        </w:tc>
      </w:tr>
      <w:tr>
        <w:trPr>
          <w:trHeight w:val="245"/>
        </w:trPr>
        <w:tc>
          <w:tcPr>
            <w:tcW w:w="7020" w:type="dxa"/>
            <w:vAlign w:val="bottom"/>
            <w:shd w:val="clear" w:color="auto" w:fill="CCEEFF"/>
          </w:tcPr>
          <w:p>
            <w:pPr>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RISK FACTORS</w:t>
              </w:r>
            </w:hyperlink>
          </w:p>
        </w:tc>
        <w:tc>
          <w:tcPr>
            <w:tcW w:w="1200" w:type="dxa"/>
            <w:vAlign w:val="bottom"/>
            <w:shd w:val="clear" w:color="auto" w:fill="CCEEFF"/>
          </w:tcPr>
          <w:p>
            <w:pPr>
              <w:jc w:val="right"/>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S-6</w:t>
              </w:r>
            </w:hyperlink>
          </w:p>
        </w:tc>
      </w:tr>
      <w:tr>
        <w:trPr>
          <w:trHeight w:val="241"/>
        </w:trPr>
        <w:tc>
          <w:tcPr>
            <w:tcW w:w="7020" w:type="dxa"/>
            <w:vAlign w:val="bottom"/>
          </w:tcPr>
          <w:p>
            <w:pPr>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CAUTIONARY NOTE REGARDING FORWARD-LOOKING STATEMENTS</w:t>
              </w:r>
            </w:hyperlink>
          </w:p>
        </w:tc>
        <w:tc>
          <w:tcPr>
            <w:tcW w:w="1200" w:type="dxa"/>
            <w:vAlign w:val="bottom"/>
          </w:tcPr>
          <w:p>
            <w:pPr>
              <w:jc w:val="right"/>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S-7</w:t>
              </w:r>
            </w:hyperlink>
          </w:p>
        </w:tc>
      </w:tr>
      <w:tr>
        <w:trPr>
          <w:trHeight w:val="245"/>
        </w:trPr>
        <w:tc>
          <w:tcPr>
            <w:tcW w:w="7020" w:type="dxa"/>
            <w:vAlign w:val="bottom"/>
            <w:shd w:val="clear" w:color="auto" w:fill="CCEEFF"/>
          </w:tcPr>
          <w:p>
            <w:pPr>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USE OF PROCEEDS</w:t>
              </w:r>
            </w:hyperlink>
          </w:p>
        </w:tc>
        <w:tc>
          <w:tcPr>
            <w:tcW w:w="1200" w:type="dxa"/>
            <w:vAlign w:val="bottom"/>
            <w:shd w:val="clear" w:color="auto" w:fill="CCEEFF"/>
          </w:tcPr>
          <w:p>
            <w:pPr>
              <w:jc w:val="right"/>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S-8</w:t>
              </w:r>
            </w:hyperlink>
          </w:p>
        </w:tc>
      </w:tr>
      <w:tr>
        <w:trPr>
          <w:trHeight w:val="241"/>
        </w:trPr>
        <w:tc>
          <w:tcPr>
            <w:tcW w:w="7020" w:type="dxa"/>
            <w:vAlign w:val="bottom"/>
          </w:tcPr>
          <w:p>
            <w:pPr>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DIVIDEND POLICY</w:t>
              </w:r>
            </w:hyperlink>
          </w:p>
        </w:tc>
        <w:tc>
          <w:tcPr>
            <w:tcW w:w="1200" w:type="dxa"/>
            <w:vAlign w:val="bottom"/>
          </w:tcPr>
          <w:p>
            <w:pPr>
              <w:jc w:val="right"/>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S-8</w:t>
              </w:r>
            </w:hyperlink>
          </w:p>
        </w:tc>
      </w:tr>
      <w:tr>
        <w:trPr>
          <w:trHeight w:val="245"/>
        </w:trPr>
        <w:tc>
          <w:tcPr>
            <w:tcW w:w="7020" w:type="dxa"/>
            <w:vAlign w:val="bottom"/>
            <w:shd w:val="clear" w:color="auto" w:fill="CCEEFF"/>
          </w:tcPr>
          <w:p>
            <w:pPr>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DILUTION</w:t>
              </w:r>
            </w:hyperlink>
          </w:p>
        </w:tc>
        <w:tc>
          <w:tcPr>
            <w:tcW w:w="1200" w:type="dxa"/>
            <w:vAlign w:val="bottom"/>
            <w:shd w:val="clear" w:color="auto" w:fill="CCEEFF"/>
          </w:tcPr>
          <w:p>
            <w:pPr>
              <w:jc w:val="right"/>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S-9</w:t>
              </w:r>
            </w:hyperlink>
          </w:p>
        </w:tc>
      </w:tr>
      <w:tr>
        <w:trPr>
          <w:trHeight w:val="241"/>
        </w:trPr>
        <w:tc>
          <w:tcPr>
            <w:tcW w:w="7020" w:type="dxa"/>
            <w:vAlign w:val="bottom"/>
          </w:tcPr>
          <w:p>
            <w:pPr>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PLAN OF DISTRIBUTION</w:t>
              </w:r>
            </w:hyperlink>
          </w:p>
        </w:tc>
        <w:tc>
          <w:tcPr>
            <w:tcW w:w="1200" w:type="dxa"/>
            <w:vAlign w:val="bottom"/>
          </w:tcPr>
          <w:p>
            <w:pPr>
              <w:jc w:val="right"/>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S-10</w:t>
              </w:r>
            </w:hyperlink>
          </w:p>
        </w:tc>
      </w:tr>
      <w:tr>
        <w:trPr>
          <w:trHeight w:val="245"/>
        </w:trPr>
        <w:tc>
          <w:tcPr>
            <w:tcW w:w="7020" w:type="dxa"/>
            <w:vAlign w:val="bottom"/>
            <w:shd w:val="clear" w:color="auto" w:fill="CCEEFF"/>
          </w:tcPr>
          <w:p>
            <w:pPr>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LEGAL MATTERS</w:t>
              </w:r>
            </w:hyperlink>
          </w:p>
        </w:tc>
        <w:tc>
          <w:tcPr>
            <w:tcW w:w="1200" w:type="dxa"/>
            <w:vAlign w:val="bottom"/>
            <w:shd w:val="clear" w:color="auto" w:fill="CCEEFF"/>
          </w:tcPr>
          <w:p>
            <w:pPr>
              <w:jc w:val="right"/>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S-12</w:t>
              </w:r>
            </w:hyperlink>
          </w:p>
        </w:tc>
      </w:tr>
      <w:tr>
        <w:trPr>
          <w:trHeight w:val="239"/>
        </w:trPr>
        <w:tc>
          <w:tcPr>
            <w:tcW w:w="7020" w:type="dxa"/>
            <w:vAlign w:val="bottom"/>
          </w:tcPr>
          <w:p>
            <w:pPr>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EXPERTS</w:t>
              </w:r>
            </w:hyperlink>
          </w:p>
        </w:tc>
        <w:tc>
          <w:tcPr>
            <w:tcW w:w="1200" w:type="dxa"/>
            <w:vAlign w:val="bottom"/>
          </w:tcPr>
          <w:p>
            <w:pPr>
              <w:jc w:val="right"/>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S-12</w:t>
              </w:r>
            </w:hyperlink>
          </w:p>
        </w:tc>
      </w:tr>
      <w:tr>
        <w:trPr>
          <w:trHeight w:val="139"/>
        </w:trPr>
        <w:tc>
          <w:tcPr>
            <w:tcW w:w="70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5743575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ABOUT THIS PROSPECTUS SUPPLEMENT</w:t>
      </w:r>
    </w:p>
    <w:p>
      <w:pPr>
        <w:spacing w:after="0" w:line="363" w:lineRule="exact"/>
        <w:rPr>
          <w:sz w:val="20"/>
          <w:szCs w:val="20"/>
          <w:color w:val="auto"/>
        </w:rPr>
      </w:pPr>
    </w:p>
    <w:p>
      <w:pPr>
        <w:ind w:left="1260" w:right="759"/>
        <w:spacing w:after="0" w:line="267" w:lineRule="auto"/>
        <w:rPr>
          <w:sz w:val="20"/>
          <w:szCs w:val="20"/>
          <w:color w:val="auto"/>
        </w:rPr>
      </w:pPr>
      <w:r>
        <w:rPr>
          <w:rFonts w:ascii="Arial" w:cs="Arial" w:eastAsia="Arial" w:hAnsi="Arial"/>
          <w:sz w:val="17"/>
          <w:szCs w:val="17"/>
          <w:color w:val="auto"/>
        </w:rPr>
        <w:t>This prospectus supplement is part of a registration statement that we have filed with the Securities and Exchange Commission, or SEC, utilizing a “shelf” registration process, and relates to the offering of our common stock. Before buying any of the common stock that we are offering, we urge you to carefully read this prospectus supplement, the accompanying base prospectus and all of the information incorporated by reference herein and therein, as well as the additional information described under the heading “Where You Can Find More Information; Incorporation by Reference.” These documents contain important information that you should consider when making your investment decision.</w:t>
      </w:r>
    </w:p>
    <w:p>
      <w:pPr>
        <w:spacing w:after="0" w:line="138"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We provide information to you about this offering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30" w:lineRule="exact"/>
        <w:rPr>
          <w:sz w:val="20"/>
          <w:szCs w:val="20"/>
          <w:color w:val="auto"/>
        </w:rPr>
      </w:pPr>
    </w:p>
    <w:p>
      <w:pPr>
        <w:ind w:left="1260" w:right="699"/>
        <w:spacing w:after="0" w:line="284"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supplement, the accompanying base prospectus and any free writing prospectus that we may authorize for use in connection with this offering. We have not, and Jefferies has not, authorized anyone to provide you with different information. If anyone provides you with different or inconsistent information, you should not rely on it. We are not, and Jefferies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13" w:lineRule="exact"/>
        <w:rPr>
          <w:sz w:val="20"/>
          <w:szCs w:val="20"/>
          <w:color w:val="auto"/>
        </w:rPr>
      </w:pPr>
    </w:p>
    <w:p>
      <w:pPr>
        <w:ind w:left="1260" w:right="979"/>
        <w:spacing w:after="0" w:line="270" w:lineRule="auto"/>
        <w:rPr>
          <w:sz w:val="20"/>
          <w:szCs w:val="20"/>
          <w:color w:val="auto"/>
        </w:rPr>
      </w:pPr>
      <w:r>
        <w:rPr>
          <w:rFonts w:ascii="Arial" w:cs="Arial" w:eastAsia="Arial" w:hAnsi="Arial"/>
          <w:sz w:val="17"/>
          <w:szCs w:val="17"/>
          <w:color w:val="auto"/>
        </w:rPr>
        <w:t>When we refer to “Selecta,” “we,” “our,” “us,” the “Company” and “our company” in this prospectus supplement, we mean Selecta Biosciences, Inc., unless otherwise specified. When we refer to “you,” we mean the holders of the applicable series of securities.</w:t>
      </w:r>
    </w:p>
    <w:p>
      <w:pPr>
        <w:spacing w:after="0" w:line="137" w:lineRule="exact"/>
        <w:rPr>
          <w:sz w:val="20"/>
          <w:szCs w:val="20"/>
          <w:color w:val="auto"/>
        </w:rPr>
      </w:pPr>
    </w:p>
    <w:p>
      <w:pPr>
        <w:ind w:left="1260" w:right="919"/>
        <w:spacing w:after="0" w:line="247" w:lineRule="auto"/>
        <w:rPr>
          <w:sz w:val="20"/>
          <w:szCs w:val="20"/>
          <w:color w:val="auto"/>
        </w:rPr>
      </w:pPr>
      <w:r>
        <w:rPr>
          <w:rFonts w:ascii="Arial" w:cs="Arial" w:eastAsia="Arial" w:hAnsi="Arial"/>
          <w:sz w:val="17"/>
          <w:szCs w:val="17"/>
          <w:color w:val="auto"/>
        </w:rPr>
        <w:t xml:space="preserve">We use our registered trademark, Selecta Biosciences, Inc., in this prospectus supplement. This prospectus supplement also includes trademarks, tradenames and service marks that are the property of other organizations. Solely for convenience, trademarks and tradenames referred to in this prospectus supplement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Available Information</w:t>
      </w:r>
    </w:p>
    <w:p>
      <w:pPr>
        <w:spacing w:after="0" w:line="81"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19" w:lineRule="exact"/>
        <w:rPr>
          <w:sz w:val="20"/>
          <w:szCs w:val="20"/>
          <w:color w:val="auto"/>
        </w:rPr>
      </w:pPr>
    </w:p>
    <w:p>
      <w:pPr>
        <w:ind w:left="1260" w:right="739"/>
        <w:spacing w:after="0" w:line="298" w:lineRule="auto"/>
        <w:rPr>
          <w:sz w:val="20"/>
          <w:szCs w:val="20"/>
          <w:color w:val="auto"/>
        </w:rPr>
      </w:pPr>
      <w:r>
        <w:rPr>
          <w:rFonts w:ascii="Arial" w:cs="Arial" w:eastAsia="Arial" w:hAnsi="Arial"/>
          <w:sz w:val="17"/>
          <w:szCs w:val="17"/>
          <w:color w:val="auto"/>
        </w:rPr>
        <w:t xml:space="preserve">Our web site address is </w:t>
      </w:r>
      <w:r>
        <w:rPr>
          <w:rFonts w:ascii="Arial" w:cs="Arial" w:eastAsia="Arial" w:hAnsi="Arial"/>
          <w:sz w:val="17"/>
          <w:szCs w:val="17"/>
          <w:i w:val="1"/>
          <w:iCs w:val="1"/>
          <w:color w:val="auto"/>
        </w:rPr>
        <w:t>www.selectabiosciences.com</w:t>
      </w:r>
      <w:r>
        <w:rPr>
          <w:rFonts w:ascii="Arial" w:cs="Arial" w:eastAsia="Arial" w:hAnsi="Arial"/>
          <w:sz w:val="17"/>
          <w:szCs w:val="17"/>
          <w:color w:val="auto"/>
        </w:rPr>
        <w:t>. The information on our web site, however, is not, and should not be deemed to be, a part of this prospectus supplement.</w:t>
      </w:r>
    </w:p>
    <w:p>
      <w:pPr>
        <w:spacing w:after="0" w:line="100" w:lineRule="exact"/>
        <w:rPr>
          <w:sz w:val="20"/>
          <w:szCs w:val="20"/>
          <w:color w:val="auto"/>
        </w:rPr>
      </w:pPr>
    </w:p>
    <w:p>
      <w:pPr>
        <w:ind w:left="1260" w:right="679"/>
        <w:spacing w:after="0" w:line="308" w:lineRule="auto"/>
        <w:rPr>
          <w:sz w:val="20"/>
          <w:szCs w:val="20"/>
          <w:color w:val="auto"/>
        </w:rPr>
      </w:pPr>
      <w:r>
        <w:rPr>
          <w:rFonts w:ascii="Arial" w:cs="Arial" w:eastAsia="Arial" w:hAnsi="Arial"/>
          <w:sz w:val="15"/>
          <w:szCs w:val="15"/>
          <w:color w:val="auto"/>
        </w:rPr>
        <w:t>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Incorporation by Reference</w:t>
      </w:r>
    </w:p>
    <w:p>
      <w:pPr>
        <w:spacing w:after="0" w:line="81" w:lineRule="exact"/>
        <w:rPr>
          <w:sz w:val="20"/>
          <w:szCs w:val="20"/>
          <w:color w:val="auto"/>
        </w:rPr>
      </w:pPr>
    </w:p>
    <w:p>
      <w:pPr>
        <w:ind w:left="1260" w:right="759"/>
        <w:spacing w:after="0" w:line="266" w:lineRule="auto"/>
        <w:rPr>
          <w:sz w:val="20"/>
          <w:szCs w:val="20"/>
          <w:color w:val="auto"/>
        </w:rPr>
      </w:pPr>
      <w:r>
        <w:rPr>
          <w:rFonts w:ascii="Arial" w:cs="Arial" w:eastAsia="Arial" w:hAnsi="Arial"/>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43" w:lineRule="exact"/>
        <w:rPr>
          <w:sz w:val="20"/>
          <w:szCs w:val="20"/>
          <w:color w:val="auto"/>
        </w:rPr>
      </w:pPr>
    </w:p>
    <w:p>
      <w:pPr>
        <w:ind w:left="1260" w:right="799"/>
        <w:spacing w:after="0" w:line="276" w:lineRule="auto"/>
        <w:rPr>
          <w:sz w:val="20"/>
          <w:szCs w:val="20"/>
          <w:color w:val="auto"/>
        </w:rPr>
      </w:pPr>
      <w:r>
        <w:rPr>
          <w:rFonts w:ascii="Arial" w:cs="Arial" w:eastAsia="Arial" w:hAnsi="Arial"/>
          <w:sz w:val="17"/>
          <w:szCs w:val="17"/>
          <w:color w:val="auto"/>
        </w:rPr>
        <w:t>This prospectus supplement incorporates by reference the documents set forth below that have previously been filed with the SEC:</w:t>
      </w:r>
    </w:p>
    <w:p>
      <w:pPr>
        <w:spacing w:after="0" w:line="50" w:lineRule="exact"/>
        <w:rPr>
          <w:sz w:val="20"/>
          <w:szCs w:val="20"/>
          <w:color w:val="auto"/>
        </w:rPr>
      </w:pPr>
    </w:p>
    <w:p>
      <w:pPr>
        <w:ind w:left="1840" w:right="959" w:hanging="218"/>
        <w:spacing w:after="0" w:line="276" w:lineRule="auto"/>
        <w:tabs>
          <w:tab w:leader="none" w:pos="1840" w:val="left"/>
        </w:tabs>
        <w:numPr>
          <w:ilvl w:val="0"/>
          <w:numId w:val="21"/>
        </w:numPr>
        <w:rPr>
          <w:rFonts w:ascii="Arial" w:cs="Arial" w:eastAsia="Arial" w:hAnsi="Arial"/>
          <w:sz w:val="17"/>
          <w:szCs w:val="17"/>
          <w:u w:val="single" w:color="auto"/>
          <w:color w:val="0000EE"/>
        </w:rPr>
      </w:pPr>
      <w:hyperlink r:id="rId23">
        <w:r>
          <w:rPr>
            <w:rFonts w:ascii="Arial" w:cs="Arial" w:eastAsia="Arial" w:hAnsi="Arial"/>
            <w:sz w:val="17"/>
            <w:szCs w:val="17"/>
            <w:u w:val="single" w:color="auto"/>
            <w:color w:val="0000EE"/>
          </w:rPr>
          <w:t>Our Annual Report on Form 10-K for the year ended December 31, 2019, filed with the SEC on March 12,</w:t>
        </w:r>
      </w:hyperlink>
      <w:r>
        <w:rPr>
          <w:rFonts w:ascii="Arial" w:cs="Arial" w:eastAsia="Arial" w:hAnsi="Arial"/>
          <w:sz w:val="17"/>
          <w:szCs w:val="17"/>
          <w:u w:val="single" w:color="auto"/>
          <w:color w:val="0000EE"/>
        </w:rPr>
        <w:t xml:space="preserve"> </w:t>
      </w:r>
      <w:hyperlink r:id="rId23">
        <w:r>
          <w:rPr>
            <w:rFonts w:ascii="Arial" w:cs="Arial" w:eastAsia="Arial" w:hAnsi="Arial"/>
            <w:sz w:val="17"/>
            <w:szCs w:val="17"/>
            <w:u w:val="single" w:color="auto"/>
            <w:color w:val="0000EE"/>
          </w:rPr>
          <w:t>2020.</w:t>
        </w:r>
      </w:hyperlink>
    </w:p>
    <w:p>
      <w:pPr>
        <w:spacing w:after="0" w:line="49" w:lineRule="exact"/>
        <w:rPr>
          <w:rFonts w:ascii="Arial" w:cs="Arial" w:eastAsia="Arial" w:hAnsi="Arial"/>
          <w:sz w:val="17"/>
          <w:szCs w:val="17"/>
          <w:u w:val="single" w:color="auto"/>
          <w:color w:val="0000EE"/>
        </w:rPr>
      </w:pPr>
    </w:p>
    <w:p>
      <w:pPr>
        <w:ind w:left="1840" w:right="719" w:hanging="218"/>
        <w:spacing w:after="0" w:line="276"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for the quarters ended March 31, 2020 and June 30, 2020, filed with the SEC on </w:t>
      </w:r>
      <w:hyperlink r:id="rId25">
        <w:r>
          <w:rPr>
            <w:rFonts w:ascii="Arial" w:cs="Arial" w:eastAsia="Arial" w:hAnsi="Arial"/>
            <w:sz w:val="17"/>
            <w:szCs w:val="17"/>
            <w:u w:val="single" w:color="auto"/>
            <w:color w:val="0000EE"/>
          </w:rPr>
          <w:t>May 7,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26">
        <w:r>
          <w:rPr>
            <w:rFonts w:ascii="Arial" w:cs="Arial" w:eastAsia="Arial" w:hAnsi="Arial"/>
            <w:sz w:val="17"/>
            <w:szCs w:val="17"/>
            <w:u w:val="single" w:color="auto"/>
            <w:color w:val="0000EE"/>
          </w:rPr>
          <w:t>August 6, 2020</w:t>
        </w:r>
      </w:hyperlink>
      <w:r>
        <w:rPr>
          <w:rFonts w:ascii="Arial" w:cs="Arial" w:eastAsia="Arial" w:hAnsi="Arial"/>
          <w:sz w:val="17"/>
          <w:szCs w:val="17"/>
          <w:color w:val="auto"/>
        </w:rPr>
        <w:t>, respectively.</w:t>
      </w:r>
    </w:p>
    <w:p>
      <w:pPr>
        <w:spacing w:after="0" w:line="63"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0000EE"/>
        </w:rPr>
      </w:pPr>
      <w:hyperlink r:id="rId24">
        <w:r>
          <w:rPr>
            <w:rFonts w:ascii="Arial" w:cs="Arial" w:eastAsia="Arial" w:hAnsi="Arial"/>
            <w:sz w:val="17"/>
            <w:szCs w:val="17"/>
            <w:u w:val="single" w:color="auto"/>
            <w:color w:val="0000EE"/>
          </w:rPr>
          <w:t>Our Definitive Proxy Statement on Schedule 14A, filed with the SEC on April 28,</w:t>
        </w:r>
        <w:r>
          <w:rPr>
            <w:rFonts w:ascii="Arial" w:cs="Arial" w:eastAsia="Arial" w:hAnsi="Arial"/>
            <w:sz w:val="17"/>
            <w:szCs w:val="17"/>
            <w:color w:val="0000EE"/>
          </w:rPr>
          <w:t xml:space="preserve"> </w:t>
        </w:r>
      </w:hyperlink>
      <w:r>
        <w:rPr>
          <w:rFonts w:ascii="Arial" w:cs="Arial" w:eastAsia="Arial" w:hAnsi="Arial"/>
          <w:sz w:val="17"/>
          <w:szCs w:val="17"/>
          <w:color w:val="000000"/>
        </w:rPr>
        <w:t>2020.</w:t>
      </w:r>
    </w:p>
    <w:p>
      <w:pPr>
        <w:spacing w:after="0" w:line="88" w:lineRule="exact"/>
        <w:rPr>
          <w:rFonts w:ascii="Arial" w:cs="Arial" w:eastAsia="Arial" w:hAnsi="Arial"/>
          <w:sz w:val="17"/>
          <w:szCs w:val="17"/>
          <w:color w:val="0000EE"/>
        </w:rPr>
      </w:pPr>
    </w:p>
    <w:p>
      <w:pPr>
        <w:ind w:left="1840" w:right="1159" w:hanging="218"/>
        <w:spacing w:after="0" w:line="308" w:lineRule="auto"/>
        <w:tabs>
          <w:tab w:leader="none" w:pos="1840" w:val="left"/>
        </w:tabs>
        <w:numPr>
          <w:ilvl w:val="0"/>
          <w:numId w:val="21"/>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with the SEC on </w:t>
      </w:r>
      <w:hyperlink r:id="rId65">
        <w:r>
          <w:rPr>
            <w:rFonts w:ascii="Arial" w:cs="Arial" w:eastAsia="Arial" w:hAnsi="Arial"/>
            <w:sz w:val="16"/>
            <w:szCs w:val="16"/>
            <w:u w:val="single" w:color="auto"/>
            <w:color w:val="0000EE"/>
          </w:rPr>
          <w:t>March 31, 2020</w:t>
        </w:r>
      </w:hyperlink>
      <w:r>
        <w:rPr>
          <w:rFonts w:ascii="Arial" w:cs="Arial" w:eastAsia="Arial" w:hAnsi="Arial"/>
          <w:sz w:val="16"/>
          <w:szCs w:val="16"/>
          <w:color w:val="auto"/>
        </w:rPr>
        <w:t xml:space="preserve">, </w:t>
      </w:r>
      <w:hyperlink r:id="rId66">
        <w:r>
          <w:rPr>
            <w:rFonts w:ascii="Arial" w:cs="Arial" w:eastAsia="Arial" w:hAnsi="Arial"/>
            <w:sz w:val="16"/>
            <w:szCs w:val="16"/>
            <w:u w:val="single" w:color="auto"/>
            <w:color w:val="0000EE"/>
          </w:rPr>
          <w:t>April 27, 2020</w:t>
        </w:r>
      </w:hyperlink>
      <w:r>
        <w:rPr>
          <w:rFonts w:ascii="Arial" w:cs="Arial" w:eastAsia="Arial" w:hAnsi="Arial"/>
          <w:sz w:val="16"/>
          <w:szCs w:val="16"/>
          <w:color w:val="auto"/>
        </w:rPr>
        <w:t xml:space="preserve">, </w:t>
      </w:r>
      <w:hyperlink r:id="rId27">
        <w:r>
          <w:rPr>
            <w:rFonts w:ascii="Arial" w:cs="Arial" w:eastAsia="Arial" w:hAnsi="Arial"/>
            <w:sz w:val="16"/>
            <w:szCs w:val="16"/>
            <w:u w:val="single" w:color="auto"/>
            <w:color w:val="0000EE"/>
          </w:rPr>
          <w:t>June 12, 2020</w:t>
        </w:r>
      </w:hyperlink>
      <w:r>
        <w:rPr>
          <w:rFonts w:ascii="Arial" w:cs="Arial" w:eastAsia="Arial" w:hAnsi="Arial"/>
          <w:sz w:val="16"/>
          <w:szCs w:val="16"/>
          <w:color w:val="auto"/>
        </w:rPr>
        <w:t xml:space="preserve">, </w:t>
      </w:r>
      <w:hyperlink r:id="rId28">
        <w:r>
          <w:rPr>
            <w:rFonts w:ascii="Arial" w:cs="Arial" w:eastAsia="Arial" w:hAnsi="Arial"/>
            <w:sz w:val="16"/>
            <w:szCs w:val="16"/>
            <w:u w:val="single" w:color="auto"/>
            <w:color w:val="0000EE"/>
          </w:rPr>
          <w:t>June 18, 2020</w:t>
        </w:r>
        <w:r>
          <w:rPr>
            <w:rFonts w:ascii="Arial" w:cs="Arial" w:eastAsia="Arial" w:hAnsi="Arial"/>
            <w:sz w:val="16"/>
            <w:szCs w:val="16"/>
            <w:color w:val="0000EE"/>
          </w:rPr>
          <w:t xml:space="preserve"> </w:t>
        </w:r>
      </w:hyperlink>
      <w:r>
        <w:rPr>
          <w:rFonts w:ascii="Arial" w:cs="Arial" w:eastAsia="Arial" w:hAnsi="Arial"/>
          <w:sz w:val="16"/>
          <w:szCs w:val="16"/>
          <w:color w:val="000000"/>
        </w:rPr>
        <w:t>(with</w:t>
      </w:r>
      <w:r>
        <w:rPr>
          <w:rFonts w:ascii="Arial" w:cs="Arial" w:eastAsia="Arial" w:hAnsi="Arial"/>
          <w:sz w:val="16"/>
          <w:szCs w:val="16"/>
          <w:color w:val="0000EE"/>
        </w:rPr>
        <w:t xml:space="preserve"> </w:t>
      </w:r>
      <w:r>
        <w:rPr>
          <w:rFonts w:ascii="Arial" w:cs="Arial" w:eastAsia="Arial" w:hAnsi="Arial"/>
          <w:sz w:val="16"/>
          <w:szCs w:val="16"/>
          <w:color w:val="000000"/>
        </w:rPr>
        <w:t>respect to Items 1.01 and 8.01),</w:t>
      </w:r>
      <w:r>
        <w:rPr>
          <w:rFonts w:ascii="Arial" w:cs="Arial" w:eastAsia="Arial" w:hAnsi="Arial"/>
          <w:sz w:val="16"/>
          <w:szCs w:val="16"/>
          <w:color w:val="0000EE"/>
        </w:rPr>
        <w:t xml:space="preserve"> </w:t>
      </w:r>
      <w:hyperlink r:id="rId29">
        <w:r>
          <w:rPr>
            <w:rFonts w:ascii="Arial" w:cs="Arial" w:eastAsia="Arial" w:hAnsi="Arial"/>
            <w:sz w:val="16"/>
            <w:szCs w:val="16"/>
            <w:u w:val="single" w:color="auto"/>
            <w:color w:val="0000EE"/>
          </w:rPr>
          <w:t xml:space="preserve">June 22, 2020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30">
        <w:r>
          <w:rPr>
            <w:rFonts w:ascii="Arial" w:cs="Arial" w:eastAsia="Arial" w:hAnsi="Arial"/>
            <w:sz w:val="16"/>
            <w:szCs w:val="16"/>
            <w:u w:val="single" w:color="auto"/>
            <w:color w:val="0000EE"/>
          </w:rPr>
          <w:t>June 25, 2020</w:t>
        </w:r>
      </w:hyperlink>
      <w:r>
        <w:rPr>
          <w:rFonts w:ascii="Arial" w:cs="Arial" w:eastAsia="Arial" w:hAnsi="Arial"/>
          <w:sz w:val="16"/>
          <w:szCs w:val="16"/>
          <w:color w:val="000000"/>
        </w:rPr>
        <w:t>.</w:t>
      </w:r>
    </w:p>
    <w:p>
      <w:pPr>
        <w:spacing w:after="0" w:line="27" w:lineRule="exact"/>
        <w:rPr>
          <w:rFonts w:ascii="Arial" w:cs="Arial" w:eastAsia="Arial" w:hAnsi="Arial"/>
          <w:sz w:val="16"/>
          <w:szCs w:val="16"/>
          <w:color w:val="0000EE"/>
        </w:rPr>
      </w:pPr>
    </w:p>
    <w:p>
      <w:pPr>
        <w:ind w:left="1840" w:right="999" w:hanging="218"/>
        <w:spacing w:after="0" w:line="270" w:lineRule="auto"/>
        <w:tabs>
          <w:tab w:leader="none" w:pos="1840" w:val="left"/>
        </w:tabs>
        <w:numPr>
          <w:ilvl w:val="0"/>
          <w:numId w:val="21"/>
        </w:numPr>
        <w:rPr>
          <w:rFonts w:ascii="Arial" w:cs="Arial" w:eastAsia="Arial" w:hAnsi="Arial"/>
          <w:sz w:val="17"/>
          <w:szCs w:val="17"/>
          <w:u w:val="single" w:color="auto"/>
          <w:color w:val="0000EE"/>
        </w:rPr>
      </w:pPr>
      <w:hyperlink r:id="rId31">
        <w:r>
          <w:rPr>
            <w:rFonts w:ascii="Arial" w:cs="Arial" w:eastAsia="Arial" w:hAnsi="Arial"/>
            <w:sz w:val="17"/>
            <w:szCs w:val="17"/>
            <w:u w:val="single" w:color="auto"/>
            <w:color w:val="0000EE"/>
          </w:rPr>
          <w:t>The description of our Common Stock contained in our Registration Statement on Form 8-A, filed with the</w:t>
        </w:r>
      </w:hyperlink>
      <w:r>
        <w:rPr>
          <w:rFonts w:ascii="Arial" w:cs="Arial" w:eastAsia="Arial" w:hAnsi="Arial"/>
          <w:sz w:val="17"/>
          <w:szCs w:val="17"/>
          <w:u w:val="single" w:color="auto"/>
          <w:color w:val="0000EE"/>
        </w:rPr>
        <w:t xml:space="preserve"> </w:t>
      </w:r>
      <w:hyperlink r:id="rId31">
        <w:r>
          <w:rPr>
            <w:rFonts w:ascii="Arial" w:cs="Arial" w:eastAsia="Arial" w:hAnsi="Arial"/>
            <w:sz w:val="17"/>
            <w:szCs w:val="17"/>
            <w:u w:val="single" w:color="auto"/>
            <w:color w:val="0000EE"/>
          </w:rPr>
          <w:t>SEC on June 8, 2016, and any amendment or report filed with the SEC for the purpose of updating the</w:t>
        </w:r>
      </w:hyperlink>
      <w:r>
        <w:rPr>
          <w:rFonts w:ascii="Arial" w:cs="Arial" w:eastAsia="Arial" w:hAnsi="Arial"/>
          <w:sz w:val="17"/>
          <w:szCs w:val="17"/>
          <w:u w:val="single" w:color="auto"/>
          <w:color w:val="0000EE"/>
        </w:rPr>
        <w:t xml:space="preserve"> </w:t>
      </w:r>
      <w:hyperlink r:id="rId31">
        <w:r>
          <w:rPr>
            <w:rFonts w:ascii="Arial" w:cs="Arial" w:eastAsia="Arial" w:hAnsi="Arial"/>
            <w:sz w:val="17"/>
            <w:szCs w:val="17"/>
            <w:u w:val="single" w:color="auto"/>
            <w:color w:val="0000EE"/>
          </w:rPr>
          <w:t>description.</w:t>
        </w:r>
      </w:hyperlink>
    </w:p>
    <w:p>
      <w:pPr>
        <w:spacing w:after="0" w:line="137" w:lineRule="exact"/>
        <w:rPr>
          <w:rFonts w:ascii="Arial" w:cs="Arial" w:eastAsia="Arial" w:hAnsi="Arial"/>
          <w:sz w:val="17"/>
          <w:szCs w:val="17"/>
          <w:u w:val="single" w:color="auto"/>
          <w:color w:val="0000EE"/>
        </w:rPr>
      </w:pPr>
    </w:p>
    <w:p>
      <w:pPr>
        <w:ind w:left="1260" w:right="679"/>
        <w:spacing w:after="0" w:line="311" w:lineRule="auto"/>
        <w:rPr>
          <w:sz w:val="20"/>
          <w:szCs w:val="20"/>
          <w:color w:val="auto"/>
        </w:rPr>
      </w:pPr>
      <w:r>
        <w:rPr>
          <w:rFonts w:ascii="Arial" w:cs="Arial" w:eastAsia="Arial" w:hAnsi="Arial"/>
          <w:sz w:val="15"/>
          <w:szCs w:val="15"/>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 this prospectus supplement and deemed to be part of this prospectus supplement from the date of the filing of such reports and documents.</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91" w:lineRule="exact"/>
        <w:rPr>
          <w:rFonts w:ascii="Arial" w:cs="Arial" w:eastAsia="Arial" w:hAnsi="Arial"/>
          <w:sz w:val="17"/>
          <w:szCs w:val="17"/>
          <w:u w:val="single" w:color="auto"/>
          <w:color w:val="0000EE"/>
        </w:rPr>
      </w:pPr>
    </w:p>
    <w:p>
      <w:pPr>
        <w:ind w:left="5220"/>
        <w:spacing w:after="0"/>
        <w:rPr>
          <w:sz w:val="20"/>
          <w:szCs w:val="20"/>
          <w:color w:val="auto"/>
        </w:rPr>
      </w:pPr>
      <w:r>
        <w:rPr>
          <w:rFonts w:ascii="Arial" w:cs="Arial" w:eastAsia="Arial" w:hAnsi="Arial"/>
          <w:sz w:val="16"/>
          <w:szCs w:val="16"/>
          <w:color w:val="auto"/>
        </w:rPr>
        <w:t>S-2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1019"/>
        <w:spacing w:after="0" w:line="276" w:lineRule="auto"/>
        <w:rPr>
          <w:sz w:val="20"/>
          <w:szCs w:val="20"/>
          <w:color w:val="auto"/>
        </w:rPr>
      </w:pPr>
      <w:r>
        <w:rPr>
          <w:rFonts w:ascii="Arial" w:cs="Arial" w:eastAsia="Arial" w:hAnsi="Arial"/>
          <w:sz w:val="17"/>
          <w:szCs w:val="17"/>
          <w:color w:val="auto"/>
        </w:rPr>
        <w:t>You may request a free copy of any of the documents incorporated by reference in this prospectus supplement by writing or telephoning us at the following address:</w:t>
      </w:r>
    </w:p>
    <w:p>
      <w:pPr>
        <w:spacing w:after="0" w:line="111"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Selecta Biosciences, Inc.</w:t>
      </w:r>
    </w:p>
    <w:p>
      <w:pPr>
        <w:spacing w:after="0" w:line="29"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65 Grove Street</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Watertown, MA 02472</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(617) 923-1400</w:t>
      </w:r>
    </w:p>
    <w:p>
      <w:pPr>
        <w:spacing w:after="0" w:line="180" w:lineRule="exact"/>
        <w:rPr>
          <w:sz w:val="20"/>
          <w:szCs w:val="20"/>
          <w:color w:val="auto"/>
        </w:rPr>
      </w:pPr>
    </w:p>
    <w:p>
      <w:pPr>
        <w:ind w:left="1260" w:right="799"/>
        <w:spacing w:after="0" w:line="276"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THE COMPANY</w:t>
      </w:r>
    </w:p>
    <w:p>
      <w:pPr>
        <w:spacing w:after="0" w:line="363"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We are a clinical-stage biopharmaceutical company using our ImmTOR platform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39"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Our proprietary tolerogenic ImmTOR platform encapsulates an immunomodulator in biodegradable nanoparticles and is designed to mitigate the formation of anti-drug antibodies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137" w:lineRule="exact"/>
        <w:rPr>
          <w:sz w:val="20"/>
          <w:szCs w:val="20"/>
          <w:color w:val="auto"/>
        </w:rPr>
      </w:pPr>
    </w:p>
    <w:p>
      <w:pPr>
        <w:ind w:left="1260" w:right="699"/>
        <w:spacing w:after="0" w:line="345" w:lineRule="auto"/>
        <w:rPr>
          <w:sz w:val="20"/>
          <w:szCs w:val="20"/>
          <w:color w:val="auto"/>
        </w:rPr>
      </w:pPr>
      <w:r>
        <w:rPr>
          <w:rFonts w:ascii="Arial" w:cs="Arial" w:eastAsia="Arial" w:hAnsi="Arial"/>
          <w:sz w:val="15"/>
          <w:szCs w:val="15"/>
          <w:color w:val="auto"/>
        </w:rPr>
        <w:t>We filed our certificate of incorporation with the Secretary of State of Delaware on December 10, 2007. Our principal executive offices are located at 65 Grove Street, Watertown, MA 02472, and our telephone number is (617) 923-1400.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139"/>
          </w:cols>
          <w:pgMar w:left="320" w:top="131" w:right="1440" w:bottom="1440" w:gutter="0" w:footer="0" w:header="0"/>
        </w:sectPr>
      </w:pPr>
    </w:p>
    <w:p>
      <w:pPr>
        <w:spacing w:after="0" w:line="350" w:lineRule="exact"/>
        <w:rPr>
          <w:sz w:val="20"/>
          <w:szCs w:val="20"/>
          <w:color w:val="auto"/>
        </w:rPr>
      </w:pPr>
    </w:p>
    <w:p>
      <w:pPr>
        <w:jc w:val="center"/>
        <w:ind w:left="760"/>
        <w:spacing w:after="0"/>
        <w:rPr>
          <w:sz w:val="20"/>
          <w:szCs w:val="20"/>
          <w:color w:val="auto"/>
        </w:rPr>
      </w:pPr>
      <w:r>
        <w:rPr>
          <w:rFonts w:ascii="Arial" w:cs="Arial" w:eastAsia="Arial" w:hAnsi="Arial"/>
          <w:sz w:val="15"/>
          <w:szCs w:val="15"/>
          <w:color w:val="auto"/>
        </w:rPr>
        <w:t>Common stock offered by us</w:t>
      </w:r>
    </w:p>
    <w:p>
      <w:pPr>
        <w:spacing w:after="0" w:line="200" w:lineRule="exact"/>
        <w:rPr>
          <w:sz w:val="20"/>
          <w:szCs w:val="20"/>
          <w:color w:val="auto"/>
        </w:rPr>
      </w:pPr>
    </w:p>
    <w:p>
      <w:pPr>
        <w:spacing w:after="0" w:line="38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Plan of Distribution</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right="799"/>
        <w:spacing w:after="0" w:line="276" w:lineRule="auto"/>
        <w:rPr>
          <w:sz w:val="20"/>
          <w:szCs w:val="20"/>
          <w:color w:val="auto"/>
        </w:rPr>
      </w:pPr>
      <w:r>
        <w:rPr>
          <w:rFonts w:ascii="Arial" w:cs="Arial" w:eastAsia="Arial" w:hAnsi="Arial"/>
          <w:sz w:val="17"/>
          <w:szCs w:val="17"/>
          <w:color w:val="auto"/>
        </w:rPr>
        <w:t>Shares of our common stock having an aggregate offering price of up to $50,000,000.</w:t>
      </w:r>
    </w:p>
    <w:p>
      <w:pPr>
        <w:spacing w:after="0" w:line="306" w:lineRule="exact"/>
        <w:rPr>
          <w:sz w:val="20"/>
          <w:szCs w:val="20"/>
          <w:color w:val="auto"/>
        </w:rPr>
      </w:pPr>
    </w:p>
    <w:p>
      <w:pPr>
        <w:ind w:right="679"/>
        <w:spacing w:after="0" w:line="315" w:lineRule="auto"/>
        <w:rPr>
          <w:rFonts w:ascii="Arial" w:cs="Arial" w:eastAsia="Arial" w:hAnsi="Arial"/>
          <w:sz w:val="15"/>
          <w:szCs w:val="15"/>
          <w:color w:val="auto"/>
        </w:rPr>
      </w:pPr>
      <w:r>
        <w:rPr>
          <w:rFonts w:ascii="Arial" w:cs="Arial" w:eastAsia="Arial" w:hAnsi="Arial"/>
          <w:sz w:val="15"/>
          <w:szCs w:val="15"/>
          <w:color w:val="auto"/>
        </w:rPr>
        <w:t xml:space="preserve">“At the market offering” that may be made from time to time on the Nasdaq Global Market or other existing trading market for our common stock through our agent, Jefferies LLC. See the section entitled “Plan of Distribution” on page S- </w:t>
      </w:r>
      <w:hyperlink w:anchor="page42">
        <w:r>
          <w:rPr>
            <w:rFonts w:ascii="Arial" w:cs="Arial" w:eastAsia="Arial" w:hAnsi="Arial"/>
            <w:sz w:val="15"/>
            <w:szCs w:val="15"/>
            <w:u w:val="single" w:color="auto"/>
            <w:color w:val="0000EE"/>
          </w:rPr>
          <w:t>10</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this prospectus supplement.</w:t>
      </w:r>
    </w:p>
    <w:p>
      <w:pPr>
        <w:spacing w:after="0" w:line="200" w:lineRule="exact"/>
        <w:rPr>
          <w:sz w:val="20"/>
          <w:szCs w:val="20"/>
          <w:color w:val="auto"/>
        </w:rPr>
      </w:pPr>
    </w:p>
    <w:p>
      <w:pPr>
        <w:sectPr>
          <w:pgSz w:w="11900" w:h="16838" w:orient="portrait"/>
          <w:cols w:equalWidth="0" w:num="2">
            <w:col w:w="3800" w:space="720"/>
            <w:col w:w="5619"/>
          </w:cols>
          <w:pgMar w:left="320" w:top="131" w:right="1440" w:bottom="1440" w:gutter="0" w:footer="0" w:header="0"/>
          <w:type w:val="continuous"/>
        </w:sectPr>
      </w:pPr>
    </w:p>
    <w:p>
      <w:pPr>
        <w:spacing w:after="0" w:line="69" w:lineRule="exact"/>
        <w:rPr>
          <w:sz w:val="20"/>
          <w:szCs w:val="20"/>
          <w:color w:val="auto"/>
        </w:rPr>
      </w:pPr>
    </w:p>
    <w:p>
      <w:pPr>
        <w:ind w:left="1280"/>
        <w:spacing w:after="0"/>
        <w:tabs>
          <w:tab w:leader="none" w:pos="4500" w:val="left"/>
        </w:tabs>
        <w:rPr>
          <w:sz w:val="20"/>
          <w:szCs w:val="20"/>
          <w:color w:val="auto"/>
        </w:rPr>
      </w:pPr>
      <w:r>
        <w:rPr>
          <w:rFonts w:ascii="Arial" w:cs="Arial" w:eastAsia="Arial" w:hAnsi="Arial"/>
          <w:sz w:val="17"/>
          <w:szCs w:val="17"/>
          <w:color w:val="auto"/>
        </w:rPr>
        <w:t>Use of Proceeds</w:t>
      </w:r>
      <w:r>
        <w:rPr>
          <w:sz w:val="20"/>
          <w:szCs w:val="20"/>
          <w:color w:val="auto"/>
        </w:rPr>
        <w:tab/>
      </w:r>
      <w:r>
        <w:rPr>
          <w:rFonts w:ascii="Arial" w:cs="Arial" w:eastAsia="Arial" w:hAnsi="Arial"/>
          <w:sz w:val="15"/>
          <w:szCs w:val="15"/>
          <w:color w:val="auto"/>
        </w:rPr>
        <w:t>We intend to use the net proceeds of this offering for general corporate</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purposes, which may include research and development expenditures,</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acquisitions or in-licenses of complementary companies, medicines or</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technologies, expenditures to build our initial development and</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commercial capabilities, working capital and capital expenditures. See</w:t>
      </w:r>
    </w:p>
    <w:p>
      <w:pPr>
        <w:spacing w:after="0" w:line="44" w:lineRule="exact"/>
        <w:rPr>
          <w:sz w:val="20"/>
          <w:szCs w:val="20"/>
          <w:color w:val="auto"/>
        </w:rPr>
      </w:pPr>
    </w:p>
    <w:p>
      <w:pPr>
        <w:ind w:left="4520"/>
        <w:spacing w:after="0"/>
        <w:rPr>
          <w:rFonts w:ascii="Arial" w:cs="Arial" w:eastAsia="Arial" w:hAnsi="Arial"/>
          <w:sz w:val="16"/>
          <w:szCs w:val="16"/>
          <w:color w:val="auto"/>
        </w:rPr>
      </w:pPr>
      <w:r>
        <w:rPr>
          <w:rFonts w:ascii="Arial" w:cs="Arial" w:eastAsia="Arial" w:hAnsi="Arial"/>
          <w:sz w:val="16"/>
          <w:szCs w:val="16"/>
          <w:color w:val="auto"/>
        </w:rPr>
        <w:t xml:space="preserve">the section entitled “Use of Proceeds” on page S- </w:t>
      </w:r>
      <w:hyperlink w:anchor="page40">
        <w:r>
          <w:rPr>
            <w:rFonts w:ascii="Arial" w:cs="Arial" w:eastAsia="Arial" w:hAnsi="Arial"/>
            <w:sz w:val="16"/>
            <w:szCs w:val="16"/>
            <w:u w:val="single" w:color="auto"/>
            <w:color w:val="0000EE"/>
          </w:rPr>
          <w:t>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prospectus</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supplement.</w:t>
      </w:r>
    </w:p>
    <w:p>
      <w:pPr>
        <w:spacing w:after="0" w:line="331" w:lineRule="exact"/>
        <w:rPr>
          <w:sz w:val="20"/>
          <w:szCs w:val="20"/>
          <w:color w:val="auto"/>
        </w:rPr>
      </w:pPr>
    </w:p>
    <w:p>
      <w:pPr>
        <w:ind w:left="1280"/>
        <w:spacing w:after="0"/>
        <w:tabs>
          <w:tab w:leader="none" w:pos="4500" w:val="left"/>
        </w:tabs>
        <w:rPr>
          <w:rFonts w:ascii="Arial" w:cs="Arial" w:eastAsia="Arial" w:hAnsi="Arial"/>
          <w:sz w:val="15"/>
          <w:szCs w:val="15"/>
          <w:color w:val="auto"/>
        </w:rPr>
      </w:pPr>
      <w:r>
        <w:rPr>
          <w:rFonts w:ascii="Arial" w:cs="Arial" w:eastAsia="Arial" w:hAnsi="Arial"/>
          <w:sz w:val="17"/>
          <w:szCs w:val="17"/>
          <w:color w:val="auto"/>
        </w:rPr>
        <w:t>Risk Factors</w:t>
      </w:r>
      <w:r>
        <w:rPr>
          <w:sz w:val="20"/>
          <w:szCs w:val="20"/>
          <w:color w:val="auto"/>
        </w:rPr>
        <w:tab/>
      </w:r>
      <w:r>
        <w:rPr>
          <w:rFonts w:ascii="Arial" w:cs="Arial" w:eastAsia="Arial" w:hAnsi="Arial"/>
          <w:sz w:val="15"/>
          <w:szCs w:val="15"/>
          <w:color w:val="auto"/>
        </w:rPr>
        <w:t xml:space="preserve">See “Risk Factors” beginning on page S- </w:t>
      </w:r>
      <w:hyperlink w:anchor="page38">
        <w:r>
          <w:rPr>
            <w:rFonts w:ascii="Arial" w:cs="Arial" w:eastAsia="Arial" w:hAnsi="Arial"/>
            <w:sz w:val="15"/>
            <w:szCs w:val="15"/>
            <w:u w:val="single" w:color="auto"/>
            <w:color w:val="0000EE"/>
          </w:rPr>
          <w:t>6</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this prospectus</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supplement and the other information included in, or incorporated by</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reference into, this prospectus supplement for a discussion of certain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factors you should carefully consider before deciding to invest in shares</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of our common stock.</w:t>
      </w:r>
    </w:p>
    <w:p>
      <w:pPr>
        <w:spacing w:after="0" w:line="331" w:lineRule="exact"/>
        <w:rPr>
          <w:sz w:val="20"/>
          <w:szCs w:val="20"/>
          <w:color w:val="auto"/>
        </w:rPr>
      </w:pPr>
    </w:p>
    <w:p>
      <w:pPr>
        <w:ind w:left="1280"/>
        <w:spacing w:after="0"/>
        <w:tabs>
          <w:tab w:leader="none" w:pos="4500" w:val="left"/>
        </w:tabs>
        <w:rPr>
          <w:sz w:val="20"/>
          <w:szCs w:val="20"/>
          <w:color w:val="auto"/>
        </w:rPr>
      </w:pPr>
      <w:r>
        <w:rPr>
          <w:rFonts w:ascii="Arial" w:cs="Arial" w:eastAsia="Arial" w:hAnsi="Arial"/>
          <w:sz w:val="17"/>
          <w:szCs w:val="17"/>
          <w:color w:val="auto"/>
        </w:rPr>
        <w:t>Nasdaq Global Market symbol</w:t>
      </w:r>
      <w:r>
        <w:rPr>
          <w:sz w:val="20"/>
          <w:szCs w:val="20"/>
          <w:color w:val="auto"/>
        </w:rPr>
        <w:tab/>
      </w:r>
      <w:r>
        <w:rPr>
          <w:rFonts w:ascii="Arial" w:cs="Arial" w:eastAsia="Arial" w:hAnsi="Arial"/>
          <w:sz w:val="16"/>
          <w:szCs w:val="16"/>
          <w:color w:val="auto"/>
        </w:rPr>
        <w:t>SELB</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63" w:lineRule="exact"/>
        <w:rPr>
          <w:sz w:val="20"/>
          <w:szCs w:val="20"/>
          <w:color w:val="auto"/>
        </w:rPr>
      </w:pPr>
    </w:p>
    <w:p>
      <w:pPr>
        <w:ind w:left="1260" w:right="779"/>
        <w:spacing w:after="0" w:line="308" w:lineRule="auto"/>
        <w:rPr>
          <w:sz w:val="20"/>
          <w:szCs w:val="20"/>
          <w:color w:val="auto"/>
        </w:rPr>
      </w:pPr>
      <w:r>
        <w:rPr>
          <w:rFonts w:ascii="Arial" w:cs="Arial" w:eastAsia="Arial" w:hAnsi="Arial"/>
          <w:sz w:val="15"/>
          <w:szCs w:val="15"/>
          <w:color w:val="auto"/>
        </w:rPr>
        <w:t>Investment in any securities offered pursuant to this prospectus supplement and the accompanying base prospectus involves risks. You should carefully consider the risk factors described below and in our Quarterly Report on Form 10-Q for the quarterly period ended June 30, 2020 incorporated by reference in this prospectus supplement, any amendment or update thereto reflected in subsequent filings with the SEC, including in our Annual Reports on Form 10-K and Quarterly Reports on Form 10-Q, and all other information contained or incorporated by reference in this prospectus supplement, as updated by our subsequent filings under the Exchange Act. The occurrence of any of these risks might cause you to lose all or part of your investment in the offered securities.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Risks Relating to this Offering</w:t>
      </w:r>
    </w:p>
    <w:p>
      <w:pPr>
        <w:spacing w:after="0" w:line="144" w:lineRule="exact"/>
        <w:rPr>
          <w:sz w:val="20"/>
          <w:szCs w:val="20"/>
          <w:color w:val="auto"/>
        </w:rPr>
      </w:pPr>
    </w:p>
    <w:p>
      <w:pPr>
        <w:ind w:left="1260" w:right="779"/>
        <w:spacing w:after="0" w:line="265" w:lineRule="auto"/>
        <w:rPr>
          <w:sz w:val="20"/>
          <w:szCs w:val="20"/>
          <w:color w:val="auto"/>
        </w:rPr>
      </w:pPr>
      <w:r>
        <w:rPr>
          <w:rFonts w:ascii="Arial" w:cs="Arial" w:eastAsia="Arial" w:hAnsi="Arial"/>
          <w:sz w:val="17"/>
          <w:szCs w:val="17"/>
          <w:i w:val="1"/>
          <w:iCs w:val="1"/>
          <w:color w:val="auto"/>
        </w:rPr>
        <w:t>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you.</w:t>
      </w:r>
    </w:p>
    <w:p>
      <w:pPr>
        <w:spacing w:after="0" w:line="18" w:lineRule="exact"/>
        <w:rPr>
          <w:sz w:val="20"/>
          <w:szCs w:val="20"/>
          <w:color w:val="auto"/>
        </w:rPr>
      </w:pPr>
    </w:p>
    <w:p>
      <w:pPr>
        <w:ind w:left="1260" w:right="659"/>
        <w:spacing w:after="0" w:line="305" w:lineRule="auto"/>
        <w:rPr>
          <w:sz w:val="20"/>
          <w:szCs w:val="20"/>
          <w:color w:val="auto"/>
        </w:rPr>
      </w:pPr>
      <w:r>
        <w:rPr>
          <w:rFonts w:ascii="Arial" w:cs="Arial" w:eastAsia="Arial" w:hAnsi="Arial"/>
          <w:sz w:val="15"/>
          <w:szCs w:val="15"/>
          <w:color w:val="auto"/>
        </w:rPr>
        <w:t>The price per share of our common stock being offered may be higher than the net tangible book value per share of our outstanding common stock prior to this offering. Assuming that an aggregate of 17,985,611 shares of our common stock are sold at a price of $2.78 per share, the last reported sale price of our common stock on the Nasdaq Global Market on August 5, 2020, for aggregate gross proceeds of approximately $50 million, and after deducting commissions and estimated offering expenses payable by us, new investors in this offering will incur immediate dilution of $2.48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We have broad discretion in the use of the net proceeds from this offering and may not use them effectively.</w:t>
      </w:r>
    </w:p>
    <w:p>
      <w:pPr>
        <w:spacing w:after="0" w:line="66" w:lineRule="exact"/>
        <w:rPr>
          <w:sz w:val="20"/>
          <w:szCs w:val="20"/>
          <w:color w:val="auto"/>
        </w:rPr>
      </w:pPr>
    </w:p>
    <w:p>
      <w:pPr>
        <w:ind w:left="1260" w:right="679"/>
        <w:spacing w:after="0" w:line="283"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for general corporate purposes, which may include research and development expenditures, acquisitions or in-licenses of complementary companies, medicines or technologies, expenditures to build our initial development and commercial capabilities, working capital and capital expenditures. The failure by our management to apply these funds effectively could harm our business. Pending their use, we plan to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63" w:lineRule="exact"/>
        <w:rPr>
          <w:sz w:val="20"/>
          <w:szCs w:val="20"/>
          <w:color w:val="auto"/>
        </w:rPr>
      </w:pPr>
    </w:p>
    <w:p>
      <w:pPr>
        <w:ind w:left="1260" w:right="679"/>
        <w:spacing w:after="0" w:line="304" w:lineRule="auto"/>
        <w:rPr>
          <w:sz w:val="20"/>
          <w:szCs w:val="20"/>
          <w:color w:val="auto"/>
        </w:rPr>
      </w:pPr>
      <w:r>
        <w:rPr>
          <w:rFonts w:ascii="Arial" w:cs="Arial" w:eastAsia="Arial" w:hAnsi="Arial"/>
          <w:sz w:val="15"/>
          <w:szCs w:val="15"/>
          <w:color w:val="auto"/>
        </w:rPr>
        <w:t>This prospectus supplement, the accompanying base prospectus and the documents incorporated by reference herein and therein and any free writing prospectus that we have authorized for use in connection with this offering may contain forward-looking statements. All statements other than statements of historical facts contained in this prospectus supplement, the accompanying base prospectus and the documents incorporated by reference herein and therein and any free writing prospectus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base prospectus and the documents incorporated by reference herein and therein and any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16" w:lineRule="exact"/>
        <w:rPr>
          <w:sz w:val="20"/>
          <w:szCs w:val="20"/>
          <w:color w:val="auto"/>
        </w:rPr>
      </w:pPr>
    </w:p>
    <w:p>
      <w:pPr>
        <w:ind w:left="1260" w:right="679"/>
        <w:spacing w:after="0" w:line="303" w:lineRule="auto"/>
        <w:rPr>
          <w:sz w:val="20"/>
          <w:szCs w:val="20"/>
          <w:color w:val="auto"/>
        </w:rPr>
      </w:pPr>
      <w:r>
        <w:rPr>
          <w:rFonts w:ascii="Arial" w:cs="Arial" w:eastAsia="Arial" w:hAnsi="Arial"/>
          <w:sz w:val="15"/>
          <w:szCs w:val="15"/>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base prospectus and the documents incorporated by reference herein and therein and any free writing prospectus are only predictions. We have based these forward-looking statements largely on our current expectations and projections about future events and financial trends that we believe may affect our business, financial condition and results of operations. These forward- looking statements speak only as of the respective dates of this prospectus supplement, the accompanying base prospectus and the documents incorporated by reference herein and therein and any free writing prospectus, as applicable, and are subject to a number of risks, uncertainties and assumptions, including those described under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base prospectus and the documents incorporated by reference herein and therein and any free writing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USE OF PROCEEDS</w:t>
      </w:r>
    </w:p>
    <w:p>
      <w:pPr>
        <w:spacing w:after="0" w:line="363" w:lineRule="exact"/>
        <w:rPr>
          <w:sz w:val="20"/>
          <w:szCs w:val="20"/>
          <w:color w:val="auto"/>
        </w:rPr>
      </w:pPr>
    </w:p>
    <w:p>
      <w:pPr>
        <w:ind w:left="1260" w:right="759"/>
        <w:spacing w:after="0" w:line="295" w:lineRule="auto"/>
        <w:rPr>
          <w:sz w:val="20"/>
          <w:szCs w:val="20"/>
          <w:color w:val="auto"/>
        </w:rPr>
      </w:pPr>
      <w:r>
        <w:rPr>
          <w:rFonts w:ascii="Arial" w:cs="Arial" w:eastAsia="Arial" w:hAnsi="Arial"/>
          <w:sz w:val="16"/>
          <w:szCs w:val="16"/>
          <w:color w:val="auto"/>
        </w:rPr>
        <w:t>We may issue and sell shares of our common stock having aggregate sales proceeds of up to $50,000,000 from time to time. Because there is no minimum offering amount required as a condition to close this offering, the actual total public offering amount, commissions and proceeds to us, if any, are not determinable at this time.</w:t>
      </w:r>
    </w:p>
    <w:p>
      <w:pPr>
        <w:spacing w:after="0" w:line="118" w:lineRule="exact"/>
        <w:rPr>
          <w:sz w:val="20"/>
          <w:szCs w:val="20"/>
          <w:color w:val="auto"/>
        </w:rPr>
      </w:pPr>
    </w:p>
    <w:p>
      <w:pPr>
        <w:ind w:left="1260" w:right="959"/>
        <w:spacing w:after="0" w:line="322" w:lineRule="auto"/>
        <w:rPr>
          <w:sz w:val="20"/>
          <w:szCs w:val="20"/>
          <w:color w:val="auto"/>
        </w:rPr>
      </w:pPr>
      <w:r>
        <w:rPr>
          <w:rFonts w:ascii="Arial" w:cs="Arial" w:eastAsia="Arial" w:hAnsi="Arial"/>
          <w:sz w:val="15"/>
          <w:szCs w:val="15"/>
          <w:color w:val="auto"/>
        </w:rPr>
        <w:t>We intend to use the net proceeds of this offering for general corporate purposes, which may include research and development expenditures, acquisitions or in-licenses of complementary companies, medicines or technologies, expenditures to build our initial development and commercial capabilities, working capital and capital expenditures.</w:t>
      </w:r>
    </w:p>
    <w:p>
      <w:pPr>
        <w:spacing w:after="0" w:line="102" w:lineRule="exact"/>
        <w:rPr>
          <w:sz w:val="20"/>
          <w:szCs w:val="20"/>
          <w:color w:val="auto"/>
        </w:rPr>
      </w:pPr>
    </w:p>
    <w:p>
      <w:pPr>
        <w:ind w:left="1260" w:right="739"/>
        <w:spacing w:after="0" w:line="266" w:lineRule="auto"/>
        <w:rPr>
          <w:sz w:val="20"/>
          <w:szCs w:val="20"/>
          <w:color w:val="auto"/>
        </w:rPr>
      </w:pPr>
      <w:r>
        <w:rPr>
          <w:rFonts w:ascii="Arial" w:cs="Arial" w:eastAsia="Arial" w:hAnsi="Arial"/>
          <w:sz w:val="17"/>
          <w:szCs w:val="17"/>
          <w:color w:val="auto"/>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8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DIVIDEND POLICY</w:t>
      </w:r>
    </w:p>
    <w:p>
      <w:pPr>
        <w:spacing w:after="0" w:line="363"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 with Silicon Valley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DILUTION</w:t>
      </w:r>
    </w:p>
    <w:p>
      <w:pPr>
        <w:spacing w:after="0" w:line="189" w:lineRule="exact"/>
        <w:rPr>
          <w:sz w:val="20"/>
          <w:szCs w:val="20"/>
          <w:color w:val="auto"/>
        </w:rPr>
      </w:pPr>
    </w:p>
    <w:p>
      <w:pPr>
        <w:ind w:left="1260" w:right="859"/>
        <w:spacing w:after="0" w:line="267" w:lineRule="auto"/>
        <w:rPr>
          <w:sz w:val="20"/>
          <w:szCs w:val="20"/>
          <w:color w:val="auto"/>
        </w:rPr>
      </w:pPr>
      <w:r>
        <w:rPr>
          <w:rFonts w:ascii="Arial" w:cs="Arial" w:eastAsia="Arial" w:hAnsi="Arial"/>
          <w:sz w:val="17"/>
          <w:szCs w:val="17"/>
          <w:color w:val="auto"/>
        </w:rPr>
        <w:t>If you invest in our common stock, your interest will be diluted to the extent of the difference between the price per share you pay in this offering and the net tangible book value per share of our common stock immediately after this offering. Our net tangible book value of our common stock as of June 30, 2020 was approximately $(13.1) million, or approximately $(0.13) per share of common stock based upon 100,847,810 shares outstanding. Net tangible book value per share is equal to our total tangible assets, less our total liabilities, divided by the total number of shares outstanding as of June 30, 2020.</w:t>
      </w:r>
    </w:p>
    <w:p>
      <w:pPr>
        <w:spacing w:after="0" w:line="140" w:lineRule="exact"/>
        <w:rPr>
          <w:sz w:val="20"/>
          <w:szCs w:val="20"/>
          <w:color w:val="auto"/>
        </w:rPr>
      </w:pPr>
    </w:p>
    <w:p>
      <w:pPr>
        <w:ind w:left="1260" w:right="699"/>
        <w:spacing w:after="0" w:line="287" w:lineRule="auto"/>
        <w:rPr>
          <w:sz w:val="20"/>
          <w:szCs w:val="20"/>
          <w:color w:val="auto"/>
        </w:rPr>
      </w:pPr>
      <w:r>
        <w:rPr>
          <w:rFonts w:ascii="Arial" w:cs="Arial" w:eastAsia="Arial" w:hAnsi="Arial"/>
          <w:sz w:val="16"/>
          <w:szCs w:val="16"/>
          <w:color w:val="auto"/>
        </w:rPr>
        <w:t>After giving effect to the sale of our common stock in the aggregate amount of $50 million at an assumed offering price of $2.78 per share, the last reported sale price of our common stock on the Nasdaq Global Market on August 5, 2020, and after deducting commissions and estimated offering expenses payable by us, our as adjusted net tangible book value as of June 30, 2020 would have been $35.4 million, or $0.30 per share of common stock. This represents an immediate increase in net tangible book value of $0.43 per share to our existing stockholders and an immediate dilution in net tangible book value of $2.48 per share to new investors in this offering.</w:t>
      </w:r>
    </w:p>
    <w:p>
      <w:pPr>
        <w:spacing w:after="0" w:line="111" w:lineRule="exact"/>
        <w:rPr>
          <w:sz w:val="20"/>
          <w:szCs w:val="20"/>
          <w:color w:val="auto"/>
        </w:rPr>
      </w:pPr>
    </w:p>
    <w:p>
      <w:pPr>
        <w:ind w:left="1260" w:right="719"/>
        <w:spacing w:after="0" w:line="287" w:lineRule="auto"/>
        <w:rPr>
          <w:sz w:val="20"/>
          <w:szCs w:val="20"/>
          <w:color w:val="auto"/>
        </w:rPr>
      </w:pPr>
      <w:r>
        <w:rPr>
          <w:rFonts w:ascii="Arial" w:cs="Arial" w:eastAsia="Arial" w:hAnsi="Arial"/>
          <w:sz w:val="16"/>
          <w:szCs w:val="16"/>
          <w:color w:val="auto"/>
        </w:rPr>
        <w:t>The following table illustrates this calculation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as adjusted information assumes that all of our common stock in the aggregate amount of $50 million is sold at the assumed offering price of $2.78 per share, the last reported sale price of our common stock on the Nasdaq Global Market on August 5, 2020. The shares sold in this offering, if any, will be sold from time to time at various prices.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Assumed public offering price per share</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$ 2.78</w:t>
            </w:r>
          </w:p>
        </w:tc>
        <w:tc>
          <w:tcPr>
            <w:tcW w:w="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r>
      <w:tr>
        <w:trPr>
          <w:trHeight w:val="241"/>
        </w:trPr>
        <w:tc>
          <w:tcPr>
            <w:tcW w:w="6780" w:type="dxa"/>
            <w:vAlign w:val="bottom"/>
          </w:tcPr>
          <w:p>
            <w:pPr>
              <w:ind w:left="180"/>
              <w:spacing w:after="0"/>
              <w:rPr>
                <w:sz w:val="20"/>
                <w:szCs w:val="20"/>
                <w:color w:val="auto"/>
              </w:rPr>
            </w:pPr>
            <w:r>
              <w:rPr>
                <w:rFonts w:ascii="Arial" w:cs="Arial" w:eastAsia="Arial" w:hAnsi="Arial"/>
                <w:sz w:val="17"/>
                <w:szCs w:val="17"/>
                <w:color w:val="auto"/>
              </w:rPr>
              <w:t>Net tangible book value per share as of June 30, 2020</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2"/>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Increase in net tangible book value per share attributable to the offering</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7"/>
        </w:trPr>
        <w:tc>
          <w:tcPr>
            <w:tcW w:w="67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As adjusted net tangible book value per share after giving effect to the offering</w:t>
            </w:r>
          </w:p>
        </w:tc>
        <w:tc>
          <w:tcPr>
            <w:tcW w:w="720" w:type="dxa"/>
            <w:vAlign w:val="bottom"/>
            <w:tcBorders>
              <w:bottom w:val="single" w:sz="8" w:color="CCEEFF"/>
            </w:tcBorders>
            <w:gridSpan w:val="2"/>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r>
      <w:tr>
        <w:trPr>
          <w:trHeight w:val="228"/>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participating in the offering</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2" w:lineRule="exact"/>
        <w:rPr>
          <w:sz w:val="20"/>
          <w:szCs w:val="20"/>
          <w:color w:val="auto"/>
        </w:rPr>
      </w:pPr>
    </w:p>
    <w:p>
      <w:pPr>
        <w:jc w:val="both"/>
        <w:ind w:left="1260" w:right="719"/>
        <w:spacing w:after="0" w:line="270" w:lineRule="auto"/>
        <w:rPr>
          <w:sz w:val="20"/>
          <w:szCs w:val="20"/>
          <w:color w:val="auto"/>
        </w:rPr>
      </w:pPr>
      <w:r>
        <w:rPr>
          <w:rFonts w:ascii="Arial" w:cs="Arial" w:eastAsia="Arial" w:hAnsi="Arial"/>
          <w:sz w:val="17"/>
          <w:szCs w:val="17"/>
          <w:color w:val="auto"/>
        </w:rPr>
        <w:t>The number of shares of our common stock to be outstanding immediately after this offering is based on 100,847,810 shares of our common stock outstanding as of June 30, 2020. The number of shares outstanding as of June 30, 2020 excludes:</w:t>
      </w:r>
    </w:p>
    <w:p>
      <w:pPr>
        <w:spacing w:after="0" w:line="69" w:lineRule="exact"/>
        <w:rPr>
          <w:sz w:val="20"/>
          <w:szCs w:val="20"/>
          <w:color w:val="auto"/>
        </w:rPr>
      </w:pPr>
    </w:p>
    <w:p>
      <w:pPr>
        <w:ind w:left="1840" w:right="779" w:hanging="218"/>
        <w:spacing w:after="0" w:line="276" w:lineRule="auto"/>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7,473,613 shares of common stock issuable upon exercise of stock options outstanding as of June 30, 2020, at a weighted average exercise price of $4.20 per share;</w:t>
      </w:r>
    </w:p>
    <w:p>
      <w:pPr>
        <w:spacing w:after="0" w:line="49" w:lineRule="exact"/>
        <w:rPr>
          <w:rFonts w:ascii="Arial" w:cs="Arial" w:eastAsia="Arial" w:hAnsi="Arial"/>
          <w:sz w:val="17"/>
          <w:szCs w:val="17"/>
          <w:color w:val="auto"/>
        </w:rPr>
      </w:pPr>
    </w:p>
    <w:p>
      <w:pPr>
        <w:ind w:left="1840" w:right="919" w:hanging="218"/>
        <w:spacing w:after="0" w:line="276" w:lineRule="auto"/>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159,375 shares of common stock issuable upon vesting of restricted stock units outstanding as of June 30, 2020;</w:t>
      </w:r>
    </w:p>
    <w:p>
      <w:pPr>
        <w:spacing w:after="0" w:line="49" w:lineRule="exact"/>
        <w:rPr>
          <w:rFonts w:ascii="Arial" w:cs="Arial" w:eastAsia="Arial" w:hAnsi="Arial"/>
          <w:sz w:val="17"/>
          <w:szCs w:val="17"/>
          <w:color w:val="auto"/>
        </w:rPr>
      </w:pPr>
    </w:p>
    <w:p>
      <w:pPr>
        <w:ind w:left="1840" w:right="919" w:hanging="218"/>
        <w:spacing w:after="0" w:line="276" w:lineRule="auto"/>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2,651,062 shares of common stock reserved for future issuance under our 2016 incentive award plan as of June 30, 2020;</w:t>
      </w:r>
    </w:p>
    <w:p>
      <w:pPr>
        <w:spacing w:after="0" w:line="63" w:lineRule="exact"/>
        <w:rPr>
          <w:rFonts w:ascii="Arial" w:cs="Arial" w:eastAsia="Arial" w:hAnsi="Arial"/>
          <w:sz w:val="17"/>
          <w:szCs w:val="17"/>
          <w:color w:val="auto"/>
        </w:rPr>
      </w:pPr>
    </w:p>
    <w:p>
      <w:pPr>
        <w:ind w:left="1840" w:right="919" w:hanging="218"/>
        <w:spacing w:after="0" w:line="276" w:lineRule="auto"/>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1,532,077 shares of common stock reserved for future issuance under our 2016 employee stock purchase plan as of June 30, 2020;</w:t>
      </w:r>
    </w:p>
    <w:p>
      <w:pPr>
        <w:spacing w:after="0" w:line="49" w:lineRule="exact"/>
        <w:rPr>
          <w:rFonts w:ascii="Arial" w:cs="Arial" w:eastAsia="Arial" w:hAnsi="Arial"/>
          <w:sz w:val="17"/>
          <w:szCs w:val="17"/>
          <w:color w:val="auto"/>
        </w:rPr>
      </w:pPr>
    </w:p>
    <w:p>
      <w:pPr>
        <w:ind w:left="1840" w:right="999" w:hanging="218"/>
        <w:spacing w:after="0" w:line="276" w:lineRule="auto"/>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1,100,000 shares of common stock reserved for future issuance under our 2018 employment inducement incentive award plan as of June 30, 2020; and</w:t>
      </w:r>
    </w:p>
    <w:p>
      <w:pPr>
        <w:spacing w:after="0" w:line="49" w:lineRule="exact"/>
        <w:rPr>
          <w:rFonts w:ascii="Arial" w:cs="Arial" w:eastAsia="Arial" w:hAnsi="Arial"/>
          <w:sz w:val="17"/>
          <w:szCs w:val="17"/>
          <w:color w:val="auto"/>
        </w:rPr>
      </w:pPr>
    </w:p>
    <w:p>
      <w:pPr>
        <w:ind w:left="1840" w:right="699" w:hanging="218"/>
        <w:spacing w:after="0" w:line="276" w:lineRule="auto"/>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14,841,100 shares of common stock issuable upon exercise of warrants outstanding as of June 30, 2020, at a weighted average exercise price of $1.56 per share.</w:t>
      </w:r>
    </w:p>
    <w:p>
      <w:pPr>
        <w:spacing w:after="0" w:line="131" w:lineRule="exact"/>
        <w:rPr>
          <w:sz w:val="20"/>
          <w:szCs w:val="20"/>
          <w:color w:val="auto"/>
        </w:rPr>
      </w:pPr>
    </w:p>
    <w:p>
      <w:pPr>
        <w:jc w:val="both"/>
        <w:ind w:left="1260" w:right="939"/>
        <w:spacing w:after="0" w:line="270" w:lineRule="auto"/>
        <w:rPr>
          <w:sz w:val="20"/>
          <w:szCs w:val="20"/>
          <w:color w:val="auto"/>
        </w:rPr>
      </w:pPr>
      <w:r>
        <w:rPr>
          <w:rFonts w:ascii="Arial" w:cs="Arial" w:eastAsia="Arial" w:hAnsi="Arial"/>
          <w:sz w:val="17"/>
          <w:szCs w:val="17"/>
          <w:color w:val="auto"/>
        </w:rPr>
        <w:t>The foregoing table does not give effect to the exercise of any outstanding options or warrants or the vesting of any restricted stock units. To the extent options and warrants are exercised, or restricted stock units vest, there may be further dilution to new investors.</w:t>
      </w:r>
    </w:p>
    <w:p>
      <w:pPr>
        <w:spacing w:after="0" w:line="200" w:lineRule="exact"/>
        <w:rPr>
          <w:sz w:val="20"/>
          <w:szCs w:val="20"/>
          <w:color w:val="auto"/>
        </w:rPr>
      </w:pPr>
    </w:p>
    <w:p>
      <w:pPr>
        <w:spacing w:after="0" w:line="21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PLAN OF DISTRIBUTION</w:t>
      </w:r>
    </w:p>
    <w:p>
      <w:pPr>
        <w:spacing w:after="0" w:line="363" w:lineRule="exact"/>
        <w:rPr>
          <w:sz w:val="20"/>
          <w:szCs w:val="20"/>
          <w:color w:val="auto"/>
        </w:rPr>
      </w:pPr>
    </w:p>
    <w:p>
      <w:pPr>
        <w:ind w:left="1260" w:right="679"/>
        <w:spacing w:after="0" w:line="290" w:lineRule="auto"/>
        <w:rPr>
          <w:sz w:val="20"/>
          <w:szCs w:val="20"/>
          <w:color w:val="auto"/>
        </w:rPr>
      </w:pPr>
      <w:r>
        <w:rPr>
          <w:rFonts w:ascii="Arial" w:cs="Arial" w:eastAsia="Arial" w:hAnsi="Arial"/>
          <w:sz w:val="16"/>
          <w:szCs w:val="16"/>
          <w:color w:val="auto"/>
        </w:rPr>
        <w:t>We have entered into a sales agreement with Jefferies, under which we may offer and sell up to $50,000,000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23" w:lineRule="exact"/>
        <w:rPr>
          <w:sz w:val="20"/>
          <w:szCs w:val="20"/>
          <w:color w:val="auto"/>
        </w:rPr>
      </w:pPr>
    </w:p>
    <w:p>
      <w:pPr>
        <w:ind w:left="1260" w:right="659"/>
        <w:spacing w:after="0" w:line="286" w:lineRule="auto"/>
        <w:rPr>
          <w:sz w:val="20"/>
          <w:szCs w:val="20"/>
          <w:color w:val="auto"/>
        </w:rPr>
      </w:pPr>
      <w:r>
        <w:rPr>
          <w:rFonts w:ascii="Arial" w:cs="Arial" w:eastAsia="Arial" w:hAnsi="Arial"/>
          <w:sz w:val="16"/>
          <w:szCs w:val="16"/>
          <w:color w:val="auto"/>
        </w:rPr>
        <w:t>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26"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24" w:lineRule="exact"/>
        <w:rPr>
          <w:sz w:val="20"/>
          <w:szCs w:val="20"/>
          <w:color w:val="auto"/>
        </w:rPr>
      </w:pPr>
    </w:p>
    <w:p>
      <w:pPr>
        <w:ind w:left="1260" w:right="699"/>
        <w:spacing w:after="0" w:line="285" w:lineRule="auto"/>
        <w:rPr>
          <w:sz w:val="20"/>
          <w:szCs w:val="20"/>
          <w:color w:val="auto"/>
        </w:rPr>
      </w:pPr>
      <w:r>
        <w:rPr>
          <w:rFonts w:ascii="Arial" w:cs="Arial" w:eastAsia="Arial" w:hAnsi="Arial"/>
          <w:sz w:val="16"/>
          <w:szCs w:val="16"/>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$150,000. The remaining sale proceeds, after deducting any other transaction fees, will equal our net proceeds from the sale of such shares.</w:t>
      </w:r>
    </w:p>
    <w:p>
      <w:pPr>
        <w:spacing w:after="0" w:line="126" w:lineRule="exact"/>
        <w:rPr>
          <w:sz w:val="20"/>
          <w:szCs w:val="20"/>
          <w:color w:val="auto"/>
        </w:rPr>
      </w:pPr>
    </w:p>
    <w:p>
      <w:pPr>
        <w:jc w:val="both"/>
        <w:ind w:left="1260" w:right="679"/>
        <w:spacing w:after="0" w:line="295" w:lineRule="auto"/>
        <w:rPr>
          <w:sz w:val="20"/>
          <w:szCs w:val="20"/>
          <w:color w:val="auto"/>
        </w:rPr>
      </w:pPr>
      <w:r>
        <w:rPr>
          <w:rFonts w:ascii="Arial" w:cs="Arial" w:eastAsia="Arial" w:hAnsi="Arial"/>
          <w:sz w:val="16"/>
          <w:szCs w:val="16"/>
          <w:color w:val="auto"/>
        </w:rPr>
        <w:t>Jefferies will provide written confirmation to us before the open on the Nasdaq Global Market on the day following each day on which shares of common stock are sold under the sales agreement. Each confirmation will include the number of shares sold on that day, the aggregate gross proceeds of such sales and the proceeds to us.</w:t>
      </w:r>
    </w:p>
    <w:p>
      <w:pPr>
        <w:spacing w:after="0" w:line="118" w:lineRule="exact"/>
        <w:rPr>
          <w:sz w:val="20"/>
          <w:szCs w:val="20"/>
          <w:color w:val="auto"/>
        </w:rPr>
      </w:pPr>
    </w:p>
    <w:p>
      <w:pPr>
        <w:ind w:left="1260" w:right="659"/>
        <w:spacing w:after="0" w:line="268" w:lineRule="auto"/>
        <w:rPr>
          <w:sz w:val="20"/>
          <w:szCs w:val="20"/>
          <w:color w:val="auto"/>
        </w:rPr>
      </w:pPr>
      <w:r>
        <w:rPr>
          <w:rFonts w:ascii="Arial" w:cs="Arial" w:eastAsia="Arial" w:hAnsi="Arial"/>
          <w:sz w:val="17"/>
          <w:szCs w:val="17"/>
          <w:color w:val="auto"/>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24" w:lineRule="exact"/>
        <w:rPr>
          <w:sz w:val="20"/>
          <w:szCs w:val="20"/>
          <w:color w:val="auto"/>
        </w:rPr>
      </w:pPr>
    </w:p>
    <w:p>
      <w:pPr>
        <w:jc w:val="both"/>
        <w:ind w:left="1260" w:right="859"/>
        <w:spacing w:after="0" w:line="270" w:lineRule="auto"/>
        <w:rPr>
          <w:sz w:val="20"/>
          <w:szCs w:val="20"/>
          <w:color w:val="auto"/>
        </w:rPr>
      </w:pPr>
      <w:r>
        <w:rPr>
          <w:rFonts w:ascii="Arial" w:cs="Arial" w:eastAsia="Arial" w:hAnsi="Arial"/>
          <w:sz w:val="17"/>
          <w:szCs w:val="17"/>
          <w:color w:val="auto"/>
        </w:rPr>
        <w:t>The offering of our shares of common stock pursuant to the sales agreement will terminate upon the earlier of (i) the sale of all shares of common stock subject to the sales agreement and (ii) the termination of the sales agreement as permitted therein.</w:t>
      </w:r>
    </w:p>
    <w:p>
      <w:pPr>
        <w:spacing w:after="0" w:line="137" w:lineRule="exact"/>
        <w:rPr>
          <w:sz w:val="20"/>
          <w:szCs w:val="20"/>
          <w:color w:val="auto"/>
        </w:rPr>
      </w:pPr>
    </w:p>
    <w:p>
      <w:pPr>
        <w:jc w:val="both"/>
        <w:ind w:left="1260" w:right="959"/>
        <w:spacing w:after="0" w:line="270" w:lineRule="auto"/>
        <w:rPr>
          <w:sz w:val="20"/>
          <w:szCs w:val="20"/>
          <w:color w:val="auto"/>
        </w:rPr>
      </w:pPr>
      <w:r>
        <w:rPr>
          <w:rFonts w:ascii="Arial" w:cs="Arial" w:eastAsia="Arial" w:hAnsi="Arial"/>
          <w:sz w:val="17"/>
          <w:szCs w:val="17"/>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19"/>
        <w:spacing w:after="0" w:line="315" w:lineRule="auto"/>
        <w:rPr>
          <w:sz w:val="20"/>
          <w:szCs w:val="20"/>
          <w:color w:val="auto"/>
        </w:rPr>
      </w:pPr>
      <w:r>
        <w:rPr>
          <w:rFonts w:ascii="Arial" w:cs="Arial" w:eastAsia="Arial" w:hAnsi="Arial"/>
          <w:sz w:val="15"/>
          <w:szCs w:val="15"/>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07"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LEGAL MATTERS</w:t>
      </w:r>
    </w:p>
    <w:p>
      <w:pPr>
        <w:spacing w:after="0" w:line="363" w:lineRule="exact"/>
        <w:rPr>
          <w:sz w:val="20"/>
          <w:szCs w:val="20"/>
          <w:color w:val="auto"/>
        </w:rPr>
      </w:pPr>
    </w:p>
    <w:p>
      <w:pPr>
        <w:ind w:left="1260" w:right="879"/>
        <w:spacing w:after="0" w:line="270" w:lineRule="auto"/>
        <w:rPr>
          <w:sz w:val="20"/>
          <w:szCs w:val="20"/>
          <w:color w:val="auto"/>
        </w:rPr>
      </w:pPr>
      <w:r>
        <w:rPr>
          <w:rFonts w:ascii="Arial" w:cs="Arial" w:eastAsia="Arial" w:hAnsi="Arial"/>
          <w:sz w:val="17"/>
          <w:szCs w:val="17"/>
          <w:color w:val="auto"/>
        </w:rPr>
        <w:t>Latham &amp; Watkins LLP will pass upon certain legal matters relating to the issuance and sale of the securities offered hereby on behalf of Selecta Biosciences, Inc. Jefferies LLC is being represented in connection with this offering by Cooley LLP, New York, New York.</w:t>
      </w:r>
    </w:p>
    <w:p>
      <w:pPr>
        <w:spacing w:after="0" w:line="1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EXPERTS</w:t>
      </w:r>
    </w:p>
    <w:p>
      <w:pPr>
        <w:spacing w:after="0" w:line="363" w:lineRule="exact"/>
        <w:rPr>
          <w:sz w:val="20"/>
          <w:szCs w:val="20"/>
          <w:color w:val="auto"/>
        </w:rPr>
      </w:pPr>
    </w:p>
    <w:p>
      <w:pPr>
        <w:ind w:left="1260" w:right="759"/>
        <w:spacing w:after="0" w:line="285" w:lineRule="auto"/>
        <w:rPr>
          <w:sz w:val="20"/>
          <w:szCs w:val="20"/>
          <w:color w:val="auto"/>
        </w:rPr>
      </w:pPr>
      <w:r>
        <w:rPr>
          <w:rFonts w:ascii="Arial" w:cs="Arial" w:eastAsia="Arial" w:hAnsi="Arial"/>
          <w:sz w:val="16"/>
          <w:szCs w:val="16"/>
          <w:color w:val="auto"/>
        </w:rPr>
        <w:t>The consolidated financial statements of Selecta Biosciences, Inc. appearing in Selecta Biosciences, Inc.’s Annual Report on Form 10-K for the year ended December 31, 2019, have been audited by Ernst &amp; Young LLP, independent registered public accounting firm, as set forth in their report thereon (which contains an explanatory paragraph describing conditions that raise substantial doubt about the Company’s ability to continue as a going conern as described in Note 1 to the consolidated financial statements) included therein, and incorporated herein by reference. Such consolidated financial statements are, and audited consolidated financial statements to be included in subsequently filed documents will be, incorporated herein in reliance upon the report of Ernst &amp; Young LLP pertaining to such consolidated financial statements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1137285</wp:posOffset>
            </wp:positionV>
            <wp:extent cx="3231515" cy="797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3231515" cy="7975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374650</wp:posOffset>
            </wp:positionV>
            <wp:extent cx="52120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60"/>
        <w:spacing w:after="0"/>
        <w:rPr>
          <w:sz w:val="20"/>
          <w:szCs w:val="20"/>
          <w:color w:val="auto"/>
        </w:rPr>
      </w:pPr>
      <w:r>
        <w:rPr>
          <w:rFonts w:ascii="Arial" w:cs="Arial" w:eastAsia="Arial" w:hAnsi="Arial"/>
          <w:sz w:val="29"/>
          <w:szCs w:val="29"/>
          <w:b w:val="1"/>
          <w:bCs w:val="1"/>
          <w:color w:val="auto"/>
        </w:rPr>
        <w:t>Up to $50,000,000</w:t>
      </w:r>
    </w:p>
    <w:p>
      <w:pPr>
        <w:spacing w:after="0" w:line="200" w:lineRule="exact"/>
        <w:rPr>
          <w:sz w:val="20"/>
          <w:szCs w:val="20"/>
          <w:color w:val="auto"/>
        </w:rPr>
      </w:pPr>
    </w:p>
    <w:p>
      <w:pPr>
        <w:spacing w:after="0" w:line="277" w:lineRule="exact"/>
        <w:rPr>
          <w:sz w:val="20"/>
          <w:szCs w:val="20"/>
          <w:color w:val="auto"/>
        </w:rPr>
      </w:pPr>
    </w:p>
    <w:p>
      <w:pPr>
        <w:ind w:left="432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859790</wp:posOffset>
            </wp:positionV>
            <wp:extent cx="19202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184150</wp:posOffset>
            </wp:positionV>
            <wp:extent cx="1920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20"/>
        <w:spacing w:after="0"/>
        <w:rPr>
          <w:sz w:val="20"/>
          <w:szCs w:val="20"/>
          <w:color w:val="auto"/>
        </w:rPr>
      </w:pPr>
      <w:r>
        <w:rPr>
          <w:rFonts w:ascii="Arial" w:cs="Arial" w:eastAsia="Arial" w:hAnsi="Arial"/>
          <w:sz w:val="36"/>
          <w:szCs w:val="36"/>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873125</wp:posOffset>
            </wp:positionV>
            <wp:extent cx="1234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165100</wp:posOffset>
            </wp:positionV>
            <wp:extent cx="5212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216535</wp:posOffset>
            </wp:positionV>
            <wp:extent cx="5212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490855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PART II</w:t>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48"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The following is an estimate, other than with respect to the SEC registration fee, of the expenses (all of which are to be paid by the registrant) that we may incur in connection with the securities being registered hereby.</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392"/>
        </w:trPr>
        <w:tc>
          <w:tcPr>
            <w:tcW w:w="360" w:type="dxa"/>
            <w:vAlign w:val="bottom"/>
          </w:tcPr>
          <w:p>
            <w:pPr>
              <w:spacing w:after="0"/>
              <w:rPr>
                <w:sz w:val="24"/>
                <w:szCs w:val="24"/>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$4,803</w:t>
            </w:r>
            <w:r>
              <w:rPr>
                <w:rFonts w:ascii="Arial" w:cs="Arial" w:eastAsia="Arial" w:hAnsi="Arial"/>
                <w:sz w:val="26"/>
                <w:szCs w:val="26"/>
                <w:color w:val="auto"/>
                <w:vertAlign w:val="superscript"/>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360" w:type="dxa"/>
            <w:vAlign w:val="bottom"/>
            <w:gridSpan w:val="3"/>
            <w:vMerge w:val="restart"/>
          </w:tcPr>
          <w:p>
            <w:pPr>
              <w:ind w:left="360"/>
              <w:spacing w:after="0"/>
              <w:rPr>
                <w:sz w:val="20"/>
                <w:szCs w:val="20"/>
                <w:color w:val="auto"/>
              </w:rPr>
            </w:pPr>
            <w:r>
              <w:rPr>
                <w:rFonts w:ascii="Arial" w:cs="Arial" w:eastAsia="Arial" w:hAnsi="Arial"/>
                <w:sz w:val="18"/>
                <w:szCs w:val="18"/>
                <w:color w:val="auto"/>
              </w:rPr>
              <w:t>FINRA filing fee</w:t>
            </w:r>
          </w:p>
        </w:tc>
        <w:tc>
          <w:tcPr>
            <w:tcW w:w="2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5360" w:type="dxa"/>
            <w:vAlign w:val="bottom"/>
            <w:gridSpan w:val="3"/>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2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500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5360" w:type="dxa"/>
            <w:vAlign w:val="bottom"/>
            <w:gridSpan w:val="3"/>
            <w:vMerge w:val="restart"/>
          </w:tcPr>
          <w:p>
            <w:pPr>
              <w:ind w:left="360"/>
              <w:spacing w:after="0"/>
              <w:rPr>
                <w:sz w:val="20"/>
                <w:szCs w:val="20"/>
                <w:color w:val="auto"/>
              </w:rPr>
            </w:pPr>
            <w:r>
              <w:rPr>
                <w:rFonts w:ascii="Arial" w:cs="Arial" w:eastAsia="Arial" w:hAnsi="Arial"/>
                <w:sz w:val="18"/>
                <w:szCs w:val="18"/>
                <w:color w:val="auto"/>
              </w:rPr>
              <w:t>Legal fees and expenses</w:t>
            </w:r>
          </w:p>
        </w:tc>
        <w:tc>
          <w:tcPr>
            <w:tcW w:w="2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5360" w:type="dxa"/>
            <w:vAlign w:val="bottom"/>
            <w:gridSpan w:val="3"/>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500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5360" w:type="dxa"/>
            <w:vAlign w:val="bottom"/>
            <w:gridSpan w:val="3"/>
            <w:vMerge w:val="restart"/>
          </w:tcPr>
          <w:p>
            <w:pPr>
              <w:ind w:left="360"/>
              <w:spacing w:after="0"/>
              <w:rPr>
                <w:sz w:val="20"/>
                <w:szCs w:val="20"/>
                <w:color w:val="auto"/>
              </w:rPr>
            </w:pPr>
            <w:r>
              <w:rPr>
                <w:rFonts w:ascii="Arial" w:cs="Arial" w:eastAsia="Arial" w:hAnsi="Arial"/>
                <w:sz w:val="18"/>
                <w:szCs w:val="18"/>
                <w:color w:val="auto"/>
              </w:rPr>
              <w:t>Blue Sky, qualification fees and expenses</w:t>
            </w:r>
          </w:p>
        </w:tc>
        <w:tc>
          <w:tcPr>
            <w:tcW w:w="2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5360" w:type="dxa"/>
            <w:vAlign w:val="bottom"/>
            <w:gridSpan w:val="3"/>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2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500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5360" w:type="dxa"/>
            <w:vAlign w:val="bottom"/>
            <w:gridSpan w:val="3"/>
            <w:vMerge w:val="restart"/>
          </w:tcPr>
          <w:p>
            <w:pPr>
              <w:ind w:left="360"/>
              <w:spacing w:after="0"/>
              <w:rPr>
                <w:sz w:val="20"/>
                <w:szCs w:val="20"/>
                <w:color w:val="auto"/>
              </w:rPr>
            </w:pPr>
            <w:r>
              <w:rPr>
                <w:rFonts w:ascii="Arial" w:cs="Arial" w:eastAsia="Arial" w:hAnsi="Arial"/>
                <w:sz w:val="18"/>
                <w:szCs w:val="18"/>
                <w:color w:val="auto"/>
              </w:rPr>
              <w:t>Trustee fees and expenses</w:t>
            </w:r>
          </w:p>
        </w:tc>
        <w:tc>
          <w:tcPr>
            <w:tcW w:w="2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5360" w:type="dxa"/>
            <w:vAlign w:val="bottom"/>
            <w:gridSpan w:val="3"/>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Warrant agent fees and expenses</w:t>
            </w:r>
          </w:p>
        </w:tc>
        <w:tc>
          <w:tcPr>
            <w:tcW w:w="2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500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5360" w:type="dxa"/>
            <w:vAlign w:val="bottom"/>
            <w:gridSpan w:val="3"/>
            <w:vMerge w:val="restart"/>
          </w:tcPr>
          <w:p>
            <w:pPr>
              <w:ind w:left="360"/>
              <w:spacing w:after="0"/>
              <w:rPr>
                <w:sz w:val="20"/>
                <w:szCs w:val="20"/>
                <w:color w:val="auto"/>
              </w:rPr>
            </w:pPr>
            <w:r>
              <w:rPr>
                <w:rFonts w:ascii="Arial" w:cs="Arial" w:eastAsia="Arial" w:hAnsi="Arial"/>
                <w:sz w:val="18"/>
                <w:szCs w:val="18"/>
                <w:color w:val="auto"/>
              </w:rPr>
              <w:t>Miscellaneous</w:t>
            </w:r>
          </w:p>
        </w:tc>
        <w:tc>
          <w:tcPr>
            <w:tcW w:w="2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5360" w:type="dxa"/>
            <w:vAlign w:val="bottom"/>
            <w:gridSpan w:val="3"/>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500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620" w:right="739" w:hanging="358"/>
        <w:spacing w:after="0" w:line="25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$200,000,000 of securities registered pursuant to this registration statement includes $163,000,000 of securities (the “Unsold Shares”) registered pursuant to the Registration Statement on Form S-3 (No. 333-219900), which became effective on August 28, 2017. Pursuant to Rule 415(a)(6) under the Securities Act of 1933, as amended, the filing fees previously paid in connection with the Unsold Securities will continue to be applied to the Unsold Securities. A filing fee of $4,803 has been paid in connection with the $37,000,000 of additional securities registered pursuant to this Registration Statement on Form S-3.</w:t>
      </w:r>
    </w:p>
    <w:p>
      <w:pPr>
        <w:spacing w:after="0" w:line="46" w:lineRule="exact"/>
        <w:rPr>
          <w:rFonts w:ascii="Arial" w:cs="Arial" w:eastAsia="Arial" w:hAnsi="Arial"/>
          <w:sz w:val="18"/>
          <w:szCs w:val="18"/>
          <w:color w:val="auto"/>
        </w:rPr>
      </w:pPr>
    </w:p>
    <w:p>
      <w:pPr>
        <w:ind w:left="1620" w:right="839" w:hanging="358"/>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6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0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w:t>
      </w:r>
    </w:p>
    <w:p>
      <w:pPr>
        <w:sectPr>
          <w:pgSz w:w="11900" w:h="16838" w:orient="portrait"/>
          <w:cols w:equalWidth="0" w:num="1">
            <w:col w:w="10139"/>
          </w:cols>
          <w:pgMar w:left="32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41" w:lineRule="auto"/>
        <w:rPr>
          <w:sz w:val="20"/>
          <w:szCs w:val="20"/>
          <w:color w:val="auto"/>
        </w:rPr>
      </w:pPr>
      <w:r>
        <w:rPr>
          <w:rFonts w:ascii="Arial" w:cs="Arial" w:eastAsia="Arial" w:hAnsi="Arial"/>
          <w:sz w:val="18"/>
          <w:szCs w:val="18"/>
          <w:color w:val="auto"/>
        </w:rPr>
        <w:t>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8" w:lineRule="exact"/>
        <w:rPr>
          <w:sz w:val="20"/>
          <w:szCs w:val="20"/>
          <w:color w:val="auto"/>
        </w:rPr>
      </w:pPr>
    </w:p>
    <w:p>
      <w:pPr>
        <w:ind w:left="1260" w:right="739" w:firstLine="360"/>
        <w:spacing w:after="0" w:line="258" w:lineRule="auto"/>
        <w:rPr>
          <w:sz w:val="20"/>
          <w:szCs w:val="20"/>
          <w:color w:val="auto"/>
        </w:rPr>
      </w:pPr>
      <w:r>
        <w:rPr>
          <w:rFonts w:ascii="Arial" w:cs="Arial" w:eastAsia="Arial" w:hAnsi="Arial"/>
          <w:sz w:val="17"/>
          <w:szCs w:val="17"/>
          <w:color w:val="auto"/>
        </w:rPr>
        <w:t>Section 145 further provides that to the extent a director or officer of a corporation has been successful on the merits or otherwise in the defense of any action, suit or proceeding referred to in subsections (a) and</w:t>
      </w:r>
    </w:p>
    <w:p>
      <w:pPr>
        <w:ind w:left="1540" w:hanging="278"/>
        <w:spacing w:after="0" w:line="235"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 Section 145, or in defense of any claim, issue or matter therein, such person shall be indemnified</w:t>
      </w:r>
    </w:p>
    <w:p>
      <w:pPr>
        <w:ind w:left="1260" w:right="679"/>
        <w:spacing w:after="0" w:line="250" w:lineRule="auto"/>
        <w:rPr>
          <w:rFonts w:ascii="Arial" w:cs="Arial" w:eastAsia="Arial" w:hAnsi="Arial"/>
          <w:sz w:val="18"/>
          <w:szCs w:val="18"/>
          <w:color w:val="auto"/>
        </w:rPr>
      </w:pPr>
      <w:r>
        <w:rPr>
          <w:rFonts w:ascii="Arial" w:cs="Arial" w:eastAsia="Arial" w:hAnsi="Arial"/>
          <w:sz w:val="17"/>
          <w:szCs w:val="17"/>
          <w:color w:val="auto"/>
        </w:rPr>
        <w:t>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20"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23"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w:t>
      </w:r>
    </w:p>
    <w:p>
      <w:pPr>
        <w:spacing w:after="0" w:line="10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Our restated certificate of incorporation provides that to the fullest extent permitted by the DGCL, none of our directors shall be liable to our company or our stockholders for monetary damages arising from a breach of fiduciary duty owed to our company or our stockholders. In addition, 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126" w:lineRule="exact"/>
        <w:rPr>
          <w:sz w:val="20"/>
          <w:szCs w:val="20"/>
          <w:color w:val="auto"/>
        </w:rPr>
      </w:pPr>
    </w:p>
    <w:p>
      <w:pPr>
        <w:jc w:val="both"/>
        <w:ind w:left="1260" w:right="879" w:firstLine="360"/>
        <w:spacing w:after="0" w:line="24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our company or our subsidiaries.</w:t>
      </w:r>
    </w:p>
    <w:p>
      <w:pPr>
        <w:spacing w:after="0" w:line="120" w:lineRule="exact"/>
        <w:rPr>
          <w:sz w:val="20"/>
          <w:szCs w:val="20"/>
          <w:color w:val="auto"/>
        </w:rPr>
      </w:pPr>
    </w:p>
    <w:p>
      <w:pPr>
        <w:ind w:left="1260" w:right="899" w:firstLine="360"/>
        <w:spacing w:after="0" w:line="243"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our restated certificate of incorporation, our amended and restated bylaws, any agreement, any vote of stockholders or disinterested directors or otherwise.</w:t>
      </w:r>
    </w:p>
    <w:p>
      <w:pPr>
        <w:spacing w:after="0" w:line="107"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14" w:lineRule="exact"/>
        <w:rPr>
          <w:sz w:val="20"/>
          <w:szCs w:val="20"/>
          <w:color w:val="auto"/>
        </w:rPr>
      </w:pPr>
    </w:p>
    <w:p>
      <w:pPr>
        <w:jc w:val="both"/>
        <w:ind w:left="1260" w:right="859" w:firstLine="360"/>
        <w:spacing w:after="0" w:line="294" w:lineRule="auto"/>
        <w:rPr>
          <w:sz w:val="20"/>
          <w:szCs w:val="20"/>
          <w:color w:val="auto"/>
        </w:rPr>
      </w:pPr>
      <w:r>
        <w:rPr>
          <w:rFonts w:ascii="Arial" w:cs="Arial" w:eastAsia="Arial" w:hAnsi="Arial"/>
          <w:sz w:val="16"/>
          <w:szCs w:val="16"/>
          <w:color w:val="auto"/>
        </w:rPr>
        <w:t>We have purchased and intend to maintain insurance on behalf of Selecta Biosciences and any person who is or was a director or officer against any loss arising from any claim asserted against him or her and incurred by him or her in that capacity, subject to certain exclusions and limits of the amount of coverage.</w:t>
      </w:r>
    </w:p>
    <w:p>
      <w:pPr>
        <w:sectPr>
          <w:pgSz w:w="11900" w:h="16838" w:orient="portrait"/>
          <w:cols w:equalWidth="0" w:num="1">
            <w:col w:w="10139"/>
          </w:cols>
          <w:pgMar w:left="320" w:top="132" w:right="1440" w:bottom="1440" w:gutter="0" w:footer="0" w:header="0"/>
        </w:sectPr>
      </w:pPr>
    </w:p>
    <w:p>
      <w:pPr>
        <w:spacing w:after="0" w:line="3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36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Exhibit</w:t>
      </w:r>
    </w:p>
    <w:p>
      <w:pPr>
        <w:spacing w:after="0" w:line="28"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40640</wp:posOffset>
            </wp:positionV>
            <wp:extent cx="52120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4" w:lineRule="exact"/>
        <w:rPr>
          <w:sz w:val="20"/>
          <w:szCs w:val="20"/>
          <w:color w:val="auto"/>
        </w:rPr>
      </w:pPr>
    </w:p>
    <w:p>
      <w:pPr>
        <w:ind w:left="1360"/>
        <w:spacing w:after="0"/>
        <w:tabs>
          <w:tab w:leader="none" w:pos="21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11" w:lineRule="exact"/>
        <w:rPr>
          <w:sz w:val="20"/>
          <w:szCs w:val="20"/>
          <w:color w:val="auto"/>
        </w:rPr>
      </w:pPr>
    </w:p>
    <w:p>
      <w:pPr>
        <w:ind w:left="1360"/>
        <w:spacing w:after="0"/>
        <w:tabs>
          <w:tab w:leader="none" w:pos="2100" w:val="left"/>
        </w:tabs>
        <w:rPr>
          <w:rFonts w:ascii="Arial" w:cs="Arial" w:eastAsia="Arial" w:hAnsi="Arial"/>
          <w:sz w:val="16"/>
          <w:szCs w:val="16"/>
          <w:u w:val="single" w:color="auto"/>
          <w:color w:val="0000EE"/>
        </w:rPr>
      </w:pPr>
      <w:hyperlink w:anchor="page54">
        <w:r>
          <w:rPr>
            <w:rFonts w:ascii="Arial" w:cs="Arial" w:eastAsia="Arial" w:hAnsi="Arial"/>
            <w:sz w:val="18"/>
            <w:szCs w:val="18"/>
            <w:u w:val="single" w:color="auto"/>
            <w:color w:val="0000EE"/>
          </w:rPr>
          <w:t>1.2</w:t>
        </w:r>
      </w:hyperlink>
      <w:r>
        <w:rPr>
          <w:rFonts w:ascii="Arial" w:cs="Arial" w:eastAsia="Arial" w:hAnsi="Arial"/>
          <w:sz w:val="18"/>
          <w:szCs w:val="18"/>
          <w:u w:val="single" w:color="auto"/>
          <w:color w:val="0000EE"/>
        </w:rPr>
        <w:tab/>
      </w:r>
      <w:hyperlink w:anchor="page54">
        <w:r>
          <w:rPr>
            <w:rFonts w:ascii="Arial" w:cs="Arial" w:eastAsia="Arial" w:hAnsi="Arial"/>
            <w:sz w:val="16"/>
            <w:szCs w:val="16"/>
            <w:u w:val="single" w:color="auto"/>
            <w:color w:val="0000EE"/>
          </w:rPr>
          <w:t>Open Market Sale Agreement</w:t>
        </w:r>
        <w:r>
          <w:rPr>
            <w:rFonts w:ascii="Arial" w:cs="Arial" w:eastAsia="Arial" w:hAnsi="Arial"/>
            <w:sz w:val="23"/>
            <w:szCs w:val="23"/>
            <w:u w:val="single" w:color="auto"/>
            <w:color w:val="0000EE"/>
            <w:vertAlign w:val="superscript"/>
          </w:rPr>
          <w:t>SM</w:t>
        </w:r>
        <w:r>
          <w:rPr>
            <w:rFonts w:ascii="Arial" w:cs="Arial" w:eastAsia="Arial" w:hAnsi="Arial"/>
            <w:sz w:val="16"/>
            <w:szCs w:val="16"/>
            <w:u w:val="single" w:color="auto"/>
            <w:color w:val="0000EE"/>
          </w:rPr>
          <w:t>, dated as of August 6, 2020, between Selecta Biosciences, Inc.</w:t>
        </w:r>
      </w:hyperlink>
    </w:p>
    <w:p>
      <w:pPr>
        <w:spacing w:after="0" w:line="6" w:lineRule="exact"/>
        <w:rPr>
          <w:sz w:val="20"/>
          <w:szCs w:val="20"/>
          <w:color w:val="auto"/>
        </w:rPr>
      </w:pPr>
    </w:p>
    <w:p>
      <w:pPr>
        <w:ind w:left="2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and Jefferies LLC.</w:t>
        </w:r>
      </w:hyperlink>
    </w:p>
    <w:p>
      <w:pPr>
        <w:spacing w:after="0" w:line="20" w:lineRule="exact"/>
        <w:rPr>
          <w:sz w:val="20"/>
          <w:szCs w:val="20"/>
          <w:color w:val="auto"/>
        </w:rPr>
      </w:pPr>
    </w:p>
    <w:p>
      <w:pPr>
        <w:ind w:left="2120" w:right="939" w:hanging="773"/>
        <w:spacing w:after="0" w:line="260" w:lineRule="auto"/>
        <w:tabs>
          <w:tab w:leader="none" w:pos="2100" w:val="left"/>
        </w:tabs>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r:id="rId92">
        <w:r>
          <w:rPr>
            <w:rFonts w:ascii="Arial" w:cs="Arial" w:eastAsia="Arial" w:hAnsi="Arial"/>
            <w:sz w:val="18"/>
            <w:szCs w:val="18"/>
            <w:u w:val="single" w:color="auto"/>
            <w:color w:val="0000EE"/>
          </w:rPr>
          <w:t>Restated Certificate of Incorporation of Selecta Biosciences, Inc., dated June 27, 2016</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(incorporated by reference to Exhibit 3.1 of the Company's Current Report on Form 8-K (File</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No. 001-37798), filed with the SEC on June 29, 2016).</w:t>
        </w:r>
      </w:hyperlink>
    </w:p>
    <w:p>
      <w:pPr>
        <w:spacing w:after="0" w:line="2" w:lineRule="exact"/>
        <w:rPr>
          <w:rFonts w:ascii="Arial" w:cs="Arial" w:eastAsia="Arial" w:hAnsi="Arial"/>
          <w:sz w:val="18"/>
          <w:szCs w:val="18"/>
          <w:u w:val="single" w:color="auto"/>
          <w:color w:val="0000EE"/>
        </w:rPr>
      </w:pPr>
    </w:p>
    <w:p>
      <w:pPr>
        <w:ind w:left="2120" w:right="819" w:hanging="773"/>
        <w:spacing w:after="0" w:line="260" w:lineRule="auto"/>
        <w:tabs>
          <w:tab w:leader="none" w:pos="2100" w:val="left"/>
        </w:tabs>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r:id="rId93">
        <w:r>
          <w:rPr>
            <w:rFonts w:ascii="Arial" w:cs="Arial" w:eastAsia="Arial" w:hAnsi="Arial"/>
            <w:sz w:val="18"/>
            <w:szCs w:val="18"/>
            <w:u w:val="single" w:color="auto"/>
            <w:color w:val="0000EE"/>
          </w:rPr>
          <w:t>Amended and Restated Bylaws of Selecta Biosciences, Inc. (incorporated by reference to</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Exhibit 3.2 of the Company’s Current Report on Form 8-K (File No. 001-37798), filed with the</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SEC on June 29, 2016).</w:t>
        </w:r>
      </w:hyperlink>
    </w:p>
    <w:p>
      <w:pPr>
        <w:spacing w:after="0" w:line="2" w:lineRule="exact"/>
        <w:rPr>
          <w:rFonts w:ascii="Arial" w:cs="Arial" w:eastAsia="Arial" w:hAnsi="Arial"/>
          <w:sz w:val="18"/>
          <w:szCs w:val="18"/>
          <w:u w:val="single" w:color="auto"/>
          <w:color w:val="0000EE"/>
        </w:rPr>
      </w:pPr>
    </w:p>
    <w:p>
      <w:pPr>
        <w:ind w:left="2120" w:right="779" w:hanging="773"/>
        <w:spacing w:after="0" w:line="263" w:lineRule="auto"/>
        <w:tabs>
          <w:tab w:leader="none" w:pos="2100" w:val="left"/>
        </w:tabs>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94">
        <w:r>
          <w:rPr>
            <w:rFonts w:ascii="Arial" w:cs="Arial" w:eastAsia="Arial" w:hAnsi="Arial"/>
            <w:sz w:val="18"/>
            <w:szCs w:val="18"/>
            <w:u w:val="single" w:color="auto"/>
            <w:color w:val="0000EE"/>
          </w:rPr>
          <w:t>Form of Specimen Certificate Representing Common Stock (incorporated by reference to</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Exhibit 4.2 of the Company’s Registration Statement on Form S-1 (Reg. No. 333-211555), filed</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with the SEC on May 24, 2016).</w:t>
        </w:r>
      </w:hyperlink>
    </w:p>
    <w:p>
      <w:pPr>
        <w:spacing w:after="0" w:line="8" w:lineRule="exact"/>
        <w:rPr>
          <w:rFonts w:ascii="Arial" w:cs="Arial" w:eastAsia="Arial" w:hAnsi="Arial"/>
          <w:sz w:val="18"/>
          <w:szCs w:val="18"/>
          <w:u w:val="single" w:color="auto"/>
          <w:color w:val="0000EE"/>
        </w:rPr>
      </w:pPr>
    </w:p>
    <w:p>
      <w:pPr>
        <w:ind w:left="1360"/>
        <w:spacing w:after="0"/>
        <w:tabs>
          <w:tab w:leader="none" w:pos="2100" w:val="left"/>
        </w:tabs>
        <w:rPr>
          <w:rFonts w:ascii="Arial" w:cs="Arial" w:eastAsia="Arial" w:hAnsi="Arial"/>
          <w:sz w:val="17"/>
          <w:szCs w:val="17"/>
          <w:u w:val="single" w:color="auto"/>
          <w:color w:val="0000EE"/>
        </w:rPr>
      </w:pPr>
      <w:hyperlink w:anchor="page93">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93">
        <w:r>
          <w:rPr>
            <w:rFonts w:ascii="Arial" w:cs="Arial" w:eastAsia="Arial" w:hAnsi="Arial"/>
            <w:sz w:val="17"/>
            <w:szCs w:val="17"/>
            <w:u w:val="single" w:color="auto"/>
            <w:color w:val="0000EE"/>
          </w:rPr>
          <w:t>Form of Indenture.</w:t>
        </w:r>
      </w:hyperlink>
    </w:p>
    <w:p>
      <w:pPr>
        <w:spacing w:after="0" w:line="50" w:lineRule="exact"/>
        <w:rPr>
          <w:sz w:val="20"/>
          <w:szCs w:val="20"/>
          <w:color w:val="auto"/>
        </w:rPr>
      </w:pPr>
    </w:p>
    <w:p>
      <w:pPr>
        <w:ind w:left="1360"/>
        <w:spacing w:after="0"/>
        <w:tabs>
          <w:tab w:leader="none" w:pos="21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Form of Note.</w:t>
      </w:r>
    </w:p>
    <w:p>
      <w:pPr>
        <w:spacing w:after="0" w:line="50" w:lineRule="exact"/>
        <w:rPr>
          <w:sz w:val="20"/>
          <w:szCs w:val="20"/>
          <w:color w:val="auto"/>
        </w:rPr>
      </w:pPr>
    </w:p>
    <w:p>
      <w:pPr>
        <w:ind w:left="1360"/>
        <w:spacing w:after="0"/>
        <w:tabs>
          <w:tab w:leader="none" w:pos="21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Form of Warrant.</w:t>
      </w:r>
    </w:p>
    <w:p>
      <w:pPr>
        <w:spacing w:after="0" w:line="50" w:lineRule="exact"/>
        <w:rPr>
          <w:sz w:val="20"/>
          <w:szCs w:val="20"/>
          <w:color w:val="auto"/>
        </w:rPr>
      </w:pPr>
    </w:p>
    <w:p>
      <w:pPr>
        <w:ind w:left="1360"/>
        <w:spacing w:after="0"/>
        <w:tabs>
          <w:tab w:leader="none" w:pos="21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Form of Warrant Agreement.</w:t>
      </w:r>
    </w:p>
    <w:p>
      <w:pPr>
        <w:spacing w:after="0" w:line="50" w:lineRule="exact"/>
        <w:rPr>
          <w:sz w:val="20"/>
          <w:szCs w:val="20"/>
          <w:color w:val="auto"/>
        </w:rPr>
      </w:pPr>
    </w:p>
    <w:p>
      <w:pPr>
        <w:ind w:left="1360"/>
        <w:spacing w:after="0"/>
        <w:tabs>
          <w:tab w:leader="none" w:pos="21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Form of Unit Agreement.</w:t>
      </w:r>
    </w:p>
    <w:p>
      <w:pPr>
        <w:spacing w:after="0" w:line="50" w:lineRule="exact"/>
        <w:rPr>
          <w:sz w:val="20"/>
          <w:szCs w:val="20"/>
          <w:color w:val="auto"/>
        </w:rPr>
      </w:pPr>
    </w:p>
    <w:p>
      <w:pPr>
        <w:ind w:left="1360"/>
        <w:spacing w:after="0"/>
        <w:tabs>
          <w:tab w:leader="none" w:pos="2100" w:val="left"/>
        </w:tabs>
        <w:rPr>
          <w:rFonts w:ascii="Arial" w:cs="Arial" w:eastAsia="Arial" w:hAnsi="Arial"/>
          <w:sz w:val="17"/>
          <w:szCs w:val="17"/>
          <w:u w:val="single" w:color="auto"/>
          <w:color w:val="0000EE"/>
        </w:rPr>
      </w:pPr>
      <w:hyperlink w:anchor="page141">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141">
        <w:r>
          <w:rPr>
            <w:rFonts w:ascii="Arial" w:cs="Arial" w:eastAsia="Arial" w:hAnsi="Arial"/>
            <w:sz w:val="17"/>
            <w:szCs w:val="17"/>
            <w:u w:val="single" w:color="auto"/>
            <w:color w:val="0000EE"/>
          </w:rPr>
          <w:t>Opinion of Latham &amp; Watkins LLP.</w:t>
        </w:r>
      </w:hyperlink>
    </w:p>
    <w:p>
      <w:pPr>
        <w:spacing w:after="0" w:line="63" w:lineRule="exact"/>
        <w:rPr>
          <w:sz w:val="20"/>
          <w:szCs w:val="20"/>
          <w:color w:val="auto"/>
        </w:rPr>
      </w:pPr>
    </w:p>
    <w:p>
      <w:pPr>
        <w:ind w:left="1360"/>
        <w:spacing w:after="0"/>
        <w:tabs>
          <w:tab w:leader="none" w:pos="2100" w:val="left"/>
        </w:tabs>
        <w:rPr>
          <w:rFonts w:ascii="Arial" w:cs="Arial" w:eastAsia="Arial" w:hAnsi="Arial"/>
          <w:sz w:val="17"/>
          <w:szCs w:val="17"/>
          <w:u w:val="single" w:color="auto"/>
          <w:color w:val="0000EE"/>
        </w:rPr>
      </w:pPr>
      <w:hyperlink w:anchor="page145">
        <w:r>
          <w:rPr>
            <w:rFonts w:ascii="Arial" w:cs="Arial" w:eastAsia="Arial" w:hAnsi="Arial"/>
            <w:sz w:val="18"/>
            <w:szCs w:val="18"/>
            <w:u w:val="single" w:color="auto"/>
            <w:color w:val="0000EE"/>
          </w:rPr>
          <w:t>5.2</w:t>
        </w:r>
      </w:hyperlink>
      <w:r>
        <w:rPr>
          <w:rFonts w:ascii="Arial" w:cs="Arial" w:eastAsia="Arial" w:hAnsi="Arial"/>
          <w:sz w:val="18"/>
          <w:szCs w:val="18"/>
          <w:u w:val="single" w:color="auto"/>
          <w:color w:val="0000EE"/>
        </w:rPr>
        <w:tab/>
      </w:r>
      <w:hyperlink w:anchor="page145">
        <w:r>
          <w:rPr>
            <w:rFonts w:ascii="Arial" w:cs="Arial" w:eastAsia="Arial" w:hAnsi="Arial"/>
            <w:sz w:val="17"/>
            <w:szCs w:val="17"/>
            <w:u w:val="single" w:color="auto"/>
            <w:color w:val="0000EE"/>
          </w:rPr>
          <w:t>Opinion of Latham &amp; Watkins LLP.</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hyperlink w:anchor="page141">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141">
        <w:r>
          <w:rPr>
            <w:rFonts w:ascii="Arial" w:cs="Arial" w:eastAsia="Arial" w:hAnsi="Arial"/>
            <w:sz w:val="17"/>
            <w:szCs w:val="17"/>
            <w:u w:val="single" w:color="auto"/>
            <w:color w:val="0000EE"/>
          </w:rPr>
          <w:t>Consent of Latham &amp; Watkins LLP (included in Exhibit 5.1).</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hyperlink w:anchor="page145">
        <w:r>
          <w:rPr>
            <w:rFonts w:ascii="Arial" w:cs="Arial" w:eastAsia="Arial" w:hAnsi="Arial"/>
            <w:sz w:val="18"/>
            <w:szCs w:val="18"/>
            <w:u w:val="single" w:color="auto"/>
            <w:color w:val="0000EE"/>
          </w:rPr>
          <w:t>23.2</w:t>
        </w:r>
      </w:hyperlink>
      <w:r>
        <w:rPr>
          <w:rFonts w:ascii="Arial" w:cs="Arial" w:eastAsia="Arial" w:hAnsi="Arial"/>
          <w:sz w:val="18"/>
          <w:szCs w:val="18"/>
          <w:u w:val="single" w:color="auto"/>
          <w:color w:val="0000EE"/>
        </w:rPr>
        <w:tab/>
      </w:r>
      <w:hyperlink w:anchor="page145">
        <w:r>
          <w:rPr>
            <w:rFonts w:ascii="Arial" w:cs="Arial" w:eastAsia="Arial" w:hAnsi="Arial"/>
            <w:sz w:val="17"/>
            <w:szCs w:val="17"/>
            <w:u w:val="single" w:color="auto"/>
            <w:color w:val="0000EE"/>
          </w:rPr>
          <w:t>Consent of Latham &amp; Watkins LLP (included in Exhibit 5.2).</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hyperlink w:anchor="page147">
        <w:r>
          <w:rPr>
            <w:rFonts w:ascii="Arial" w:cs="Arial" w:eastAsia="Arial" w:hAnsi="Arial"/>
            <w:sz w:val="18"/>
            <w:szCs w:val="18"/>
            <w:u w:val="single" w:color="auto"/>
            <w:color w:val="0000EE"/>
          </w:rPr>
          <w:t>23.3</w:t>
        </w:r>
      </w:hyperlink>
      <w:r>
        <w:rPr>
          <w:rFonts w:ascii="Arial" w:cs="Arial" w:eastAsia="Arial" w:hAnsi="Arial"/>
          <w:sz w:val="18"/>
          <w:szCs w:val="18"/>
          <w:u w:val="single" w:color="auto"/>
          <w:color w:val="0000EE"/>
        </w:rPr>
        <w:tab/>
      </w:r>
      <w:hyperlink w:anchor="page147">
        <w:r>
          <w:rPr>
            <w:rFonts w:ascii="Arial" w:cs="Arial" w:eastAsia="Arial" w:hAnsi="Arial"/>
            <w:sz w:val="17"/>
            <w:szCs w:val="17"/>
            <w:u w:val="single" w:color="auto"/>
            <w:color w:val="0000EE"/>
          </w:rPr>
          <w:t>Consent of Ernst &amp; Young LLP, independent registered public accounting firm.</w:t>
        </w:r>
      </w:hyperlink>
    </w:p>
    <w:p>
      <w:pPr>
        <w:spacing w:after="0" w:line="63" w:lineRule="exact"/>
        <w:rPr>
          <w:sz w:val="20"/>
          <w:szCs w:val="20"/>
          <w:color w:val="auto"/>
        </w:rPr>
      </w:pPr>
    </w:p>
    <w:p>
      <w:pPr>
        <w:ind w:left="1260"/>
        <w:spacing w:after="0"/>
        <w:tabs>
          <w:tab w:leader="none" w:pos="2100" w:val="left"/>
        </w:tabs>
        <w:rPr>
          <w:rFonts w:ascii="Arial" w:cs="Arial" w:eastAsia="Arial" w:hAnsi="Arial"/>
          <w:sz w:val="17"/>
          <w:szCs w:val="17"/>
          <w:u w:val="single" w:color="auto"/>
          <w:color w:val="0000EE"/>
        </w:rPr>
      </w:pPr>
      <w:hyperlink w:anchor="page51">
        <w:r>
          <w:rPr>
            <w:rFonts w:ascii="Arial" w:cs="Arial" w:eastAsia="Arial" w:hAnsi="Arial"/>
            <w:sz w:val="18"/>
            <w:szCs w:val="18"/>
            <w:u w:val="single" w:color="auto"/>
            <w:color w:val="0000EE"/>
          </w:rPr>
          <w:t>24.1</w:t>
        </w:r>
      </w:hyperlink>
      <w:r>
        <w:rPr>
          <w:rFonts w:ascii="Arial" w:cs="Arial" w:eastAsia="Arial" w:hAnsi="Arial"/>
          <w:sz w:val="18"/>
          <w:szCs w:val="18"/>
          <w:color w:val="0000EE"/>
        </w:rPr>
        <w:tab/>
      </w:r>
      <w:hyperlink w:anchor="page51">
        <w:r>
          <w:rPr>
            <w:rFonts w:ascii="Arial" w:cs="Arial" w:eastAsia="Arial" w:hAnsi="Arial"/>
            <w:sz w:val="17"/>
            <w:szCs w:val="17"/>
            <w:u w:val="single" w:color="auto"/>
            <w:color w:val="0000EE"/>
          </w:rPr>
          <w:t>Powers of Attorney (incorporated by reference to the signature page hereto</w:t>
        </w:r>
      </w:hyperlink>
      <w:r>
        <w:rPr>
          <w:rFonts w:ascii="Arial" w:cs="Arial" w:eastAsia="Arial" w:hAnsi="Arial"/>
          <w:sz w:val="17"/>
          <w:szCs w:val="17"/>
          <w:color w:val="000000"/>
        </w:rPr>
        <w:t>).</w:t>
      </w:r>
    </w:p>
    <w:p>
      <w:pPr>
        <w:spacing w:after="0" w:line="50" w:lineRule="exact"/>
        <w:rPr>
          <w:sz w:val="20"/>
          <w:szCs w:val="20"/>
          <w:color w:val="auto"/>
        </w:rPr>
      </w:pPr>
    </w:p>
    <w:p>
      <w:pPr>
        <w:ind w:left="2120" w:right="999" w:hanging="863"/>
        <w:spacing w:after="0" w:line="277" w:lineRule="auto"/>
        <w:tabs>
          <w:tab w:leader="none" w:pos="21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Form T-1 Statement of Eligibility and Qualification under the Trust Indenture Act of 1939 of Trustee for Form of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194310</wp:posOffset>
            </wp:positionV>
            <wp:extent cx="1234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620" w:hanging="358"/>
        <w:spacing w:after="0"/>
        <w:tabs>
          <w:tab w:leader="none" w:pos="1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be filed by amendment or incorporated by reference in connection with the offering of the securities.</w:t>
      </w:r>
    </w:p>
    <w:p>
      <w:pPr>
        <w:spacing w:after="0" w:line="75" w:lineRule="exact"/>
        <w:rPr>
          <w:sz w:val="20"/>
          <w:szCs w:val="20"/>
          <w:color w:val="auto"/>
        </w:rPr>
      </w:pPr>
    </w:p>
    <w:p>
      <w:pPr>
        <w:ind w:left="1620" w:right="699" w:hanging="358"/>
        <w:spacing w:after="0" w:line="27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62" w:lineRule="exact"/>
        <w:rPr>
          <w:sz w:val="20"/>
          <w:szCs w:val="20"/>
          <w:color w:val="auto"/>
        </w:rPr>
      </w:pPr>
    </w:p>
    <w:p>
      <w:pPr>
        <w:ind w:left="1980" w:hanging="358"/>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620" w:right="1599" w:firstLine="362"/>
        <w:spacing w:after="0" w:line="261" w:lineRule="auto"/>
        <w:tabs>
          <w:tab w:leader="none" w:pos="234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2660" w:hanging="318"/>
        <w:spacing w:after="0"/>
        <w:tabs>
          <w:tab w:leader="none" w:pos="26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left="1980" w:right="679" w:firstLine="362"/>
        <w:spacing w:after="0" w:line="254" w:lineRule="auto"/>
        <w:tabs>
          <w:tab w:leader="none" w:pos="2717" w:val="left"/>
        </w:tabs>
        <w:numPr>
          <w:ilvl w:val="2"/>
          <w:numId w:val="2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919"/>
        <w:spacing w:after="0" w:line="261" w:lineRule="auto"/>
        <w:rPr>
          <w:sz w:val="20"/>
          <w:szCs w:val="20"/>
          <w:color w:val="auto"/>
        </w:rPr>
      </w:pPr>
      <w:r>
        <w:rPr>
          <w:rFonts w:ascii="Arial" w:cs="Arial" w:eastAsia="Arial" w:hAnsi="Arial"/>
          <w:sz w:val="18"/>
          <w:szCs w:val="18"/>
          <w:color w:val="auto"/>
        </w:rPr>
        <w:t>maximum aggregate offering price set forth in the “Calculation of Registration Fee” table in the effective registration statement; and</w:t>
      </w:r>
    </w:p>
    <w:p>
      <w:pPr>
        <w:spacing w:after="0" w:line="90" w:lineRule="exact"/>
        <w:rPr>
          <w:sz w:val="20"/>
          <w:szCs w:val="20"/>
          <w:color w:val="auto"/>
        </w:rPr>
      </w:pPr>
    </w:p>
    <w:p>
      <w:pPr>
        <w:ind w:left="1980" w:right="679" w:firstLine="362"/>
        <w:spacing w:after="0" w:line="248" w:lineRule="auto"/>
        <w:tabs>
          <w:tab w:leader="none" w:pos="27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4" w:lineRule="exact"/>
        <w:rPr>
          <w:sz w:val="20"/>
          <w:szCs w:val="20"/>
          <w:color w:val="auto"/>
        </w:rPr>
      </w:pPr>
    </w:p>
    <w:p>
      <w:pPr>
        <w:ind w:left="1620" w:right="799"/>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22" w:lineRule="exact"/>
        <w:rPr>
          <w:sz w:val="20"/>
          <w:szCs w:val="20"/>
          <w:color w:val="auto"/>
        </w:rPr>
      </w:pPr>
    </w:p>
    <w:p>
      <w:pPr>
        <w:ind w:left="1620" w:right="759" w:firstLine="362"/>
        <w:spacing w:after="0" w:line="243" w:lineRule="auto"/>
        <w:tabs>
          <w:tab w:leader="none" w:pos="23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6" w:lineRule="exact"/>
        <w:rPr>
          <w:rFonts w:ascii="Arial" w:cs="Arial" w:eastAsia="Arial" w:hAnsi="Arial"/>
          <w:sz w:val="18"/>
          <w:szCs w:val="18"/>
          <w:color w:val="auto"/>
        </w:rPr>
      </w:pPr>
    </w:p>
    <w:p>
      <w:pPr>
        <w:ind w:left="1620" w:right="999" w:firstLine="362"/>
        <w:spacing w:after="0" w:line="261" w:lineRule="auto"/>
        <w:tabs>
          <w:tab w:leader="none" w:pos="23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ind w:left="1620" w:right="1399" w:firstLine="362"/>
        <w:spacing w:after="0" w:line="261" w:lineRule="auto"/>
        <w:tabs>
          <w:tab w:leader="none" w:pos="23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03" w:lineRule="exact"/>
        <w:rPr>
          <w:rFonts w:ascii="Arial" w:cs="Arial" w:eastAsia="Arial" w:hAnsi="Arial"/>
          <w:sz w:val="18"/>
          <w:szCs w:val="18"/>
          <w:color w:val="auto"/>
        </w:rPr>
      </w:pPr>
    </w:p>
    <w:p>
      <w:pPr>
        <w:ind w:left="1980" w:right="739" w:firstLine="362"/>
        <w:spacing w:after="0" w:line="248" w:lineRule="auto"/>
        <w:tabs>
          <w:tab w:leader="none" w:pos="2746"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0" w:lineRule="exact"/>
        <w:rPr>
          <w:rFonts w:ascii="Arial" w:cs="Arial" w:eastAsia="Arial" w:hAnsi="Arial"/>
          <w:sz w:val="18"/>
          <w:szCs w:val="18"/>
          <w:color w:val="auto"/>
        </w:rPr>
      </w:pPr>
    </w:p>
    <w:p>
      <w:pPr>
        <w:ind w:left="1980" w:right="679" w:firstLine="362"/>
        <w:spacing w:after="0" w:line="251" w:lineRule="auto"/>
        <w:tabs>
          <w:tab w:leader="none" w:pos="2736"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statement made in a registration statement or prospectus that is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7" w:lineRule="exact"/>
        <w:rPr>
          <w:rFonts w:ascii="Arial" w:cs="Arial" w:eastAsia="Arial" w:hAnsi="Arial"/>
          <w:sz w:val="17"/>
          <w:szCs w:val="17"/>
          <w:color w:val="auto"/>
        </w:rPr>
      </w:pPr>
    </w:p>
    <w:p>
      <w:pPr>
        <w:ind w:left="2340" w:hanging="358"/>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w:t>
      </w:r>
    </w:p>
    <w:p>
      <w:pPr>
        <w:spacing w:after="0" w:line="1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1933 to any purchaser in the initial distribution of the securities:</w:t>
      </w:r>
    </w:p>
    <w:p>
      <w:pPr>
        <w:spacing w:after="0" w:line="128" w:lineRule="exact"/>
        <w:rPr>
          <w:sz w:val="20"/>
          <w:szCs w:val="20"/>
          <w:color w:val="auto"/>
        </w:rPr>
      </w:pPr>
    </w:p>
    <w:p>
      <w:pPr>
        <w:ind w:left="1620" w:right="719" w:firstLine="360"/>
        <w:spacing w:after="0" w:line="241"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8" w:lineRule="exact"/>
        <w:rPr>
          <w:sz w:val="20"/>
          <w:szCs w:val="20"/>
          <w:color w:val="auto"/>
        </w:rPr>
      </w:pPr>
    </w:p>
    <w:p>
      <w:pPr>
        <w:ind w:left="1980" w:right="999" w:firstLine="362"/>
        <w:spacing w:after="0" w:line="261" w:lineRule="auto"/>
        <w:tabs>
          <w:tab w:leader="none" w:pos="26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3" w:lineRule="exact"/>
        <w:rPr>
          <w:rFonts w:ascii="Arial" w:cs="Arial" w:eastAsia="Arial" w:hAnsi="Arial"/>
          <w:sz w:val="18"/>
          <w:szCs w:val="18"/>
          <w:color w:val="auto"/>
        </w:rPr>
      </w:pPr>
    </w:p>
    <w:p>
      <w:pPr>
        <w:ind w:left="1980" w:right="1179" w:firstLine="362"/>
        <w:spacing w:after="0" w:line="261" w:lineRule="auto"/>
        <w:tabs>
          <w:tab w:leader="none" w:pos="27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19" w:firstLine="362"/>
        <w:spacing w:after="0" w:line="263" w:lineRule="auto"/>
        <w:tabs>
          <w:tab w:leader="none" w:pos="27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1980" w:right="1139" w:firstLine="362"/>
        <w:spacing w:after="0" w:line="277" w:lineRule="auto"/>
        <w:tabs>
          <w:tab w:leader="none" w:pos="27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102" w:lineRule="exact"/>
        <w:rPr>
          <w:rFonts w:ascii="Arial" w:cs="Arial" w:eastAsia="Arial" w:hAnsi="Arial"/>
          <w:sz w:val="18"/>
          <w:szCs w:val="18"/>
          <w:color w:val="auto"/>
        </w:rPr>
      </w:pPr>
    </w:p>
    <w:p>
      <w:pPr>
        <w:ind w:left="1260" w:right="839" w:firstLine="362"/>
        <w:spacing w:after="0" w:line="254" w:lineRule="auto"/>
        <w:tabs>
          <w:tab w:leader="none" w:pos="18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7" w:lineRule="exact"/>
        <w:rPr>
          <w:sz w:val="20"/>
          <w:szCs w:val="20"/>
          <w:color w:val="auto"/>
        </w:rPr>
      </w:pPr>
    </w:p>
    <w:p>
      <w:pPr>
        <w:ind w:left="1260" w:right="679" w:firstLine="362"/>
        <w:spacing w:after="0" w:line="269" w:lineRule="auto"/>
        <w:tabs>
          <w:tab w:leader="none" w:pos="1889"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1" w:lineRule="exact"/>
        <w:rPr>
          <w:sz w:val="20"/>
          <w:szCs w:val="20"/>
          <w:color w:val="auto"/>
        </w:rPr>
      </w:pPr>
    </w:p>
    <w:p>
      <w:pPr>
        <w:ind w:left="1260" w:right="719" w:firstLine="362"/>
        <w:spacing w:after="0" w:line="286" w:lineRule="auto"/>
        <w:tabs>
          <w:tab w:leader="none" w:pos="184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1260" w:right="859" w:firstLine="36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Watertown, Massachusetts, on August 6, 2020.</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SELECTA BIOSCIENCES, INC.</w:t>
      </w:r>
    </w:p>
    <w:p>
      <w:pPr>
        <w:spacing w:after="0" w:line="243" w:lineRule="exact"/>
        <w:rPr>
          <w:sz w:val="20"/>
          <w:szCs w:val="20"/>
          <w:color w:val="auto"/>
        </w:rPr>
      </w:pPr>
    </w:p>
    <w:p>
      <w:pPr>
        <w:ind w:left="51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48895</wp:posOffset>
            </wp:positionV>
            <wp:extent cx="25114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97"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jc w:val="center"/>
        <w:ind w:left="3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Each of the undersigned officers and directors of the registrant hereby severally constitutes and appoints Carsten Brunn, Ph.D. and Bradford D. Dahms,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17"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324" w:lineRule="exact"/>
        <w:rPr>
          <w:sz w:val="20"/>
          <w:szCs w:val="20"/>
          <w:color w:val="auto"/>
        </w:rPr>
      </w:pPr>
    </w:p>
    <w:p>
      <w:pPr>
        <w:ind w:left="2460"/>
        <w:spacing w:after="0"/>
        <w:tabs>
          <w:tab w:leader="none" w:pos="6040" w:val="left"/>
          <w:tab w:leader="none" w:pos="85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031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200" w:type="dxa"/>
            <w:vAlign w:val="bottom"/>
          </w:tcPr>
          <w:p>
            <w:pPr>
              <w:jc w:val="center"/>
              <w:spacing w:after="0"/>
              <w:rPr>
                <w:sz w:val="20"/>
                <w:szCs w:val="20"/>
                <w:color w:val="auto"/>
              </w:rPr>
            </w:pPr>
            <w:r>
              <w:rPr>
                <w:rFonts w:ascii="Arial" w:cs="Arial" w:eastAsia="Arial" w:hAnsi="Arial"/>
                <w:sz w:val="17"/>
                <w:szCs w:val="17"/>
                <w:color w:val="auto"/>
                <w:w w:val="98"/>
              </w:rPr>
              <w:t>/s/ CARSTEN BRUNN, PH.D.</w:t>
            </w:r>
          </w:p>
        </w:tc>
        <w:tc>
          <w:tcPr>
            <w:tcW w:w="3560" w:type="dxa"/>
            <w:vAlign w:val="bottom"/>
          </w:tcPr>
          <w:p>
            <w:pPr>
              <w:ind w:left="220"/>
              <w:spacing w:after="0"/>
              <w:rPr>
                <w:sz w:val="20"/>
                <w:szCs w:val="20"/>
                <w:color w:val="auto"/>
              </w:rPr>
            </w:pPr>
            <w:r>
              <w:rPr>
                <w:rFonts w:ascii="Arial" w:cs="Arial" w:eastAsia="Arial" w:hAnsi="Arial"/>
                <w:sz w:val="17"/>
                <w:szCs w:val="17"/>
                <w:color w:val="auto"/>
              </w:rPr>
              <w:t>President, Chief Executive Officer and</w:t>
            </w:r>
          </w:p>
        </w:tc>
        <w:tc>
          <w:tcPr>
            <w:tcW w:w="1300" w:type="dxa"/>
            <w:vAlign w:val="bottom"/>
          </w:tcPr>
          <w:p>
            <w:pPr>
              <w:ind w:left="200"/>
              <w:spacing w:after="0"/>
              <w:rPr>
                <w:sz w:val="20"/>
                <w:szCs w:val="20"/>
                <w:color w:val="auto"/>
              </w:rPr>
            </w:pPr>
            <w:r>
              <w:rPr>
                <w:rFonts w:ascii="Arial" w:cs="Arial" w:eastAsia="Arial" w:hAnsi="Arial"/>
                <w:sz w:val="17"/>
                <w:szCs w:val="17"/>
                <w:color w:val="auto"/>
                <w:w w:val="94"/>
              </w:rPr>
              <w:t>August 6, 2020</w:t>
            </w:r>
          </w:p>
        </w:tc>
        <w:tc>
          <w:tcPr>
            <w:tcW w:w="0" w:type="dxa"/>
            <w:vAlign w:val="bottom"/>
          </w:tcPr>
          <w:p>
            <w:pPr>
              <w:spacing w:after="0"/>
              <w:rPr>
                <w:sz w:val="1"/>
                <w:szCs w:val="1"/>
                <w:color w:val="auto"/>
              </w:rPr>
            </w:pPr>
          </w:p>
        </w:tc>
      </w:tr>
      <w:tr>
        <w:trPr>
          <w:trHeight w:val="58"/>
        </w:trPr>
        <w:tc>
          <w:tcPr>
            <w:tcW w:w="3200" w:type="dxa"/>
            <w:vAlign w:val="bottom"/>
            <w:tcBorders>
              <w:bottom w:val="single" w:sz="8" w:color="auto"/>
            </w:tcBorders>
          </w:tcPr>
          <w:p>
            <w:pPr>
              <w:spacing w:after="0"/>
              <w:rPr>
                <w:sz w:val="5"/>
                <w:szCs w:val="5"/>
                <w:color w:val="auto"/>
              </w:rPr>
            </w:pPr>
          </w:p>
        </w:tc>
        <w:tc>
          <w:tcPr>
            <w:tcW w:w="3560" w:type="dxa"/>
            <w:vAlign w:val="bottom"/>
            <w:vMerge w:val="restart"/>
          </w:tcPr>
          <w:p>
            <w:pPr>
              <w:ind w:left="220"/>
              <w:spacing w:after="0"/>
              <w:rPr>
                <w:sz w:val="20"/>
                <w:szCs w:val="20"/>
                <w:color w:val="auto"/>
              </w:rPr>
            </w:pPr>
            <w:r>
              <w:rPr>
                <w:rFonts w:ascii="Arial" w:cs="Arial" w:eastAsia="Arial" w:hAnsi="Arial"/>
                <w:sz w:val="17"/>
                <w:szCs w:val="17"/>
                <w:color w:val="auto"/>
              </w:rPr>
              <w:t>Director (Principal Executive Officer)</w:t>
            </w: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3200" w:type="dxa"/>
            <w:vAlign w:val="bottom"/>
            <w:vMerge w:val="restart"/>
          </w:tcPr>
          <w:p>
            <w:pPr>
              <w:jc w:val="center"/>
              <w:spacing w:after="0"/>
              <w:rPr>
                <w:sz w:val="20"/>
                <w:szCs w:val="20"/>
                <w:color w:val="auto"/>
              </w:rPr>
            </w:pPr>
            <w:r>
              <w:rPr>
                <w:rFonts w:ascii="Arial" w:cs="Arial" w:eastAsia="Arial" w:hAnsi="Arial"/>
                <w:sz w:val="17"/>
                <w:szCs w:val="17"/>
                <w:color w:val="auto"/>
                <w:w w:val="94"/>
              </w:rPr>
              <w:t>Carsten Brunn, Ph.D.</w:t>
            </w:r>
          </w:p>
        </w:tc>
        <w:tc>
          <w:tcPr>
            <w:tcW w:w="35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0"/>
        </w:trPr>
        <w:tc>
          <w:tcPr>
            <w:tcW w:w="3200" w:type="dxa"/>
            <w:vAlign w:val="bottom"/>
          </w:tcPr>
          <w:p>
            <w:pPr>
              <w:jc w:val="center"/>
              <w:spacing w:after="0"/>
              <w:rPr>
                <w:sz w:val="20"/>
                <w:szCs w:val="20"/>
                <w:color w:val="auto"/>
              </w:rPr>
            </w:pPr>
            <w:r>
              <w:rPr>
                <w:rFonts w:ascii="Arial" w:cs="Arial" w:eastAsia="Arial" w:hAnsi="Arial"/>
                <w:sz w:val="17"/>
                <w:szCs w:val="17"/>
                <w:color w:val="auto"/>
              </w:rPr>
              <w:t>/s/ BRADFORD D. DAHMS</w:t>
            </w:r>
          </w:p>
        </w:tc>
        <w:tc>
          <w:tcPr>
            <w:tcW w:w="3560" w:type="dxa"/>
            <w:vAlign w:val="bottom"/>
          </w:tcPr>
          <w:p>
            <w:pPr>
              <w:ind w:left="220"/>
              <w:spacing w:after="0"/>
              <w:rPr>
                <w:sz w:val="20"/>
                <w:szCs w:val="20"/>
                <w:color w:val="auto"/>
              </w:rPr>
            </w:pPr>
            <w:r>
              <w:rPr>
                <w:rFonts w:ascii="Arial" w:cs="Arial" w:eastAsia="Arial" w:hAnsi="Arial"/>
                <w:sz w:val="17"/>
                <w:szCs w:val="17"/>
                <w:color w:val="auto"/>
              </w:rPr>
              <w:t>Chief Financial Officer (Principal Financial</w:t>
            </w:r>
          </w:p>
        </w:tc>
        <w:tc>
          <w:tcPr>
            <w:tcW w:w="1300" w:type="dxa"/>
            <w:vAlign w:val="bottom"/>
          </w:tcPr>
          <w:p>
            <w:pPr>
              <w:ind w:left="200"/>
              <w:spacing w:after="0"/>
              <w:rPr>
                <w:sz w:val="20"/>
                <w:szCs w:val="20"/>
                <w:color w:val="auto"/>
              </w:rPr>
            </w:pPr>
            <w:r>
              <w:rPr>
                <w:rFonts w:ascii="Arial" w:cs="Arial" w:eastAsia="Arial" w:hAnsi="Arial"/>
                <w:sz w:val="17"/>
                <w:szCs w:val="17"/>
                <w:color w:val="auto"/>
                <w:w w:val="94"/>
              </w:rPr>
              <w:t>August 6, 2020</w:t>
            </w:r>
          </w:p>
        </w:tc>
        <w:tc>
          <w:tcPr>
            <w:tcW w:w="0" w:type="dxa"/>
            <w:vAlign w:val="bottom"/>
          </w:tcPr>
          <w:p>
            <w:pPr>
              <w:spacing w:after="0"/>
              <w:rPr>
                <w:sz w:val="1"/>
                <w:szCs w:val="1"/>
                <w:color w:val="auto"/>
              </w:rPr>
            </w:pPr>
          </w:p>
        </w:tc>
      </w:tr>
      <w:tr>
        <w:trPr>
          <w:trHeight w:val="58"/>
        </w:trPr>
        <w:tc>
          <w:tcPr>
            <w:tcW w:w="3200" w:type="dxa"/>
            <w:vAlign w:val="bottom"/>
            <w:tcBorders>
              <w:bottom w:val="single" w:sz="8" w:color="auto"/>
            </w:tcBorders>
          </w:tcPr>
          <w:p>
            <w:pPr>
              <w:spacing w:after="0"/>
              <w:rPr>
                <w:sz w:val="5"/>
                <w:szCs w:val="5"/>
                <w:color w:val="auto"/>
              </w:rPr>
            </w:pPr>
          </w:p>
        </w:tc>
        <w:tc>
          <w:tcPr>
            <w:tcW w:w="3560" w:type="dxa"/>
            <w:vAlign w:val="bottom"/>
            <w:vMerge w:val="restart"/>
          </w:tcPr>
          <w:p>
            <w:pPr>
              <w:ind w:left="220"/>
              <w:spacing w:after="0"/>
              <w:rPr>
                <w:sz w:val="20"/>
                <w:szCs w:val="20"/>
                <w:color w:val="auto"/>
              </w:rPr>
            </w:pPr>
            <w:r>
              <w:rPr>
                <w:rFonts w:ascii="Arial" w:cs="Arial" w:eastAsia="Arial" w:hAnsi="Arial"/>
                <w:sz w:val="17"/>
                <w:szCs w:val="17"/>
                <w:color w:val="auto"/>
              </w:rPr>
              <w:t>Officer and Principal Accounting Officer)</w:t>
            </w: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3200" w:type="dxa"/>
            <w:vAlign w:val="bottom"/>
            <w:vMerge w:val="restart"/>
          </w:tcPr>
          <w:p>
            <w:pPr>
              <w:jc w:val="center"/>
              <w:spacing w:after="0"/>
              <w:rPr>
                <w:sz w:val="20"/>
                <w:szCs w:val="20"/>
                <w:color w:val="auto"/>
              </w:rPr>
            </w:pPr>
            <w:r>
              <w:rPr>
                <w:rFonts w:ascii="Arial" w:cs="Arial" w:eastAsia="Arial" w:hAnsi="Arial"/>
                <w:sz w:val="17"/>
                <w:szCs w:val="17"/>
                <w:color w:val="auto"/>
                <w:w w:val="96"/>
              </w:rPr>
              <w:t>Bradford D. Dahms</w:t>
            </w:r>
          </w:p>
        </w:tc>
        <w:tc>
          <w:tcPr>
            <w:tcW w:w="35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0"/>
        </w:trPr>
        <w:tc>
          <w:tcPr>
            <w:tcW w:w="3200" w:type="dxa"/>
            <w:vAlign w:val="bottom"/>
          </w:tcPr>
          <w:p>
            <w:pPr>
              <w:jc w:val="center"/>
              <w:spacing w:after="0"/>
              <w:rPr>
                <w:sz w:val="20"/>
                <w:szCs w:val="20"/>
                <w:color w:val="auto"/>
              </w:rPr>
            </w:pPr>
            <w:r>
              <w:rPr>
                <w:rFonts w:ascii="Arial" w:cs="Arial" w:eastAsia="Arial" w:hAnsi="Arial"/>
                <w:sz w:val="17"/>
                <w:szCs w:val="17"/>
                <w:color w:val="auto"/>
                <w:w w:val="99"/>
              </w:rPr>
              <w:t>/s/ CARRIE S. COX</w:t>
            </w:r>
          </w:p>
        </w:tc>
        <w:tc>
          <w:tcPr>
            <w:tcW w:w="3560" w:type="dxa"/>
            <w:vAlign w:val="bottom"/>
          </w:tcPr>
          <w:p>
            <w:pPr>
              <w:ind w:left="220"/>
              <w:spacing w:after="0"/>
              <w:rPr>
                <w:sz w:val="20"/>
                <w:szCs w:val="20"/>
                <w:color w:val="auto"/>
              </w:rPr>
            </w:pPr>
            <w:r>
              <w:rPr>
                <w:rFonts w:ascii="Arial" w:cs="Arial" w:eastAsia="Arial" w:hAnsi="Arial"/>
                <w:sz w:val="17"/>
                <w:szCs w:val="17"/>
                <w:color w:val="auto"/>
              </w:rPr>
              <w:t>Chairman of the Board</w:t>
            </w:r>
          </w:p>
        </w:tc>
        <w:tc>
          <w:tcPr>
            <w:tcW w:w="1300" w:type="dxa"/>
            <w:vAlign w:val="bottom"/>
          </w:tcPr>
          <w:p>
            <w:pPr>
              <w:ind w:left="200"/>
              <w:spacing w:after="0"/>
              <w:rPr>
                <w:sz w:val="20"/>
                <w:szCs w:val="20"/>
                <w:color w:val="auto"/>
              </w:rPr>
            </w:pPr>
            <w:r>
              <w:rPr>
                <w:rFonts w:ascii="Arial" w:cs="Arial" w:eastAsia="Arial" w:hAnsi="Arial"/>
                <w:sz w:val="17"/>
                <w:szCs w:val="17"/>
                <w:color w:val="auto"/>
                <w:w w:val="94"/>
              </w:rPr>
              <w:t>August 6, 2020</w:t>
            </w:r>
          </w:p>
        </w:tc>
        <w:tc>
          <w:tcPr>
            <w:tcW w:w="0" w:type="dxa"/>
            <w:vAlign w:val="bottom"/>
          </w:tcPr>
          <w:p>
            <w:pPr>
              <w:spacing w:after="0"/>
              <w:rPr>
                <w:sz w:val="1"/>
                <w:szCs w:val="1"/>
                <w:color w:val="auto"/>
              </w:rPr>
            </w:pPr>
          </w:p>
        </w:tc>
      </w:tr>
      <w:tr>
        <w:trPr>
          <w:trHeight w:val="58"/>
        </w:trPr>
        <w:tc>
          <w:tcPr>
            <w:tcW w:w="3200" w:type="dxa"/>
            <w:vAlign w:val="bottom"/>
            <w:tcBorders>
              <w:bottom w:val="single" w:sz="8" w:color="auto"/>
            </w:tcBorders>
          </w:tcPr>
          <w:p>
            <w:pPr>
              <w:spacing w:after="0"/>
              <w:rPr>
                <w:sz w:val="5"/>
                <w:szCs w:val="5"/>
                <w:color w:val="auto"/>
              </w:rPr>
            </w:pPr>
          </w:p>
        </w:tc>
        <w:tc>
          <w:tcPr>
            <w:tcW w:w="35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200" w:type="dxa"/>
            <w:vAlign w:val="bottom"/>
          </w:tcPr>
          <w:p>
            <w:pPr>
              <w:jc w:val="center"/>
              <w:spacing w:after="0"/>
              <w:rPr>
                <w:sz w:val="20"/>
                <w:szCs w:val="20"/>
                <w:color w:val="auto"/>
              </w:rPr>
            </w:pPr>
            <w:r>
              <w:rPr>
                <w:rFonts w:ascii="Arial" w:cs="Arial" w:eastAsia="Arial" w:hAnsi="Arial"/>
                <w:sz w:val="17"/>
                <w:szCs w:val="17"/>
                <w:color w:val="auto"/>
                <w:w w:val="94"/>
              </w:rPr>
              <w:t>Carrie S. Cox</w:t>
            </w:r>
          </w:p>
        </w:tc>
        <w:tc>
          <w:tcPr>
            <w:tcW w:w="3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3200" w:type="dxa"/>
            <w:vAlign w:val="bottom"/>
          </w:tcPr>
          <w:p>
            <w:pPr>
              <w:jc w:val="center"/>
              <w:spacing w:after="0"/>
              <w:rPr>
                <w:sz w:val="20"/>
                <w:szCs w:val="20"/>
                <w:color w:val="auto"/>
              </w:rPr>
            </w:pPr>
            <w:r>
              <w:rPr>
                <w:rFonts w:ascii="Arial" w:cs="Arial" w:eastAsia="Arial" w:hAnsi="Arial"/>
                <w:sz w:val="17"/>
                <w:szCs w:val="17"/>
                <w:color w:val="auto"/>
              </w:rPr>
              <w:t>/s/ GORAN A. ANDO, M.D.</w:t>
            </w:r>
          </w:p>
        </w:tc>
        <w:tc>
          <w:tcPr>
            <w:tcW w:w="3560" w:type="dxa"/>
            <w:vAlign w:val="bottom"/>
          </w:tcPr>
          <w:p>
            <w:pPr>
              <w:ind w:left="220"/>
              <w:spacing w:after="0"/>
              <w:rPr>
                <w:sz w:val="20"/>
                <w:szCs w:val="20"/>
                <w:color w:val="auto"/>
              </w:rPr>
            </w:pPr>
            <w:r>
              <w:rPr>
                <w:rFonts w:ascii="Arial" w:cs="Arial" w:eastAsia="Arial" w:hAnsi="Arial"/>
                <w:sz w:val="17"/>
                <w:szCs w:val="17"/>
                <w:color w:val="auto"/>
              </w:rPr>
              <w:t>Director</w:t>
            </w:r>
          </w:p>
        </w:tc>
        <w:tc>
          <w:tcPr>
            <w:tcW w:w="1300" w:type="dxa"/>
            <w:vAlign w:val="bottom"/>
          </w:tcPr>
          <w:p>
            <w:pPr>
              <w:ind w:left="200"/>
              <w:spacing w:after="0"/>
              <w:rPr>
                <w:sz w:val="20"/>
                <w:szCs w:val="20"/>
                <w:color w:val="auto"/>
              </w:rPr>
            </w:pPr>
            <w:r>
              <w:rPr>
                <w:rFonts w:ascii="Arial" w:cs="Arial" w:eastAsia="Arial" w:hAnsi="Arial"/>
                <w:sz w:val="17"/>
                <w:szCs w:val="17"/>
                <w:color w:val="auto"/>
                <w:w w:val="94"/>
              </w:rPr>
              <w:t>August 6, 2020</w:t>
            </w:r>
          </w:p>
        </w:tc>
        <w:tc>
          <w:tcPr>
            <w:tcW w:w="0" w:type="dxa"/>
            <w:vAlign w:val="bottom"/>
          </w:tcPr>
          <w:p>
            <w:pPr>
              <w:spacing w:after="0"/>
              <w:rPr>
                <w:sz w:val="1"/>
                <w:szCs w:val="1"/>
                <w:color w:val="auto"/>
              </w:rPr>
            </w:pPr>
          </w:p>
        </w:tc>
      </w:tr>
      <w:tr>
        <w:trPr>
          <w:trHeight w:val="58"/>
        </w:trPr>
        <w:tc>
          <w:tcPr>
            <w:tcW w:w="3200" w:type="dxa"/>
            <w:vAlign w:val="bottom"/>
            <w:tcBorders>
              <w:bottom w:val="single" w:sz="8" w:color="auto"/>
            </w:tcBorders>
          </w:tcPr>
          <w:p>
            <w:pPr>
              <w:spacing w:after="0"/>
              <w:rPr>
                <w:sz w:val="5"/>
                <w:szCs w:val="5"/>
                <w:color w:val="auto"/>
              </w:rPr>
            </w:pPr>
          </w:p>
        </w:tc>
        <w:tc>
          <w:tcPr>
            <w:tcW w:w="35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200" w:type="dxa"/>
            <w:vAlign w:val="bottom"/>
          </w:tcPr>
          <w:p>
            <w:pPr>
              <w:jc w:val="center"/>
              <w:spacing w:after="0"/>
              <w:rPr>
                <w:sz w:val="20"/>
                <w:szCs w:val="20"/>
                <w:color w:val="auto"/>
              </w:rPr>
            </w:pPr>
            <w:r>
              <w:rPr>
                <w:rFonts w:ascii="Arial" w:cs="Arial" w:eastAsia="Arial" w:hAnsi="Arial"/>
                <w:sz w:val="17"/>
                <w:szCs w:val="17"/>
                <w:color w:val="auto"/>
                <w:w w:val="98"/>
              </w:rPr>
              <w:t>Goran A. Ando, M.D.</w:t>
            </w:r>
          </w:p>
        </w:tc>
        <w:tc>
          <w:tcPr>
            <w:tcW w:w="3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3200" w:type="dxa"/>
            <w:vAlign w:val="bottom"/>
          </w:tcPr>
          <w:p>
            <w:pPr>
              <w:jc w:val="center"/>
              <w:spacing w:after="0"/>
              <w:rPr>
                <w:sz w:val="20"/>
                <w:szCs w:val="20"/>
                <w:color w:val="auto"/>
              </w:rPr>
            </w:pPr>
            <w:r>
              <w:rPr>
                <w:rFonts w:ascii="Arial" w:cs="Arial" w:eastAsia="Arial" w:hAnsi="Arial"/>
                <w:sz w:val="17"/>
                <w:szCs w:val="17"/>
                <w:color w:val="auto"/>
              </w:rPr>
              <w:t>/s/ TIMOTHY C. BARABE</w:t>
            </w:r>
          </w:p>
        </w:tc>
        <w:tc>
          <w:tcPr>
            <w:tcW w:w="3560" w:type="dxa"/>
            <w:vAlign w:val="bottom"/>
          </w:tcPr>
          <w:p>
            <w:pPr>
              <w:ind w:left="220"/>
              <w:spacing w:after="0"/>
              <w:rPr>
                <w:sz w:val="20"/>
                <w:szCs w:val="20"/>
                <w:color w:val="auto"/>
              </w:rPr>
            </w:pPr>
            <w:r>
              <w:rPr>
                <w:rFonts w:ascii="Arial" w:cs="Arial" w:eastAsia="Arial" w:hAnsi="Arial"/>
                <w:sz w:val="17"/>
                <w:szCs w:val="17"/>
                <w:color w:val="auto"/>
              </w:rPr>
              <w:t>Director</w:t>
            </w:r>
          </w:p>
        </w:tc>
        <w:tc>
          <w:tcPr>
            <w:tcW w:w="1300" w:type="dxa"/>
            <w:vAlign w:val="bottom"/>
          </w:tcPr>
          <w:p>
            <w:pPr>
              <w:ind w:left="200"/>
              <w:spacing w:after="0"/>
              <w:rPr>
                <w:sz w:val="20"/>
                <w:szCs w:val="20"/>
                <w:color w:val="auto"/>
              </w:rPr>
            </w:pPr>
            <w:r>
              <w:rPr>
                <w:rFonts w:ascii="Arial" w:cs="Arial" w:eastAsia="Arial" w:hAnsi="Arial"/>
                <w:sz w:val="17"/>
                <w:szCs w:val="17"/>
                <w:color w:val="auto"/>
                <w:w w:val="94"/>
              </w:rPr>
              <w:t>August 6, 2020</w:t>
            </w:r>
          </w:p>
        </w:tc>
        <w:tc>
          <w:tcPr>
            <w:tcW w:w="0" w:type="dxa"/>
            <w:vAlign w:val="bottom"/>
          </w:tcPr>
          <w:p>
            <w:pPr>
              <w:spacing w:after="0"/>
              <w:rPr>
                <w:sz w:val="1"/>
                <w:szCs w:val="1"/>
                <w:color w:val="auto"/>
              </w:rPr>
            </w:pPr>
          </w:p>
        </w:tc>
      </w:tr>
      <w:tr>
        <w:trPr>
          <w:trHeight w:val="58"/>
        </w:trPr>
        <w:tc>
          <w:tcPr>
            <w:tcW w:w="3200" w:type="dxa"/>
            <w:vAlign w:val="bottom"/>
            <w:tcBorders>
              <w:bottom w:val="single" w:sz="8" w:color="auto"/>
            </w:tcBorders>
          </w:tcPr>
          <w:p>
            <w:pPr>
              <w:spacing w:after="0"/>
              <w:rPr>
                <w:sz w:val="5"/>
                <w:szCs w:val="5"/>
                <w:color w:val="auto"/>
              </w:rPr>
            </w:pPr>
          </w:p>
        </w:tc>
        <w:tc>
          <w:tcPr>
            <w:tcW w:w="35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200" w:type="dxa"/>
            <w:vAlign w:val="bottom"/>
          </w:tcPr>
          <w:p>
            <w:pPr>
              <w:jc w:val="center"/>
              <w:spacing w:after="0"/>
              <w:rPr>
                <w:sz w:val="20"/>
                <w:szCs w:val="20"/>
                <w:color w:val="auto"/>
              </w:rPr>
            </w:pPr>
            <w:r>
              <w:rPr>
                <w:rFonts w:ascii="Arial" w:cs="Arial" w:eastAsia="Arial" w:hAnsi="Arial"/>
                <w:sz w:val="17"/>
                <w:szCs w:val="17"/>
                <w:color w:val="auto"/>
                <w:w w:val="95"/>
              </w:rPr>
              <w:t>Timothy C. Barabe</w:t>
            </w:r>
          </w:p>
        </w:tc>
        <w:tc>
          <w:tcPr>
            <w:tcW w:w="3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4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60"/>
        <w:spacing w:after="0"/>
        <w:tabs>
          <w:tab w:leader="none" w:pos="6040" w:val="left"/>
          <w:tab w:leader="none" w:pos="85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52031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200" w:type="dxa"/>
            <w:vAlign w:val="bottom"/>
          </w:tcPr>
          <w:p>
            <w:pPr>
              <w:jc w:val="center"/>
              <w:spacing w:after="0"/>
              <w:rPr>
                <w:sz w:val="20"/>
                <w:szCs w:val="20"/>
                <w:color w:val="auto"/>
              </w:rPr>
            </w:pPr>
            <w:r>
              <w:rPr>
                <w:rFonts w:ascii="Arial" w:cs="Arial" w:eastAsia="Arial" w:hAnsi="Arial"/>
                <w:sz w:val="17"/>
                <w:szCs w:val="17"/>
                <w:color w:val="auto"/>
                <w:w w:val="98"/>
              </w:rPr>
              <w:t>/s/ SCOTT D. MYERS</w:t>
            </w:r>
          </w:p>
        </w:tc>
        <w:tc>
          <w:tcPr>
            <w:tcW w:w="2280" w:type="dxa"/>
            <w:vAlign w:val="bottom"/>
          </w:tcPr>
          <w:p>
            <w:pPr>
              <w:ind w:left="220"/>
              <w:spacing w:after="0"/>
              <w:rPr>
                <w:sz w:val="20"/>
                <w:szCs w:val="20"/>
                <w:color w:val="auto"/>
              </w:rPr>
            </w:pPr>
            <w:r>
              <w:rPr>
                <w:rFonts w:ascii="Arial" w:cs="Arial" w:eastAsia="Arial" w:hAnsi="Arial"/>
                <w:sz w:val="17"/>
                <w:szCs w:val="17"/>
                <w:color w:val="auto"/>
              </w:rPr>
              <w:t>Director</w:t>
            </w:r>
          </w:p>
        </w:tc>
        <w:tc>
          <w:tcPr>
            <w:tcW w:w="2580" w:type="dxa"/>
            <w:vAlign w:val="bottom"/>
          </w:tcPr>
          <w:p>
            <w:pPr>
              <w:ind w:left="1480"/>
              <w:spacing w:after="0"/>
              <w:rPr>
                <w:sz w:val="20"/>
                <w:szCs w:val="20"/>
                <w:color w:val="auto"/>
              </w:rPr>
            </w:pPr>
            <w:r>
              <w:rPr>
                <w:rFonts w:ascii="Arial" w:cs="Arial" w:eastAsia="Arial" w:hAnsi="Arial"/>
                <w:sz w:val="17"/>
                <w:szCs w:val="17"/>
                <w:color w:val="auto"/>
                <w:w w:val="94"/>
              </w:rPr>
              <w:t>August 6, 2020</w:t>
            </w:r>
          </w:p>
        </w:tc>
      </w:tr>
      <w:tr>
        <w:trPr>
          <w:trHeight w:val="58"/>
        </w:trPr>
        <w:tc>
          <w:tcPr>
            <w:tcW w:w="3200" w:type="dxa"/>
            <w:vAlign w:val="bottom"/>
            <w:tcBorders>
              <w:bottom w:val="single" w:sz="8" w:color="auto"/>
            </w:tcBorders>
          </w:tcPr>
          <w:p>
            <w:pPr>
              <w:spacing w:after="0"/>
              <w:rPr>
                <w:sz w:val="5"/>
                <w:szCs w:val="5"/>
                <w:color w:val="auto"/>
              </w:rPr>
            </w:pPr>
          </w:p>
        </w:tc>
        <w:tc>
          <w:tcPr>
            <w:tcW w:w="2280" w:type="dxa"/>
            <w:vAlign w:val="bottom"/>
          </w:tcPr>
          <w:p>
            <w:pPr>
              <w:spacing w:after="0"/>
              <w:rPr>
                <w:sz w:val="5"/>
                <w:szCs w:val="5"/>
                <w:color w:val="auto"/>
              </w:rPr>
            </w:pPr>
          </w:p>
        </w:tc>
        <w:tc>
          <w:tcPr>
            <w:tcW w:w="2580" w:type="dxa"/>
            <w:vAlign w:val="bottom"/>
          </w:tcPr>
          <w:p>
            <w:pPr>
              <w:spacing w:after="0"/>
              <w:rPr>
                <w:sz w:val="5"/>
                <w:szCs w:val="5"/>
                <w:color w:val="auto"/>
              </w:rPr>
            </w:pPr>
          </w:p>
        </w:tc>
      </w:tr>
      <w:tr>
        <w:trPr>
          <w:trHeight w:val="259"/>
        </w:trPr>
        <w:tc>
          <w:tcPr>
            <w:tcW w:w="3200" w:type="dxa"/>
            <w:vAlign w:val="bottom"/>
          </w:tcPr>
          <w:p>
            <w:pPr>
              <w:jc w:val="center"/>
              <w:spacing w:after="0"/>
              <w:rPr>
                <w:sz w:val="20"/>
                <w:szCs w:val="20"/>
                <w:color w:val="auto"/>
              </w:rPr>
            </w:pPr>
            <w:r>
              <w:rPr>
                <w:rFonts w:ascii="Arial" w:cs="Arial" w:eastAsia="Arial" w:hAnsi="Arial"/>
                <w:sz w:val="17"/>
                <w:szCs w:val="17"/>
                <w:color w:val="auto"/>
                <w:w w:val="96"/>
              </w:rPr>
              <w:t>Scott D. Myers</w:t>
            </w:r>
          </w:p>
        </w:tc>
        <w:tc>
          <w:tcPr>
            <w:tcW w:w="228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581"/>
        </w:trPr>
        <w:tc>
          <w:tcPr>
            <w:tcW w:w="3200" w:type="dxa"/>
            <w:vAlign w:val="bottom"/>
          </w:tcPr>
          <w:p>
            <w:pPr>
              <w:jc w:val="center"/>
              <w:spacing w:after="0"/>
              <w:rPr>
                <w:sz w:val="20"/>
                <w:szCs w:val="20"/>
                <w:color w:val="auto"/>
              </w:rPr>
            </w:pPr>
            <w:r>
              <w:rPr>
                <w:rFonts w:ascii="Arial" w:cs="Arial" w:eastAsia="Arial" w:hAnsi="Arial"/>
                <w:sz w:val="17"/>
                <w:szCs w:val="17"/>
                <w:color w:val="auto"/>
              </w:rPr>
              <w:t>/s/ AYMERIC SALLIN</w:t>
            </w:r>
          </w:p>
        </w:tc>
        <w:tc>
          <w:tcPr>
            <w:tcW w:w="2280" w:type="dxa"/>
            <w:vAlign w:val="bottom"/>
          </w:tcPr>
          <w:p>
            <w:pPr>
              <w:ind w:left="220"/>
              <w:spacing w:after="0"/>
              <w:rPr>
                <w:sz w:val="20"/>
                <w:szCs w:val="20"/>
                <w:color w:val="auto"/>
              </w:rPr>
            </w:pPr>
            <w:r>
              <w:rPr>
                <w:rFonts w:ascii="Arial" w:cs="Arial" w:eastAsia="Arial" w:hAnsi="Arial"/>
                <w:sz w:val="17"/>
                <w:szCs w:val="17"/>
                <w:color w:val="auto"/>
              </w:rPr>
              <w:t>Director</w:t>
            </w:r>
          </w:p>
        </w:tc>
        <w:tc>
          <w:tcPr>
            <w:tcW w:w="2580" w:type="dxa"/>
            <w:vAlign w:val="bottom"/>
          </w:tcPr>
          <w:p>
            <w:pPr>
              <w:ind w:left="1480"/>
              <w:spacing w:after="0"/>
              <w:rPr>
                <w:sz w:val="20"/>
                <w:szCs w:val="20"/>
                <w:color w:val="auto"/>
              </w:rPr>
            </w:pPr>
            <w:r>
              <w:rPr>
                <w:rFonts w:ascii="Arial" w:cs="Arial" w:eastAsia="Arial" w:hAnsi="Arial"/>
                <w:sz w:val="17"/>
                <w:szCs w:val="17"/>
                <w:color w:val="auto"/>
                <w:w w:val="94"/>
              </w:rPr>
              <w:t>August 6, 2020</w:t>
            </w:r>
          </w:p>
        </w:tc>
      </w:tr>
      <w:tr>
        <w:trPr>
          <w:trHeight w:val="58"/>
        </w:trPr>
        <w:tc>
          <w:tcPr>
            <w:tcW w:w="3200" w:type="dxa"/>
            <w:vAlign w:val="bottom"/>
            <w:tcBorders>
              <w:bottom w:val="single" w:sz="8" w:color="auto"/>
            </w:tcBorders>
          </w:tcPr>
          <w:p>
            <w:pPr>
              <w:spacing w:after="0"/>
              <w:rPr>
                <w:sz w:val="5"/>
                <w:szCs w:val="5"/>
                <w:color w:val="auto"/>
              </w:rPr>
            </w:pPr>
          </w:p>
        </w:tc>
        <w:tc>
          <w:tcPr>
            <w:tcW w:w="2280" w:type="dxa"/>
            <w:vAlign w:val="bottom"/>
          </w:tcPr>
          <w:p>
            <w:pPr>
              <w:spacing w:after="0"/>
              <w:rPr>
                <w:sz w:val="5"/>
                <w:szCs w:val="5"/>
                <w:color w:val="auto"/>
              </w:rPr>
            </w:pPr>
          </w:p>
        </w:tc>
        <w:tc>
          <w:tcPr>
            <w:tcW w:w="2580" w:type="dxa"/>
            <w:vAlign w:val="bottom"/>
          </w:tcPr>
          <w:p>
            <w:pPr>
              <w:spacing w:after="0"/>
              <w:rPr>
                <w:sz w:val="5"/>
                <w:szCs w:val="5"/>
                <w:color w:val="auto"/>
              </w:rPr>
            </w:pPr>
          </w:p>
        </w:tc>
      </w:tr>
      <w:tr>
        <w:trPr>
          <w:trHeight w:val="259"/>
        </w:trPr>
        <w:tc>
          <w:tcPr>
            <w:tcW w:w="3200" w:type="dxa"/>
            <w:vAlign w:val="bottom"/>
          </w:tcPr>
          <w:p>
            <w:pPr>
              <w:jc w:val="center"/>
              <w:spacing w:after="0"/>
              <w:rPr>
                <w:sz w:val="20"/>
                <w:szCs w:val="20"/>
                <w:color w:val="auto"/>
              </w:rPr>
            </w:pPr>
            <w:r>
              <w:rPr>
                <w:rFonts w:ascii="Arial" w:cs="Arial" w:eastAsia="Arial" w:hAnsi="Arial"/>
                <w:sz w:val="17"/>
                <w:szCs w:val="17"/>
                <w:color w:val="auto"/>
              </w:rPr>
              <w:t>Aymeric Sallin</w:t>
            </w:r>
          </w:p>
        </w:tc>
        <w:tc>
          <w:tcPr>
            <w:tcW w:w="228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581"/>
        </w:trPr>
        <w:tc>
          <w:tcPr>
            <w:tcW w:w="3200" w:type="dxa"/>
            <w:vAlign w:val="bottom"/>
          </w:tcPr>
          <w:p>
            <w:pPr>
              <w:jc w:val="center"/>
              <w:spacing w:after="0"/>
              <w:rPr>
                <w:sz w:val="20"/>
                <w:szCs w:val="20"/>
                <w:color w:val="auto"/>
              </w:rPr>
            </w:pPr>
            <w:r>
              <w:rPr>
                <w:rFonts w:ascii="Arial" w:cs="Arial" w:eastAsia="Arial" w:hAnsi="Arial"/>
                <w:sz w:val="17"/>
                <w:szCs w:val="17"/>
                <w:color w:val="auto"/>
              </w:rPr>
              <w:t>/s/ TIMOTHY SPRINGER, PH.D.</w:t>
            </w:r>
          </w:p>
        </w:tc>
        <w:tc>
          <w:tcPr>
            <w:tcW w:w="2280" w:type="dxa"/>
            <w:vAlign w:val="bottom"/>
          </w:tcPr>
          <w:p>
            <w:pPr>
              <w:ind w:left="220"/>
              <w:spacing w:after="0"/>
              <w:rPr>
                <w:sz w:val="20"/>
                <w:szCs w:val="20"/>
                <w:color w:val="auto"/>
              </w:rPr>
            </w:pPr>
            <w:r>
              <w:rPr>
                <w:rFonts w:ascii="Arial" w:cs="Arial" w:eastAsia="Arial" w:hAnsi="Arial"/>
                <w:sz w:val="17"/>
                <w:szCs w:val="17"/>
                <w:color w:val="auto"/>
              </w:rPr>
              <w:t>Director</w:t>
            </w:r>
          </w:p>
        </w:tc>
        <w:tc>
          <w:tcPr>
            <w:tcW w:w="2580" w:type="dxa"/>
            <w:vAlign w:val="bottom"/>
          </w:tcPr>
          <w:p>
            <w:pPr>
              <w:ind w:left="1480"/>
              <w:spacing w:after="0"/>
              <w:rPr>
                <w:sz w:val="20"/>
                <w:szCs w:val="20"/>
                <w:color w:val="auto"/>
              </w:rPr>
            </w:pPr>
            <w:r>
              <w:rPr>
                <w:rFonts w:ascii="Arial" w:cs="Arial" w:eastAsia="Arial" w:hAnsi="Arial"/>
                <w:sz w:val="17"/>
                <w:szCs w:val="17"/>
                <w:color w:val="auto"/>
                <w:w w:val="94"/>
              </w:rPr>
              <w:t>August 6, 2020</w:t>
            </w:r>
          </w:p>
        </w:tc>
      </w:tr>
      <w:tr>
        <w:trPr>
          <w:trHeight w:val="58"/>
        </w:trPr>
        <w:tc>
          <w:tcPr>
            <w:tcW w:w="3200" w:type="dxa"/>
            <w:vAlign w:val="bottom"/>
            <w:tcBorders>
              <w:bottom w:val="single" w:sz="8" w:color="auto"/>
            </w:tcBorders>
          </w:tcPr>
          <w:p>
            <w:pPr>
              <w:spacing w:after="0"/>
              <w:rPr>
                <w:sz w:val="5"/>
                <w:szCs w:val="5"/>
                <w:color w:val="auto"/>
              </w:rPr>
            </w:pPr>
          </w:p>
        </w:tc>
        <w:tc>
          <w:tcPr>
            <w:tcW w:w="2280" w:type="dxa"/>
            <w:vAlign w:val="bottom"/>
          </w:tcPr>
          <w:p>
            <w:pPr>
              <w:spacing w:after="0"/>
              <w:rPr>
                <w:sz w:val="5"/>
                <w:szCs w:val="5"/>
                <w:color w:val="auto"/>
              </w:rPr>
            </w:pPr>
          </w:p>
        </w:tc>
        <w:tc>
          <w:tcPr>
            <w:tcW w:w="2580" w:type="dxa"/>
            <w:vAlign w:val="bottom"/>
          </w:tcPr>
          <w:p>
            <w:pPr>
              <w:spacing w:after="0"/>
              <w:rPr>
                <w:sz w:val="5"/>
                <w:szCs w:val="5"/>
                <w:color w:val="auto"/>
              </w:rPr>
            </w:pPr>
          </w:p>
        </w:tc>
      </w:tr>
      <w:tr>
        <w:trPr>
          <w:trHeight w:val="259"/>
        </w:trPr>
        <w:tc>
          <w:tcPr>
            <w:tcW w:w="3200" w:type="dxa"/>
            <w:vAlign w:val="bottom"/>
          </w:tcPr>
          <w:p>
            <w:pPr>
              <w:jc w:val="center"/>
              <w:spacing w:after="0"/>
              <w:rPr>
                <w:sz w:val="20"/>
                <w:szCs w:val="20"/>
                <w:color w:val="auto"/>
              </w:rPr>
            </w:pPr>
            <w:r>
              <w:rPr>
                <w:rFonts w:ascii="Arial" w:cs="Arial" w:eastAsia="Arial" w:hAnsi="Arial"/>
                <w:sz w:val="17"/>
                <w:szCs w:val="17"/>
                <w:color w:val="auto"/>
                <w:w w:val="97"/>
              </w:rPr>
              <w:t>Timothy Springer, Ph.D.</w:t>
            </w:r>
          </w:p>
        </w:tc>
        <w:tc>
          <w:tcPr>
            <w:tcW w:w="228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581"/>
        </w:trPr>
        <w:tc>
          <w:tcPr>
            <w:tcW w:w="3200" w:type="dxa"/>
            <w:vAlign w:val="bottom"/>
          </w:tcPr>
          <w:p>
            <w:pPr>
              <w:jc w:val="center"/>
              <w:spacing w:after="0"/>
              <w:rPr>
                <w:sz w:val="20"/>
                <w:szCs w:val="20"/>
                <w:color w:val="auto"/>
              </w:rPr>
            </w:pPr>
            <w:r>
              <w:rPr>
                <w:rFonts w:ascii="Arial" w:cs="Arial" w:eastAsia="Arial" w:hAnsi="Arial"/>
                <w:sz w:val="17"/>
                <w:szCs w:val="17"/>
                <w:color w:val="auto"/>
                <w:w w:val="98"/>
              </w:rPr>
              <w:t>/s/ PATRICK ZENNER</w:t>
            </w:r>
          </w:p>
        </w:tc>
        <w:tc>
          <w:tcPr>
            <w:tcW w:w="2280" w:type="dxa"/>
            <w:vAlign w:val="bottom"/>
          </w:tcPr>
          <w:p>
            <w:pPr>
              <w:ind w:left="220"/>
              <w:spacing w:after="0"/>
              <w:rPr>
                <w:sz w:val="20"/>
                <w:szCs w:val="20"/>
                <w:color w:val="auto"/>
              </w:rPr>
            </w:pPr>
            <w:r>
              <w:rPr>
                <w:rFonts w:ascii="Arial" w:cs="Arial" w:eastAsia="Arial" w:hAnsi="Arial"/>
                <w:sz w:val="17"/>
                <w:szCs w:val="17"/>
                <w:color w:val="auto"/>
              </w:rPr>
              <w:t>Director</w:t>
            </w:r>
          </w:p>
        </w:tc>
        <w:tc>
          <w:tcPr>
            <w:tcW w:w="2580" w:type="dxa"/>
            <w:vAlign w:val="bottom"/>
          </w:tcPr>
          <w:p>
            <w:pPr>
              <w:ind w:left="1480"/>
              <w:spacing w:after="0"/>
              <w:rPr>
                <w:sz w:val="20"/>
                <w:szCs w:val="20"/>
                <w:color w:val="auto"/>
              </w:rPr>
            </w:pPr>
            <w:r>
              <w:rPr>
                <w:rFonts w:ascii="Arial" w:cs="Arial" w:eastAsia="Arial" w:hAnsi="Arial"/>
                <w:sz w:val="17"/>
                <w:szCs w:val="17"/>
                <w:color w:val="auto"/>
                <w:w w:val="94"/>
              </w:rPr>
              <w:t>August 6, 2020</w:t>
            </w:r>
          </w:p>
        </w:tc>
      </w:tr>
      <w:tr>
        <w:trPr>
          <w:trHeight w:val="58"/>
        </w:trPr>
        <w:tc>
          <w:tcPr>
            <w:tcW w:w="3200" w:type="dxa"/>
            <w:vAlign w:val="bottom"/>
            <w:tcBorders>
              <w:bottom w:val="single" w:sz="8" w:color="auto"/>
            </w:tcBorders>
          </w:tcPr>
          <w:p>
            <w:pPr>
              <w:spacing w:after="0"/>
              <w:rPr>
                <w:sz w:val="5"/>
                <w:szCs w:val="5"/>
                <w:color w:val="auto"/>
              </w:rPr>
            </w:pPr>
          </w:p>
        </w:tc>
        <w:tc>
          <w:tcPr>
            <w:tcW w:w="2280" w:type="dxa"/>
            <w:vAlign w:val="bottom"/>
          </w:tcPr>
          <w:p>
            <w:pPr>
              <w:spacing w:after="0"/>
              <w:rPr>
                <w:sz w:val="5"/>
                <w:szCs w:val="5"/>
                <w:color w:val="auto"/>
              </w:rPr>
            </w:pPr>
          </w:p>
        </w:tc>
        <w:tc>
          <w:tcPr>
            <w:tcW w:w="2580" w:type="dxa"/>
            <w:vAlign w:val="bottom"/>
          </w:tcPr>
          <w:p>
            <w:pPr>
              <w:spacing w:after="0"/>
              <w:rPr>
                <w:sz w:val="5"/>
                <w:szCs w:val="5"/>
                <w:color w:val="auto"/>
              </w:rPr>
            </w:pPr>
          </w:p>
        </w:tc>
      </w:tr>
      <w:tr>
        <w:trPr>
          <w:trHeight w:val="260"/>
        </w:trPr>
        <w:tc>
          <w:tcPr>
            <w:tcW w:w="3200" w:type="dxa"/>
            <w:vAlign w:val="bottom"/>
          </w:tcPr>
          <w:p>
            <w:pPr>
              <w:jc w:val="center"/>
              <w:spacing w:after="0"/>
              <w:rPr>
                <w:sz w:val="20"/>
                <w:szCs w:val="20"/>
                <w:color w:val="auto"/>
              </w:rPr>
            </w:pPr>
            <w:r>
              <w:rPr>
                <w:rFonts w:ascii="Arial" w:cs="Arial" w:eastAsia="Arial" w:hAnsi="Arial"/>
                <w:sz w:val="17"/>
                <w:szCs w:val="17"/>
                <w:color w:val="auto"/>
                <w:w w:val="94"/>
              </w:rPr>
              <w:t>Patrick Zenner</w:t>
            </w:r>
          </w:p>
        </w:tc>
        <w:tc>
          <w:tcPr>
            <w:tcW w:w="2280" w:type="dxa"/>
            <w:vAlign w:val="bottom"/>
          </w:tcPr>
          <w:p>
            <w:pPr>
              <w:spacing w:after="0"/>
              <w:rPr>
                <w:sz w:val="22"/>
                <w:szCs w:val="22"/>
                <w:color w:val="auto"/>
              </w:rPr>
            </w:pPr>
          </w:p>
        </w:tc>
        <w:tc>
          <w:tcPr>
            <w:tcW w:w="25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ind w:left="10240"/>
        <w:spacing w:after="0"/>
        <w:rPr>
          <w:sz w:val="20"/>
          <w:szCs w:val="20"/>
          <w:color w:val="auto"/>
        </w:rPr>
      </w:pPr>
      <w:r>
        <w:rPr>
          <w:rFonts w:ascii="Arial" w:cs="Arial" w:eastAsia="Arial" w:hAnsi="Arial"/>
          <w:sz w:val="19"/>
          <w:szCs w:val="19"/>
          <w:b w:val="1"/>
          <w:bCs w:val="1"/>
          <w:color w:val="auto"/>
        </w:rPr>
        <w:t>Exhibit 1.2</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29"/>
          <w:szCs w:val="29"/>
          <w:b w:val="1"/>
          <w:bCs w:val="1"/>
          <w:color w:val="auto"/>
          <w:vertAlign w:val="superscript"/>
        </w:rPr>
        <w:t>SM</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Selecta Biosciences,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subject to the terms and conditions stated herein, to issue and sell from time to time through Jefferies LLC, as sales agent and/or principal (the “</w:t>
      </w:r>
      <w:r>
        <w:rPr>
          <w:rFonts w:ascii="Arial" w:cs="Arial" w:eastAsia="Arial" w:hAnsi="Arial"/>
          <w:sz w:val="16"/>
          <w:szCs w:val="16"/>
          <w:b w:val="1"/>
          <w:bCs w:val="1"/>
          <w:color w:val="auto"/>
        </w:rPr>
        <w:t>Agent</w:t>
      </w:r>
      <w:r>
        <w:rPr>
          <w:rFonts w:ascii="Arial" w:cs="Arial" w:eastAsia="Arial" w:hAnsi="Arial"/>
          <w:sz w:val="16"/>
          <w:szCs w:val="16"/>
          <w:color w:val="auto"/>
        </w:rPr>
        <w:t>”), shares of the Company’s common stock, par value $0.0001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having an aggregate offering price of up to $50,000,000 on the terms set forth in this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left="1560" w:hanging="904"/>
        <w:spacing w:after="0"/>
        <w:tabs>
          <w:tab w:leader="none" w:pos="15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capitalized terms used herein and not otherwise defined shall have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 meanings: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first-mentioned Person. The term “</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controlling</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means the possession, direct or indirect, of the power to direct or cause the direction of the management and policies of a Person, whether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ownership of voting securities, by contract or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Period</w:t>
      </w:r>
      <w:r>
        <w:rPr>
          <w:rFonts w:ascii="Arial" w:cs="Arial" w:eastAsia="Arial" w:hAnsi="Arial"/>
          <w:sz w:val="18"/>
          <w:szCs w:val="18"/>
          <w:color w:val="auto"/>
        </w:rPr>
        <w:t xml:space="preserve">” means the period commencing on the date of this Agreement and expiring on the earliest to occur of (x) the date on which the Agent shall have placed the Maximum Program Amount pursuant to this Agreement, (y) the date this Agreement is terminated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(z) the third anniversary of the date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SM</w:t>
      </w:r>
      <w:r>
        <w:rPr>
          <w:rFonts w:ascii="Arial" w:cs="Arial" w:eastAsia="Arial" w:hAnsi="Arial"/>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such other national securities exchange on which the Common Shares, including any Shares, are then listed.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up to three percent (3.0%) of the gross proceeds from the sale of any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r>
        <w:rPr>
          <w:rFonts w:ascii="Arial" w:cs="Arial" w:eastAsia="Arial" w:hAnsi="Arial"/>
          <w:sz w:val="18"/>
          <w:szCs w:val="18"/>
          <w:color w:val="0000FF"/>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Common Shares issued or issuable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represents and warrants to, and agrees with, the Agent that as of (1) the date of this Agreement, (2) each Issuance Notice Date, (3) each Settlement Date, (4)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and</w:t>
      </w:r>
    </w:p>
    <w:p>
      <w:pPr>
        <w:jc w:val="both"/>
        <w:ind w:firstLine="8"/>
        <w:spacing w:after="0" w:line="255"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Time of Sale (each of the times referenced above is referred to herein as a “</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Time of Sale Information (including the Prospectus and any documents incorporated by reference therein and any supplements thereto) on or before a Representation Date:</w:t>
      </w:r>
    </w:p>
    <w:p>
      <w:pPr>
        <w:spacing w:after="0" w:line="189" w:lineRule="exact"/>
        <w:rPr>
          <w:rFonts w:ascii="Arial" w:cs="Arial" w:eastAsia="Arial" w:hAnsi="Arial"/>
          <w:sz w:val="18"/>
          <w:szCs w:val="18"/>
          <w:color w:val="auto"/>
        </w:rPr>
      </w:pPr>
    </w:p>
    <w:p>
      <w:pPr>
        <w:jc w:val="both"/>
        <w:ind w:firstLine="656"/>
        <w:spacing w:after="0" w:line="286" w:lineRule="auto"/>
        <w:tabs>
          <w:tab w:leader="none" w:pos="1806"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or will prepare and file with the Commission a shelf registration statement on Form S-3 (or a successor registration statement on such form pertaining to the Shares to be sold pursuant to this Agreement) that contains a base prospectus relating to the issuance and sale of Shares under this Agreement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Such registration statement,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Base Prospectus,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9" w:lineRule="auto"/>
        <w:rPr>
          <w:sz w:val="20"/>
          <w:szCs w:val="20"/>
          <w:color w:val="auto"/>
        </w:rPr>
      </w:pPr>
      <w:r>
        <w:rPr>
          <w:rFonts w:ascii="Arial" w:cs="Arial" w:eastAsia="Arial" w:hAnsi="Arial"/>
          <w:sz w:val="18"/>
          <w:szCs w:val="18"/>
          <w:color w:val="auto"/>
        </w:rPr>
        <w:t>At the time the Registration Statement was or will be originally declared effective, the Company met or will meet the then-applicable requirements for use of Form S-3 under the Securities Act. During the Agency Period, each time the Company has filed or files an annual report on Form 10-K the Company will meet the then-applicable requirements for use of Form S-3 under the Securities Act, including, but not limited to, General Instruction I.B.1 thereto.</w:t>
      </w:r>
    </w:p>
    <w:p>
      <w:pPr>
        <w:spacing w:after="0" w:line="187" w:lineRule="exact"/>
        <w:rPr>
          <w:sz w:val="20"/>
          <w:szCs w:val="20"/>
          <w:color w:val="auto"/>
        </w:rPr>
      </w:pPr>
    </w:p>
    <w:p>
      <w:pPr>
        <w:jc w:val="both"/>
        <w:ind w:firstLine="656"/>
        <w:spacing w:after="0" w:line="296" w:lineRule="auto"/>
        <w:tabs>
          <w:tab w:leader="none" w:pos="188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Compliance with Registration Requirements</w:t>
      </w:r>
      <w:r>
        <w:rPr>
          <w:rFonts w:ascii="Arial" w:cs="Arial" w:eastAsia="Arial" w:hAnsi="Arial"/>
          <w:sz w:val="16"/>
          <w:szCs w:val="16"/>
          <w:color w:val="auto"/>
        </w:rPr>
        <w:t>. The Original Registration Statement has been and any Rule 462(b) Registration Statement will have been or will be declared effective by the Commission under the Securities Act. The Company has complied or will comply to the Commission’s satisfaction with all requests of the Commission for additional or supplemental information with respect to the Registration Statement.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Prospectus when filed complied in all material respects with the Securities Act and, if filed by electronic transmission through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xml:space="preserve">”)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each Representation Date, complied and will comply, as the case may be, in all material respects with the Securities Act and did not and will not, as the case may be, contain any untrue statement of a material fact or omit to state a material fact required to be stated therein or necessary to make the statements therein not misleading (except that the foregoing shall not apply to those parts of the Registration Statement that constitute the Statement of Eligibility (Form T-1) under the Trust Indenture Act of 1939). As of the date of this Agreement, the Prospectus and any Free Writing Prospectus considered together do not contain any untrue statement of a material fact or omit to state a material fact necessary to make the statements therein, in the light of the circumstances under which they were made, not misleading. The Prospectus as of its date and at each Representation Date, does not and will not, as the case may be,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Free Writing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 Registration Statement and the offer and sale of the Shares as contemplated hereby meet the requirements of Rule 415 under the Securities Act and comply in all material respects with said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left="-656" w:firstLine="656"/>
        <w:spacing w:after="0" w:line="269" w:lineRule="auto"/>
        <w:tabs>
          <w:tab w:leader="none" w:pos="86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Ineligible Issuer Status</w:t>
      </w:r>
      <w:r>
        <w:rPr>
          <w:rFonts w:ascii="Arial" w:cs="Arial" w:eastAsia="Arial" w:hAnsi="Arial"/>
          <w:sz w:val="17"/>
          <w:szCs w:val="17"/>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as the case may be, in all material respects with the requirements of Rule 433 under the Securities Act, including timely filing with the Commission or retention where required and legending pursuant to Rule 433 under the Securities Act,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as then amended and supplemented. Except for the Free Writing Prospectuses, if any, and electronic road shows related to the offering of Shares, if any, in each case, furnished to you before first use, the Company has not prepared, used or referred to, and will not, without your prior consent, prepare, use or refer to, any Free Writing Prospectus.</w:t>
      </w:r>
    </w:p>
    <w:p>
      <w:pPr>
        <w:spacing w:after="0" w:line="181" w:lineRule="exact"/>
        <w:rPr>
          <w:rFonts w:ascii="Arial" w:cs="Arial" w:eastAsia="Arial" w:hAnsi="Arial"/>
          <w:sz w:val="17"/>
          <w:szCs w:val="17"/>
          <w:color w:val="auto"/>
        </w:rPr>
      </w:pPr>
    </w:p>
    <w:p>
      <w:pPr>
        <w:jc w:val="both"/>
        <w:ind w:left="-656" w:firstLine="656"/>
        <w:spacing w:after="0" w:line="301" w:lineRule="auto"/>
        <w:tabs>
          <w:tab w:leader="none" w:pos="98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7" w:lineRule="exact"/>
        <w:rPr>
          <w:rFonts w:ascii="Arial" w:cs="Arial" w:eastAsia="Arial" w:hAnsi="Arial"/>
          <w:sz w:val="16"/>
          <w:szCs w:val="16"/>
          <w:color w:val="auto"/>
        </w:rPr>
      </w:pPr>
    </w:p>
    <w:p>
      <w:pPr>
        <w:jc w:val="both"/>
        <w:ind w:left="-656" w:firstLine="656"/>
        <w:spacing w:after="0" w:line="254" w:lineRule="auto"/>
        <w:tabs>
          <w:tab w:leader="none" w:pos="89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The documents incorporated or deemed to be incorporated by reference in the Prospectus, at the time they were or hereafter are filed with the Commission or became effective under the Exchange Act, as the case may be, and any Free Writing Prospectus or amendment or supplement related thereto complied or will comply, at the time of such filing or effectiveness, in all material respects with the requirements of the Exchange Act, and, when read together with the other information in the Prospectus, at the time the Registration Statement and any amendments thereto become effective and at each Representation Date,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94" w:lineRule="exact"/>
        <w:rPr>
          <w:rFonts w:ascii="Arial" w:cs="Arial" w:eastAsia="Arial" w:hAnsi="Arial"/>
          <w:sz w:val="18"/>
          <w:szCs w:val="18"/>
          <w:color w:val="auto"/>
        </w:rPr>
      </w:pPr>
    </w:p>
    <w:p>
      <w:pPr>
        <w:ind w:left="-656" w:right="300" w:firstLine="656"/>
        <w:spacing w:after="0" w:line="277" w:lineRule="auto"/>
        <w:tabs>
          <w:tab w:leader="none" w:pos="89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EGC Status</w:t>
      </w:r>
      <w:r>
        <w:rPr>
          <w:rFonts w:ascii="Arial" w:cs="Arial" w:eastAsia="Arial" w:hAnsi="Arial"/>
          <w:sz w:val="18"/>
          <w:szCs w:val="18"/>
          <w:color w:val="auto"/>
        </w:rPr>
        <w:t>. The Company qualifies as an emerging growth company, as defined in Section 2(a)(19) of the Securities Act, until no later than December 31, 2021.</w:t>
      </w:r>
    </w:p>
    <w:p>
      <w:pPr>
        <w:spacing w:after="0" w:line="170" w:lineRule="exact"/>
        <w:rPr>
          <w:sz w:val="20"/>
          <w:szCs w:val="20"/>
          <w:color w:val="auto"/>
        </w:rPr>
      </w:pPr>
    </w:p>
    <w:p>
      <w:pPr>
        <w:jc w:val="both"/>
        <w:ind w:left="-656" w:firstLine="656"/>
        <w:spacing w:after="0" w:line="259" w:lineRule="auto"/>
        <w:tabs>
          <w:tab w:leader="none" w:pos="999"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The Agreement</w:t>
      </w:r>
      <w:r>
        <w:rPr>
          <w:rFonts w:ascii="Arial" w:cs="Arial" w:eastAsia="Arial" w:hAnsi="Arial"/>
          <w:sz w:val="18"/>
          <w:szCs w:val="18"/>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264795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8" w:name="page59"/>
    <w:bookmarkEnd w:id="58"/>
    <w:p>
      <w:pPr>
        <w:jc w:val="both"/>
        <w:ind w:left="-656" w:firstLine="656"/>
        <w:spacing w:after="0" w:line="273" w:lineRule="auto"/>
        <w:tabs>
          <w:tab w:leader="none" w:pos="87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Company has an authorized and outstanding capitalization as set forth in the sections of the Registration Statement and the Prospectus entitled “Capitalization” and “Description of Capital Stock” (subject to the issuance of Common Shares upon exercise of stock options and warrants disclosed as outstanding in the Registration Statement and the Prospectus and the grant of options under existing stock option plans described in the Registration Statement and the Prospectus); all of the issued and outstanding shares of capital stock of the Company, including the Common Shares, have been duly authorized and validly issued and are fully paid and non-assessable, have been issued in compliance with all applicable securities laws and were not issued in violation of any preemptive right, resale right, right of first refusal or similar right.</w:t>
      </w:r>
    </w:p>
    <w:p>
      <w:pPr>
        <w:spacing w:after="0" w:line="177" w:lineRule="exact"/>
        <w:rPr>
          <w:rFonts w:ascii="Arial" w:cs="Arial" w:eastAsia="Arial" w:hAnsi="Arial"/>
          <w:sz w:val="17"/>
          <w:szCs w:val="17"/>
          <w:color w:val="auto"/>
        </w:rPr>
      </w:pPr>
    </w:p>
    <w:p>
      <w:pPr>
        <w:jc w:val="both"/>
        <w:ind w:left="-656" w:firstLine="656"/>
        <w:spacing w:after="0" w:line="311" w:lineRule="auto"/>
        <w:tabs>
          <w:tab w:leader="none" w:pos="89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Good Standing of Company</w:t>
      </w:r>
      <w:r>
        <w:rPr>
          <w:rFonts w:ascii="Arial" w:cs="Arial" w:eastAsia="Arial" w:hAnsi="Arial"/>
          <w:sz w:val="16"/>
          <w:szCs w:val="16"/>
          <w:color w:val="auto"/>
        </w:rPr>
        <w:t>. 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and the Prospectus, and to execute and deliver this Agreement and to issue, sell and deliver the Shares as contemplated herein.</w:t>
      </w:r>
    </w:p>
    <w:p>
      <w:pPr>
        <w:spacing w:after="0" w:line="148" w:lineRule="exact"/>
        <w:rPr>
          <w:rFonts w:ascii="Arial" w:cs="Arial" w:eastAsia="Arial" w:hAnsi="Arial"/>
          <w:sz w:val="16"/>
          <w:szCs w:val="16"/>
          <w:color w:val="auto"/>
        </w:rPr>
      </w:pPr>
    </w:p>
    <w:p>
      <w:pPr>
        <w:jc w:val="both"/>
        <w:ind w:left="-656" w:firstLine="656"/>
        <w:spacing w:after="0" w:line="254" w:lineRule="auto"/>
        <w:tabs>
          <w:tab w:leader="none" w:pos="96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Foreign Qualification of Company</w:t>
      </w:r>
      <w:r>
        <w:rPr>
          <w:rFonts w:ascii="Arial" w:cs="Arial" w:eastAsia="Arial" w:hAnsi="Arial"/>
          <w:sz w:val="18"/>
          <w:szCs w:val="18"/>
          <w:color w:val="auto"/>
        </w:rPr>
        <w:t>. 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either (i) have a material adverse effect on the business, properties, financial condition, results of operations or prospects related thereto of the Company and the Subsidiaries taken as a whole, (ii) prevent or materially interfere with the consummation of the transactions contemplated hereby or (iii) result in the delisting of the Common Shares from the Nasdaq Global Market (the occurrence of any such effect or any such prevention or interference or any such result described in the foregoing clauses (i), (ii) or (iii) being herein referred to as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656" w:firstLine="656"/>
        <w:spacing w:after="0" w:line="267" w:lineRule="auto"/>
        <w:tabs>
          <w:tab w:leader="none" w:pos="108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Good Standing and Foreign Qualification of Subsidiaries</w:t>
      </w:r>
      <w:r>
        <w:rPr>
          <w:rFonts w:ascii="Arial" w:cs="Arial" w:eastAsia="Arial" w:hAnsi="Arial"/>
          <w:sz w:val="17"/>
          <w:szCs w:val="17"/>
          <w:color w:val="auto"/>
        </w:rPr>
        <w:t>. The Company has no subsidiaries (as defined under the Securities Act) other than the subsidiaries most recently disclosed in its filings available on EDGAR (collectively,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the Company owns all of the issued and outstanding membership interests or capital stock of each of the Subsidiaries; other than the membership interests or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or similar governing documents of the Company and each Subsidiary and all amendments thereto have been delivered to you (including by being made available to you through EDGAR), and no changes therein will be made on or after the date hereof through and including the time of any time of purchase; each Subsidiary has been duly incorporated and is validly existing as a corporation in good standing under the laws of the jurisdiction of its incorporation, with full limited liability company or corporate power and authority to own, lease and operate its properties and to conduct its business as described in the Registration Statement and the Prospectus; each Subsidiary is duly qualified to do business as a foreign limited liability company or corporation and is in good standing in each jurisdiction where the ownership or leasing of its properties or the conduct of its business requires such qualification, except where the failure to be so qualified and in good standing would not, individually or in the aggregate, reasonably be expected to have a Material Adverse Effect; all of the outstanding membership interests or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 and each “significant subsidiary” of the Company, as that term is defined in Rule 1-02(w) of Regulation S-X under the Securities Act, is listed in Exhibit 21.1 to the Company’s most recent Annual Report on Form 10-K (or otherwise in a subsequent filing available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266065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9" w:name="page60"/>
    <w:bookmarkEnd w:id="59"/>
    <w:p>
      <w:pPr>
        <w:jc w:val="both"/>
        <w:ind w:left="-656" w:firstLine="656"/>
        <w:spacing w:after="0" w:line="273" w:lineRule="auto"/>
        <w:tabs>
          <w:tab w:leader="none" w:pos="110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Authorization of the Shares</w:t>
      </w:r>
      <w:r>
        <w:rPr>
          <w:rFonts w:ascii="Arial" w:cs="Arial" w:eastAsia="Arial" w:hAnsi="Arial"/>
          <w:sz w:val="17"/>
          <w:szCs w:val="17"/>
          <w:color w:val="auto"/>
        </w:rPr>
        <w:t>. 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except for any such rights that have been waived; the Shares, when issued and delivered against payment therefor as provided herein, will be free of any restriction upon the voting or transfer thereof pursuant to the Delaware General Corporation Law or the Company’s charter and bylaws, each as amended to date and in the form filed as an exhibit to the Registration Statement, and any agreement or other instrument to which the Company is a party, except for any such rights that have been waived.</w:t>
      </w:r>
    </w:p>
    <w:p>
      <w:pPr>
        <w:spacing w:after="0" w:line="177" w:lineRule="exact"/>
        <w:rPr>
          <w:rFonts w:ascii="Arial" w:cs="Arial" w:eastAsia="Arial" w:hAnsi="Arial"/>
          <w:sz w:val="17"/>
          <w:szCs w:val="17"/>
          <w:color w:val="auto"/>
        </w:rPr>
      </w:pPr>
    </w:p>
    <w:p>
      <w:pPr>
        <w:ind w:left="-656" w:firstLine="656"/>
        <w:spacing w:after="0" w:line="277" w:lineRule="auto"/>
        <w:tabs>
          <w:tab w:leader="none" w:pos="116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Description of Capital Stock</w:t>
      </w:r>
      <w:r>
        <w:rPr>
          <w:rFonts w:ascii="Arial" w:cs="Arial" w:eastAsia="Arial" w:hAnsi="Arial"/>
          <w:sz w:val="18"/>
          <w:szCs w:val="18"/>
          <w:color w:val="auto"/>
        </w:rPr>
        <w:t>. The capital stock of the Company, including the Shares, conforms in all material respects to each description thereof, if any, contained or incorporated by reference in the Registration Statement and the Prospectus.</w:t>
      </w:r>
    </w:p>
    <w:p>
      <w:pPr>
        <w:spacing w:after="0" w:line="170" w:lineRule="exact"/>
        <w:rPr>
          <w:rFonts w:ascii="Arial" w:cs="Arial" w:eastAsia="Arial" w:hAnsi="Arial"/>
          <w:sz w:val="18"/>
          <w:szCs w:val="18"/>
          <w:color w:val="auto"/>
        </w:rPr>
      </w:pPr>
    </w:p>
    <w:p>
      <w:pPr>
        <w:jc w:val="both"/>
        <w:ind w:left="-656" w:firstLine="656"/>
        <w:spacing w:after="0" w:line="284" w:lineRule="auto"/>
        <w:tabs>
          <w:tab w:leader="none" w:pos="83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Neither the Company nor any of the Subsidiaries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(A) its charter or bylaws or similar governing documents, or (B) any indenture, mortgage, deed of trust, bank loan or credit agreement or other evidence of indebtedness, or any material license, lease, contract or other agreement or instrument to which it is a party or by which it or any of its properties may be bound or affected, or (C) any U.S. or Russian federal, state, local or foreign law, regulation or rule, or (D) any rule or regulation of any self-regulatory organization or other non-governmental regulatory authority having jurisdiction over the Company or the Subsidiaries (including, without limitation, the rules and regulations of the Nasdaq Global Market), or (E) any decree, judgment or order applicable to it or any of its properties, except in the case of the foregoing clauses (B), (C), (D) and (E), for any such breaches, violations, defaults or events that would not, individually or in the aggregate, reasonably be expected to have a Material Adverse Effect; 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 the charter or bylaws of the Company or similar organizational documents of any of the Subsidiaries, or (B)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subject, or (C) any U.S. or Russian federal, state, local or foreign law, regulation or rule, or (D) any rule or regulation of any self-regulatory organization or other non-governmental regulatory authority having jurisdiction over the Company or the Shares (including, without limitation, the rules and regulations of the Nasdaq Global Market), or (E) any decree, judgment or order applicable to the Company or any of the Subsidiaries or any of their respective properties, except in the case of the foregoing clauses (B), (C), (D) and (E), for any such breaches, violations, defaults, repurchases, redemptions, repayments or events that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259715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0" w:name="page61"/>
    <w:bookmarkEnd w:id="60"/>
    <w:p>
      <w:pPr>
        <w:jc w:val="both"/>
        <w:ind w:left="-8" w:firstLine="656"/>
        <w:spacing w:after="0" w:line="284" w:lineRule="auto"/>
        <w:tabs>
          <w:tab w:leader="none" w:pos="1659"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No Further Authorizations or Approvals Required</w:t>
      </w:r>
      <w:r>
        <w:rPr>
          <w:rFonts w:ascii="Arial" w:cs="Arial" w:eastAsia="Arial" w:hAnsi="Arial"/>
          <w:sz w:val="16"/>
          <w:szCs w:val="16"/>
          <w:color w:val="auto"/>
        </w:rPr>
        <w:t>.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Nasdaq Global Market), or approval of the stockholders of the Company is required in connection with the issuance and sale of the Shares or the consummation by the Company of the transactions contemplated hereby, other than (i) the registration of the Shares under the Securities Act ,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Shares are being offered by the Agent, (iii) under the Conduct Rules of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listing applications and related consents or any notices required by the Nasdaq Global Market in the ordinary course of the offering of the Shares or</w:t>
      </w:r>
    </w:p>
    <w:p>
      <w:pPr>
        <w:spacing w:after="0" w:line="32" w:lineRule="exact"/>
        <w:rPr>
          <w:rFonts w:ascii="Arial" w:cs="Arial" w:eastAsia="Arial" w:hAnsi="Arial"/>
          <w:sz w:val="16"/>
          <w:szCs w:val="16"/>
          <w:color w:val="auto"/>
        </w:rPr>
      </w:pPr>
    </w:p>
    <w:p>
      <w:pPr>
        <w:jc w:val="both"/>
        <w:ind w:left="-8" w:firstLine="8"/>
        <w:spacing w:after="0" w:line="255" w:lineRule="auto"/>
        <w:tabs>
          <w:tab w:leader="none" w:pos="2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filings with the Commission pursuant to Rule 424(b) under the Securities Act, except as have already been made, obtained or waived or where the failure to obtain any such approval, authorization, consent, order or filing would not impair the ability of the Company to issue and sell the Shares or to consummate the transactions contemplated by this Agreement.</w:t>
      </w:r>
    </w:p>
    <w:p>
      <w:pPr>
        <w:spacing w:after="0" w:line="189" w:lineRule="exact"/>
        <w:rPr>
          <w:rFonts w:ascii="Arial" w:cs="Arial" w:eastAsia="Arial" w:hAnsi="Arial"/>
          <w:sz w:val="18"/>
          <w:szCs w:val="18"/>
          <w:color w:val="auto"/>
        </w:rPr>
      </w:pPr>
    </w:p>
    <w:p>
      <w:pPr>
        <w:jc w:val="both"/>
        <w:ind w:left="-8" w:firstLine="656"/>
        <w:spacing w:after="0" w:line="291" w:lineRule="auto"/>
        <w:tabs>
          <w:tab w:leader="none" w:pos="1686"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No Preemptive or Similar Rights</w:t>
      </w:r>
      <w:r>
        <w:rPr>
          <w:rFonts w:ascii="Arial" w:cs="Arial" w:eastAsia="Arial" w:hAnsi="Arial"/>
          <w:sz w:val="16"/>
          <w:szCs w:val="16"/>
          <w:color w:val="auto"/>
        </w:rPr>
        <w:t>. Except as described in the Registration Statement and the Prospectus or as otherwise have been waived (i) no person has the right, contractual or otherwise, to cause the Company to issue or sell to it any Common Shares or shares of any other capital stock or other equity interests of the Company, (ii) no person has any preemptive rights, resale rights, rights of first refusal or other rights to purchase any Common Shares or shares of any other capital stock of or other equity interests in the Company and (iii) no person has the right to act as an underwriter or as a financial advisor to the Company in connection with the offer and sale of the Shares; no person has the right, contractual or otherwise, to cause the Company to register under the Securities Act any Common Shares or shares of any other capital stock of or other equity interests in the Company or to include any such shares or interests in the Registration Statement or the offering contemplated thereby other than those that have been otherwise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1" w:name="page62"/>
    <w:bookmarkEnd w:id="61"/>
    <w:p>
      <w:pPr>
        <w:jc w:val="both"/>
        <w:ind w:left="-656" w:firstLine="656"/>
        <w:spacing w:after="0" w:line="253" w:lineRule="auto"/>
        <w:tabs>
          <w:tab w:leader="none" w:pos="94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Regulatory Compliance</w:t>
      </w:r>
      <w:r>
        <w:rPr>
          <w:rFonts w:ascii="Arial" w:cs="Arial" w:eastAsia="Arial" w:hAnsi="Arial"/>
          <w:sz w:val="18"/>
          <w:szCs w:val="18"/>
          <w:color w:val="auto"/>
        </w:rPr>
        <w:t>. Except for licenses, authorizations, consents and approvals required to be obtained from the Food and Drug Administration of the U.S. Department of Health and Human Services, each of the Company and the Subsidiaries has obtained all necessary licenses, authorizations, consents and approvals from all applicable authorities, in each case, as required to conduct their respective businesses as currently conducted, except where the failure to obtain such license, authorization, consent or approval or make such filing would not, individually or in the aggregate, reasonably be expected to have a Material Adverse Effect; neither the Company nor any of the Subsidiaries is in violation of, or in default under, or has received written notice of any proceedings from any applicable governmental or regulatory authority relating to the revocation or adverse modification of, any such license, authorization, consent or approval, except as described in the Registration Statement and the Prospectus or where such violation, default, revocation or adverse modification would not, individually or in the aggregate, reasonably be expected to have a Material Adverse Effect.</w:t>
      </w:r>
    </w:p>
    <w:p>
      <w:pPr>
        <w:spacing w:after="0" w:line="196" w:lineRule="exact"/>
        <w:rPr>
          <w:rFonts w:ascii="Arial" w:cs="Arial" w:eastAsia="Arial" w:hAnsi="Arial"/>
          <w:sz w:val="18"/>
          <w:szCs w:val="18"/>
          <w:color w:val="auto"/>
        </w:rPr>
      </w:pPr>
    </w:p>
    <w:p>
      <w:pPr>
        <w:jc w:val="both"/>
        <w:ind w:left="-656" w:firstLine="656"/>
        <w:spacing w:after="0" w:line="255" w:lineRule="auto"/>
        <w:tabs>
          <w:tab w:leader="none" w:pos="102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Disclosure of Proceedings</w:t>
      </w:r>
      <w:r>
        <w:rPr>
          <w:rFonts w:ascii="Arial" w:cs="Arial" w:eastAsia="Arial" w:hAnsi="Arial"/>
          <w:sz w:val="18"/>
          <w:szCs w:val="18"/>
          <w:color w:val="auto"/>
        </w:rPr>
        <w:t>. Except as described in the Registration Statement and the Prospectus, there is no legal, governmental, administrative or regulatory investigation, action, suit, claim or proceeding pending or, to the Company’s knowledge, threatened to which the Company or any of its Subsidiaries or any of their respective officers or directors is a party (in their respective capacities as such), or to which any property of the Company or the Subsidiaries is or would reasonably be expected to be subject, before any court, board, body, regulatory or non-regulatory administrative agency or competent authority, which if determined adversely to the Company or any of the Subsidiaries would, individually or in the aggregate, have a Material Adverse Effect.</w:t>
      </w:r>
    </w:p>
    <w:p>
      <w:pPr>
        <w:spacing w:after="0" w:line="192" w:lineRule="exact"/>
        <w:rPr>
          <w:rFonts w:ascii="Arial" w:cs="Arial" w:eastAsia="Arial" w:hAnsi="Arial"/>
          <w:sz w:val="18"/>
          <w:szCs w:val="18"/>
          <w:color w:val="auto"/>
        </w:rPr>
      </w:pPr>
    </w:p>
    <w:p>
      <w:pPr>
        <w:jc w:val="both"/>
        <w:ind w:left="-656" w:firstLine="656"/>
        <w:spacing w:after="0" w:line="263" w:lineRule="auto"/>
        <w:tabs>
          <w:tab w:leader="none" w:pos="118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Ernst &amp; Young LLP, whose report on the consolidated financial statements of the Company and the Subsidiaries is included in the Registration Statement and the Prospectus, are independent registered public accountants as required by the Securities Act and the rules of the Public Company Accounting Oversight Board.</w:t>
      </w:r>
    </w:p>
    <w:p>
      <w:pPr>
        <w:spacing w:after="0" w:line="183" w:lineRule="exact"/>
        <w:rPr>
          <w:rFonts w:ascii="Arial" w:cs="Arial" w:eastAsia="Arial" w:hAnsi="Arial"/>
          <w:sz w:val="18"/>
          <w:szCs w:val="18"/>
          <w:color w:val="auto"/>
        </w:rPr>
      </w:pPr>
    </w:p>
    <w:p>
      <w:pPr>
        <w:jc w:val="both"/>
        <w:ind w:left="-656" w:firstLine="656"/>
        <w:spacing w:after="0" w:line="285" w:lineRule="auto"/>
        <w:tabs>
          <w:tab w:leader="none" w:pos="100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in the Registration Statement and the Prospectus,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material compliance with the requirements of the Securities Act and the Exchange Act and in conformity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during the periods involved, and all adjustments necessary for a fair presentation of results for such periods have been made; all pro forma financial information included in the Registration Statement and the Prospectus presents fairly in all material respects the information shown therein, has been prepared in accordance with the provisions of the Securities Act and the Rules and Regulations with respect to pro forma financial information, has been properly compiled on the pro forma bases described therein in accordance with the provisions of the Securities Act and the Rules and Regulations, and the assumptions used in the preparation thereof are reasonable and the adjustments therein are appropriate to give effect to the transactions or circumstances referred to therein; the summary and selected combined financial and operating data included in the Registration Statement and the Prospectus present fairly in all material respects the information shown therein and such data have been compiled on a basis consistent with the financial statements presented therein and the books and records of the Company; there are no financial statements (historical or pro forma) that are required to be included in the Registration Statement or the Prospectus that are not included as required; the Company and the Subsidiaries do not have any material liabilities or obligations, direct or contingent (including any off-balance sheet obligations), that are not described in the Registration Statement and the Prospectus; and any disclosures contained in the Registration Statement and the Prospectus that constitute “non-GAAP financial measures” (as such term is defined by the rules and regulations of the Commission) comply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407670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62" w:name="page63"/>
    <w:bookmarkEnd w:id="62"/>
    <w:p>
      <w:pPr>
        <w:jc w:val="both"/>
        <w:ind w:left="-656" w:firstLine="656"/>
        <w:spacing w:after="0" w:line="269" w:lineRule="auto"/>
        <w:tabs>
          <w:tab w:leader="none" w:pos="89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Stock Option Grants</w:t>
      </w:r>
      <w:r>
        <w:rPr>
          <w:rFonts w:ascii="Arial" w:cs="Arial" w:eastAsia="Arial" w:hAnsi="Arial"/>
          <w:sz w:val="17"/>
          <w:szCs w:val="17"/>
          <w:color w:val="auto"/>
        </w:rPr>
        <w:t>. Except as would not, individually or in the aggregate, reasonably be expected to have a Material Adverse Effect, each stock option granted under any stock option plan of the Company or any Subsidiary (each, a “</w:t>
      </w:r>
      <w:r>
        <w:rPr>
          <w:rFonts w:ascii="Arial" w:cs="Arial" w:eastAsia="Arial" w:hAnsi="Arial"/>
          <w:sz w:val="17"/>
          <w:szCs w:val="17"/>
          <w:b w:val="1"/>
          <w:bCs w:val="1"/>
          <w:color w:val="auto"/>
        </w:rPr>
        <w:t>Stock Plan</w:t>
      </w:r>
      <w:r>
        <w:rPr>
          <w:rFonts w:ascii="Arial" w:cs="Arial" w:eastAsia="Arial" w:hAnsi="Arial"/>
          <w:sz w:val="17"/>
          <w:szCs w:val="17"/>
          <w:color w:val="auto"/>
        </w:rPr>
        <w:t>”) was granted with a per share exercise price no less than the fair market value per Common Share, or, with respect to incentive stock options granted to an employee who on the date of grant was the owner of stock possessing more than 10% of the total combined voting power of all classes of stock of the Company (after taking into account the attribution of stock ownership rules of Section 424(d)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no less than 110% of the fair market value per Common Share, on the grant date of such option, as determined by the Company’s board of directors, and no such grant involved any “back-dating,” “forward-dating” or similar practice with respect to the effective date of such grant; except as would not, individually or in the aggregate, reasonably be expected to have a Material Adverse Effect, each such option (i) was granted in compliance with applicable law and with the applicable Stock Plan(s), (ii) was duly approved by the board of directors (or a duly authorized committee thereof or an officer of the Company duly authorized by the board of directors or authorized committee thereof to make such grants) of the Company or such Subsidiary, as applicable, and (iii) has been properly accounted for in the Company’s financial statements in accordance with GAAP.</w:t>
      </w:r>
    </w:p>
    <w:p>
      <w:pPr>
        <w:spacing w:after="0" w:line="181" w:lineRule="exact"/>
        <w:rPr>
          <w:rFonts w:ascii="Arial" w:cs="Arial" w:eastAsia="Arial" w:hAnsi="Arial"/>
          <w:sz w:val="17"/>
          <w:szCs w:val="17"/>
          <w:color w:val="auto"/>
        </w:rPr>
      </w:pPr>
    </w:p>
    <w:p>
      <w:pPr>
        <w:jc w:val="both"/>
        <w:ind w:left="-656" w:firstLine="656"/>
        <w:spacing w:after="0" w:line="286" w:lineRule="auto"/>
        <w:tabs>
          <w:tab w:leader="none" w:pos="99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Except as otherwise set forth or contemplated in, or subsequently incorporated by reference into, the Registration Statement or the Prospectus, subsequent to the respective dates as of which information is given in the Registration Statement and the Prospectus, there has not been (i) any material adverse change, or any development involving a prospective material adverse change, in the business, properties, management, financial condition or results of operations of the Company and the Subsidiaries taken as a whole (a “</w:t>
      </w:r>
      <w:r>
        <w:rPr>
          <w:rFonts w:ascii="Arial" w:cs="Arial" w:eastAsia="Arial" w:hAnsi="Arial"/>
          <w:sz w:val="16"/>
          <w:szCs w:val="16"/>
          <w:b w:val="1"/>
          <w:bCs w:val="1"/>
          <w:color w:val="auto"/>
        </w:rPr>
        <w:t>Material Adverse</w:t>
      </w:r>
      <w:r>
        <w:rPr>
          <w:rFonts w:ascii="Arial" w:cs="Arial" w:eastAsia="Arial" w:hAnsi="Arial"/>
          <w:sz w:val="16"/>
          <w:szCs w:val="16"/>
          <w:color w:val="auto"/>
        </w:rPr>
        <w:t xml:space="preserve"> </w:t>
      </w:r>
      <w:r>
        <w:rPr>
          <w:rFonts w:ascii="Arial" w:cs="Arial" w:eastAsia="Arial" w:hAnsi="Arial"/>
          <w:sz w:val="16"/>
          <w:szCs w:val="16"/>
          <w:b w:val="1"/>
          <w:bCs w:val="1"/>
          <w:color w:val="auto"/>
        </w:rPr>
        <w:t>Change</w:t>
      </w:r>
      <w:r>
        <w:rPr>
          <w:rFonts w:ascii="Arial" w:cs="Arial" w:eastAsia="Arial" w:hAnsi="Arial"/>
          <w:sz w:val="16"/>
          <w:szCs w:val="16"/>
          <w:color w:val="auto"/>
        </w:rPr>
        <w:t>”), (ii) any transaction which is material to the Company and the Subsidiaries taken as a whole, (iii) any obligation or liability, direct or contingent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off-balance sheet obligations), incurred by the Company or any Subsidiary, which is material to the Company and the Subsidiaries taken as a whole, (iv) any change in the capital stock or outstanding indebtedness of the Company or any Subsidiaries (other than borrowings in the ordinary course of business under the Company’s Loan and Security Agreement, as amended on December 31, 2015 (as the same may be amended, restated or replaced), and as described in the Registration Statement and the Prospectus, the issuance of Common Shares upon exercise of stock options and warrants described as outstanding in the Registration Statement and the Prospectus, the grant in the ordinary course of business of awards under equity incentive plans described in the Registration Statement and the Prospectus and the repurchase by the Company or forfeiture of shares of common stock by the holder thereof pursuant to the terms of equity awards described as outstanding in the Registration Statement and the Prospectus) or (v) any dividend or distribution of any kind declared, paid or made on the capital stock of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410845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3" w:name="page64"/>
    <w:bookmarkEnd w:id="63"/>
    <w:p>
      <w:pPr>
        <w:jc w:val="both"/>
        <w:ind w:left="-656" w:firstLine="656"/>
        <w:spacing w:after="0" w:line="279" w:lineRule="auto"/>
        <w:tabs>
          <w:tab w:leader="none" w:pos="984"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Neither the Company nor any Subsidiary is and, after giving effect to the offering and sale of the Shares and the application of the proceeds thereof, neither of the Company nor any Subsidiary will be, an “investment company” or an entity “controlled” by an “investment company,” as such terms are defined in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or a “passive foreign investment company” or a “controlled foreign corporation,” as such terms are defined in the Code.</w:t>
      </w:r>
    </w:p>
    <w:p>
      <w:pPr>
        <w:spacing w:after="0" w:line="171" w:lineRule="exact"/>
        <w:rPr>
          <w:rFonts w:ascii="Arial" w:cs="Arial" w:eastAsia="Arial" w:hAnsi="Arial"/>
          <w:sz w:val="17"/>
          <w:szCs w:val="17"/>
          <w:color w:val="auto"/>
        </w:rPr>
      </w:pPr>
    </w:p>
    <w:p>
      <w:pPr>
        <w:jc w:val="both"/>
        <w:ind w:left="-656" w:firstLine="656"/>
        <w:spacing w:after="0" w:line="270" w:lineRule="auto"/>
        <w:tabs>
          <w:tab w:leader="none" w:pos="91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Real Property</w:t>
      </w:r>
      <w:r>
        <w:rPr>
          <w:rFonts w:ascii="Arial" w:cs="Arial" w:eastAsia="Arial" w:hAnsi="Arial"/>
          <w:sz w:val="17"/>
          <w:szCs w:val="17"/>
          <w:color w:val="auto"/>
        </w:rPr>
        <w:t>. Neither the Company nor the Subsidiaries own any real property; the Company and each of the Subsidiaries have good and marketable title to all tangible personal property described in the Registration Statement and the Prospectus as being owned by any of them, free and clear of all liens, claims, security interests or other encumbrances, except those that do not materially interfere with the use or proposed use of such property by the Company or the Subsidiary, respectively, or as would not materially or adversely affect the value of such property; all the property described in the Registration Statement and the Prospectus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180" w:lineRule="exact"/>
        <w:rPr>
          <w:rFonts w:ascii="Arial" w:cs="Arial" w:eastAsia="Arial" w:hAnsi="Arial"/>
          <w:sz w:val="17"/>
          <w:szCs w:val="17"/>
          <w:color w:val="auto"/>
        </w:rPr>
      </w:pPr>
    </w:p>
    <w:p>
      <w:pPr>
        <w:jc w:val="both"/>
        <w:ind w:left="-656" w:firstLine="656"/>
        <w:spacing w:after="0" w:line="266" w:lineRule="auto"/>
        <w:tabs>
          <w:tab w:leader="none" w:pos="92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Except as disclosed in the Registration Statement and the Prospectus, the Company and the Subsidiaries own, or have obtained valid and enforceable licenses for, or other rights to use, the patent applications, patents, trademarks, trademark registrations, tradenames, service marks, copyrights, trade secrets and other unpatented or unpatentable proprietary information necessary for, or used in the conduct, or the proposed conduct, of the business of the Company and its Subsidiaries taken as a whole in the manner described in the Registration Statement and the Prospectus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except as such failure to own or obtain rights would not result in a Material Adverse Effect; except as disclosed in the Registration Statement and the Prospectus (i) to the knowledge of the Company, there are no third parties who have any ownership rights in or to any Intellectual Property that is owned by the Company, and, to the knowledge of the Company,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Registration Statement and the Prospectus, in the current or proposed conduct of the businesses of the Company in the manner and to the extent described in the Registration Statement and the Prospectus,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Arial" w:cs="Arial" w:eastAsia="Arial" w:hAnsi="Arial"/>
          <w:sz w:val="17"/>
          <w:szCs w:val="17"/>
          <w:b w:val="1"/>
          <w:bCs w:val="1"/>
          <w:color w:val="auto"/>
        </w:rPr>
        <w:t>USPTO</w:t>
      </w:r>
      <w:r>
        <w:rPr>
          <w:rFonts w:ascii="Arial" w:cs="Arial" w:eastAsia="Arial" w:hAnsi="Arial"/>
          <w:sz w:val="17"/>
          <w:szCs w:val="17"/>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Registration Statement and the Prospectus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 the description of the Intellectual Property included or incorporated by reference in the Registration Statement and the Prospectus is accurate and complete in all material respects and presents fairly the information purported to be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425450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4" w:name="page65"/>
    <w:bookmarkEnd w:id="64"/>
    <w:p>
      <w:pPr>
        <w:jc w:val="both"/>
        <w:ind w:left="-656" w:firstLine="656"/>
        <w:spacing w:after="0" w:line="255" w:lineRule="auto"/>
        <w:tabs>
          <w:tab w:leader="none" w:pos="110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Labor Matters</w:t>
      </w:r>
      <w:r>
        <w:rPr>
          <w:rFonts w:ascii="Arial" w:cs="Arial" w:eastAsia="Arial" w:hAnsi="Arial"/>
          <w:sz w:val="18"/>
          <w:szCs w:val="18"/>
          <w:color w:val="auto"/>
        </w:rPr>
        <w:t>. Except for matters which would not, individually or in the aggregate, reasonably be expected to have a 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w:t>
      </w:r>
    </w:p>
    <w:p>
      <w:pPr>
        <w:spacing w:after="0" w:line="192" w:lineRule="exact"/>
        <w:rPr>
          <w:rFonts w:ascii="Arial" w:cs="Arial" w:eastAsia="Arial" w:hAnsi="Arial"/>
          <w:sz w:val="18"/>
          <w:szCs w:val="18"/>
          <w:color w:val="auto"/>
        </w:rPr>
      </w:pPr>
    </w:p>
    <w:p>
      <w:pPr>
        <w:jc w:val="both"/>
        <w:ind w:left="-656" w:firstLine="656"/>
        <w:spacing w:after="0" w:line="286" w:lineRule="auto"/>
        <w:tabs>
          <w:tab w:leader="none" w:pos="893"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Environmental Matters</w:t>
      </w:r>
      <w:r>
        <w:rPr>
          <w:rFonts w:ascii="Arial" w:cs="Arial" w:eastAsia="Arial" w:hAnsi="Arial"/>
          <w:sz w:val="16"/>
          <w:szCs w:val="16"/>
          <w:color w:val="auto"/>
        </w:rPr>
        <w:t>. The Company and the Subsidiaries are in compliance with, and hold all permits, authorizations and approvals required under, Environmental Laws (as defined below), except 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(including, without limitation, pollutants, contaminants, hazardous or toxic substances or wastes) that is regulated by or may give rise to liability under any Environmental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5" w:name="page66"/>
    <w:bookmarkEnd w:id="65"/>
    <w:p>
      <w:pPr>
        <w:jc w:val="both"/>
        <w:ind w:left="-8" w:firstLine="656"/>
        <w:spacing w:after="0" w:line="301" w:lineRule="auto"/>
        <w:tabs>
          <w:tab w:leader="none" w:pos="1572"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Except as described in the Registration Statement and the Prospectus, all material tax returns required to be filed by the Company or any of the 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157" w:lineRule="exact"/>
        <w:rPr>
          <w:rFonts w:ascii="Arial" w:cs="Arial" w:eastAsia="Arial" w:hAnsi="Arial"/>
          <w:sz w:val="16"/>
          <w:szCs w:val="16"/>
          <w:color w:val="auto"/>
        </w:rPr>
      </w:pPr>
    </w:p>
    <w:p>
      <w:pPr>
        <w:jc w:val="both"/>
        <w:ind w:left="-8" w:firstLine="656"/>
        <w:spacing w:after="0" w:line="291" w:lineRule="auto"/>
        <w:tabs>
          <w:tab w:leader="none" w:pos="1642"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Insurance Matters</w:t>
      </w:r>
      <w:r>
        <w:rPr>
          <w:rFonts w:ascii="Arial" w:cs="Arial" w:eastAsia="Arial" w:hAnsi="Arial"/>
          <w:sz w:val="16"/>
          <w:szCs w:val="16"/>
          <w:color w:val="auto"/>
        </w:rPr>
        <w:t>. The Company and each of the Subsidiaries maintain insurance covering their respective properties, operations, personnel and 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their respective businesses; to the Company’s knowledge, all such insurance is fully in force on the date hereof and is expected to be fully in force at each time of purchase, if any;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66" w:lineRule="exact"/>
        <w:rPr>
          <w:rFonts w:ascii="Arial" w:cs="Arial" w:eastAsia="Arial" w:hAnsi="Arial"/>
          <w:sz w:val="16"/>
          <w:szCs w:val="16"/>
          <w:color w:val="auto"/>
        </w:rPr>
      </w:pPr>
    </w:p>
    <w:p>
      <w:pPr>
        <w:jc w:val="both"/>
        <w:ind w:left="-8" w:firstLine="656"/>
        <w:spacing w:after="0" w:line="259" w:lineRule="auto"/>
        <w:tabs>
          <w:tab w:leader="none" w:pos="154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Notices</w:t>
      </w:r>
      <w:r>
        <w:rPr>
          <w:rFonts w:ascii="Arial" w:cs="Arial" w:eastAsia="Arial" w:hAnsi="Arial"/>
          <w:sz w:val="18"/>
          <w:szCs w:val="18"/>
          <w:color w:val="auto"/>
        </w:rPr>
        <w:t>. Except as referred to or described in the Registration Statement or the Prospectus, neither the Company nor any Subsidiary has sent or received any communication regarding termination of, or intent not to renew, any of the contracts or agreements referred to or described in the Registration Statement or the Prospectus, and no such termination or non-renewal has been threatened by the Company or any Subsidiary or, to the Company’s knowledge, any counterparty to any such contract or agreement.</w:t>
      </w:r>
    </w:p>
    <w:p>
      <w:pPr>
        <w:spacing w:after="0" w:line="186" w:lineRule="exact"/>
        <w:rPr>
          <w:rFonts w:ascii="Arial" w:cs="Arial" w:eastAsia="Arial" w:hAnsi="Arial"/>
          <w:sz w:val="18"/>
          <w:szCs w:val="18"/>
          <w:color w:val="auto"/>
        </w:rPr>
      </w:pPr>
    </w:p>
    <w:p>
      <w:pPr>
        <w:jc w:val="both"/>
        <w:ind w:left="-8" w:firstLine="656"/>
        <w:spacing w:after="0" w:line="283" w:lineRule="auto"/>
        <w:tabs>
          <w:tab w:leader="none" w:pos="1592"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and the Subsidiaries maintain a system of “internal controls over financial reporting” (as defined in Rule 13a-15(f) of the Exchange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Registration Statement and the Prospectus, there are no material weaknesses in the Company’s internal controls. The auditors and the Audit Committee of the Board of Directors of the Company have been advised of:</w:t>
      </w:r>
    </w:p>
    <w:p>
      <w:pPr>
        <w:spacing w:after="0" w:line="4" w:lineRule="exact"/>
        <w:rPr>
          <w:rFonts w:ascii="Arial" w:cs="Arial" w:eastAsia="Arial" w:hAnsi="Arial"/>
          <w:sz w:val="16"/>
          <w:szCs w:val="16"/>
          <w:color w:val="auto"/>
        </w:rPr>
      </w:pPr>
    </w:p>
    <w:p>
      <w:pPr>
        <w:jc w:val="both"/>
        <w:ind w:left="-8" w:right="20" w:firstLine="8"/>
        <w:spacing w:after="0" w:line="253" w:lineRule="auto"/>
        <w:tabs>
          <w:tab w:leader="none" w:pos="2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6" w:name="page67"/>
    <w:bookmarkEnd w:id="66"/>
    <w:p>
      <w:pPr>
        <w:jc w:val="both"/>
        <w:ind w:left="-656" w:firstLine="656"/>
        <w:spacing w:after="0" w:line="287" w:lineRule="auto"/>
        <w:tabs>
          <w:tab w:leader="none" w:pos="1221"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The Company and its Subsidiaries have established and maintain and evaluate “disclosure controls and procedures” (as such term is defined in Rule 13a-15 under the Exchange Act); such disclosure controls and procedures have been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no “significant deficiencies” or “material weaknesses” (as such terms are defined in Rule 1-02(a)(4) of Regulation S-X under the Act) of the Company were identified in connection with the audit by the Company’s independent registered public accountants of the Company’s financial statements for the fiscal year ended December 31, 2019;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and the principal executive officer and principal financial officer of the Company have made all certifications required by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and any related rules and regulations promulgated by the Commission, and the statements contained in each such certification are complete and correct in all material respects.</w:t>
      </w:r>
    </w:p>
    <w:p>
      <w:pPr>
        <w:spacing w:after="0" w:line="171" w:lineRule="exact"/>
        <w:rPr>
          <w:rFonts w:ascii="Arial" w:cs="Arial" w:eastAsia="Arial" w:hAnsi="Arial"/>
          <w:sz w:val="16"/>
          <w:szCs w:val="16"/>
          <w:color w:val="auto"/>
        </w:rPr>
      </w:pPr>
    </w:p>
    <w:p>
      <w:pPr>
        <w:jc w:val="both"/>
        <w:ind w:left="-656" w:firstLine="656"/>
        <w:spacing w:after="0" w:line="263"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Sarbanes-Oxley Compliance</w:t>
      </w:r>
      <w:r>
        <w:rPr>
          <w:rFonts w:ascii="Arial" w:cs="Arial" w:eastAsia="Arial" w:hAnsi="Arial"/>
          <w:sz w:val="18"/>
          <w:szCs w:val="18"/>
          <w:color w:val="auto"/>
        </w:rPr>
        <w:t>. The Company has taken all actions reasonably necessary to ensure that the Company and the Subsidiaries and their respective officers and directors, in their capacities as such, are in compliance in all material respects with the applicable provisions of the Sarbanes-Oxley Act and the rules and regulations promulgated in connection therewith.</w:t>
      </w:r>
    </w:p>
    <w:p>
      <w:pPr>
        <w:spacing w:after="0" w:line="183" w:lineRule="exact"/>
        <w:rPr>
          <w:rFonts w:ascii="Arial" w:cs="Arial" w:eastAsia="Arial" w:hAnsi="Arial"/>
          <w:sz w:val="18"/>
          <w:szCs w:val="18"/>
          <w:color w:val="auto"/>
        </w:rPr>
      </w:pPr>
    </w:p>
    <w:p>
      <w:pPr>
        <w:jc w:val="both"/>
        <w:ind w:left="-656" w:firstLine="656"/>
        <w:spacing w:after="0" w:line="263" w:lineRule="auto"/>
        <w:tabs>
          <w:tab w:leader="none" w:pos="91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Each “forward-looking statement” (within the meaning of Section 27A of the Securities Act or Section 21E of the Exchange Act) contained in the Registration Statement and the Prospectus has been made or reaffirmed with a reasonable basis and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7" w:name="page68"/>
    <w:bookmarkEnd w:id="67"/>
    <w:p>
      <w:pPr>
        <w:ind w:left="-8" w:right="20" w:firstLine="656"/>
        <w:spacing w:after="0" w:line="277" w:lineRule="auto"/>
        <w:tabs>
          <w:tab w:leader="none" w:pos="154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All statistical and market-related data included in the Registration Statement and the Prospectus are based on or derived from sources that the Company believes to be reliable and accurate.</w:t>
      </w:r>
    </w:p>
    <w:p>
      <w:pPr>
        <w:spacing w:after="0" w:line="170" w:lineRule="exact"/>
        <w:rPr>
          <w:rFonts w:ascii="Arial" w:cs="Arial" w:eastAsia="Arial" w:hAnsi="Arial"/>
          <w:sz w:val="18"/>
          <w:szCs w:val="18"/>
          <w:color w:val="auto"/>
        </w:rPr>
      </w:pPr>
    </w:p>
    <w:p>
      <w:pPr>
        <w:jc w:val="both"/>
        <w:ind w:left="-8" w:firstLine="656"/>
        <w:spacing w:after="0" w:line="290" w:lineRule="auto"/>
        <w:tabs>
          <w:tab w:leader="none" w:pos="1629"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FCPA, etc</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 has, directly or indirectly, made, offered, promised, or authorized the unlawful payment or provision of anything of value to any foreign or domestic government official or employee, including of any government-owned or controlled entity or of any public international organization, or any person acting in an official capacity for or on behalf of any of the foregoing, or any political party or party official or candidate for political office, or (ii) is aware of or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 the Company, the Subsidiaries and, to the knowledge of the Company, its controlled affiliates have instituted and maintain policies and procedures designed to ensure continued compliance therewith.</w:t>
      </w:r>
    </w:p>
    <w:p>
      <w:pPr>
        <w:spacing w:after="0" w:line="165" w:lineRule="exact"/>
        <w:rPr>
          <w:rFonts w:ascii="Arial" w:cs="Arial" w:eastAsia="Arial" w:hAnsi="Arial"/>
          <w:sz w:val="16"/>
          <w:szCs w:val="16"/>
          <w:color w:val="auto"/>
        </w:rPr>
      </w:pPr>
    </w:p>
    <w:p>
      <w:pPr>
        <w:jc w:val="both"/>
        <w:ind w:left="-8" w:firstLine="656"/>
        <w:spacing w:after="0" w:line="293" w:lineRule="auto"/>
        <w:tabs>
          <w:tab w:leader="none" w:pos="1912"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the Company and the Subsidiaries are and have been conducted at all times in 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164" w:lineRule="exact"/>
        <w:rPr>
          <w:rFonts w:ascii="Arial" w:cs="Arial" w:eastAsia="Arial" w:hAnsi="Arial"/>
          <w:sz w:val="16"/>
          <w:szCs w:val="16"/>
          <w:color w:val="auto"/>
        </w:rPr>
      </w:pPr>
    </w:p>
    <w:p>
      <w:pPr>
        <w:jc w:val="both"/>
        <w:ind w:left="-8" w:firstLine="656"/>
        <w:spacing w:after="0" w:line="291" w:lineRule="auto"/>
        <w:tabs>
          <w:tab w:leader="none" w:pos="1632"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is currently subject to or has been subject in the last five</w:t>
      </w:r>
    </w:p>
    <w:p>
      <w:pPr>
        <w:jc w:val="both"/>
        <w:ind w:left="-8" w:firstLine="8"/>
        <w:spacing w:after="0" w:line="268" w:lineRule="auto"/>
        <w:tabs>
          <w:tab w:leader="none" w:pos="2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years to any sanctions administered or enforced by the Office of Foreign Assets Control of the U.S. Treasury Department, the United Nations Security Council, the European Union, Her Majesty’s Treasury or any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or any of its Subsidiaries organized or resident in a country or territory that is the subject of Sanctions, including, without limitation, Crimea, Cuba, Iran, North Korea, and Syria (each, a “</w:t>
      </w:r>
      <w:r>
        <w:rPr>
          <w:rFonts w:ascii="Arial" w:cs="Arial" w:eastAsia="Arial" w:hAnsi="Arial"/>
          <w:sz w:val="17"/>
          <w:szCs w:val="17"/>
          <w:b w:val="1"/>
          <w:bCs w:val="1"/>
          <w:color w:val="auto"/>
        </w:rPr>
        <w:t>Sanctioned Country</w:t>
      </w:r>
      <w:r>
        <w:rPr>
          <w:rFonts w:ascii="Arial" w:cs="Arial" w:eastAsia="Arial" w:hAnsi="Arial"/>
          <w:sz w:val="17"/>
          <w:szCs w:val="17"/>
          <w:color w:val="auto"/>
        </w:rPr>
        <w:t>”), and the Company will not directly or indirectly use the proceeds of the offering of the Shares contemplated hereby, or lend, contribute or otherwise make available such proceeds to any Subsidiary, joint venture partner or other person or entity (i) to fund or facilitate any activities of or business with any person or country that, at the time of such funding or facilitation, is the subject of Sanctions or a Sanctioned Country, respectively, or (ii) in any other manner that will result in a violation by any person (including any person participating in the transaction, whether as underwriter, advisor, investor, or otherwise) of Sanctions. For the past five years, none of the Company or any Subsidiaries has engaged in any direct or indirect dealings or transactions with any person or country that, at the time of such dealing or transaction, was the subject of Sanctions or a Sanctioned Country,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8" w:name="page69"/>
    <w:bookmarkEnd w:id="68"/>
    <w:p>
      <w:pPr>
        <w:jc w:val="both"/>
        <w:ind w:left="-656" w:firstLine="656"/>
        <w:spacing w:after="0" w:line="286" w:lineRule="auto"/>
        <w:tabs>
          <w:tab w:leader="none" w:pos="954"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Patriot Act</w:t>
      </w:r>
      <w:r>
        <w:rPr>
          <w:rFonts w:ascii="Arial" w:cs="Arial" w:eastAsia="Arial" w:hAnsi="Arial"/>
          <w:sz w:val="17"/>
          <w:szCs w:val="17"/>
          <w:color w:val="auto"/>
        </w:rPr>
        <w:t>. The Company acknowledges that, in accordance with the requirements of the USA PATRIOT Act, the Agent is required to obtain, verify and record information that identifies their respective clients, including the Company, which information may include the name and address of their respective clients, as well as other information that will allow the Agent to properly identify their respective clients</w:t>
      </w:r>
    </w:p>
    <w:p>
      <w:pPr>
        <w:spacing w:after="0" w:line="165" w:lineRule="exact"/>
        <w:rPr>
          <w:rFonts w:ascii="Arial" w:cs="Arial" w:eastAsia="Arial" w:hAnsi="Arial"/>
          <w:sz w:val="17"/>
          <w:szCs w:val="17"/>
          <w:color w:val="auto"/>
        </w:rPr>
      </w:pPr>
    </w:p>
    <w:p>
      <w:pPr>
        <w:jc w:val="both"/>
        <w:ind w:left="-656" w:firstLine="656"/>
        <w:spacing w:after="0" w:line="259" w:lineRule="auto"/>
        <w:tabs>
          <w:tab w:leader="none" w:pos="98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Dividend Restrictions</w:t>
      </w:r>
      <w:r>
        <w:rPr>
          <w:rFonts w:ascii="Arial" w:cs="Arial" w:eastAsia="Arial" w:hAnsi="Arial"/>
          <w:sz w:val="18"/>
          <w:szCs w:val="18"/>
          <w:color w:val="auto"/>
        </w:rPr>
        <w:t>.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and the Prospectus.</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917"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Health Regulatory Compliance</w:t>
      </w:r>
      <w:r>
        <w:rPr>
          <w:rFonts w:ascii="Arial" w:cs="Arial" w:eastAsia="Arial" w:hAnsi="Arial"/>
          <w:sz w:val="17"/>
          <w:szCs w:val="17"/>
          <w:color w:val="auto"/>
        </w:rPr>
        <w:t>. The preclinical studies and clinical trials conducted by or, to the Company’s knowledge, on behalf of the Company that are described in, or the results of which are referred to in, the Registration Statement and the Prospectus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Registration Statement and the Prospectus is accurate in all material respects and fairly presents the data derived from such studies, and the Company is not aware of any other studies the results of which the Company believes reasonably call into question the study results described or referred to in the Registration Statement and the Prospectus; and except as disclosed in the Registration Statement and the Prospectus,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requiring the termination, suspension or material adverse modification of any clinical trials that are described or referred to in the Registration Statement and the Prospectus;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86" w:lineRule="exact"/>
        <w:rPr>
          <w:rFonts w:ascii="Arial" w:cs="Arial" w:eastAsia="Arial" w:hAnsi="Arial"/>
          <w:sz w:val="17"/>
          <w:szCs w:val="17"/>
          <w:color w:val="auto"/>
        </w:rPr>
      </w:pPr>
    </w:p>
    <w:p>
      <w:pPr>
        <w:jc w:val="both"/>
        <w:ind w:left="-656" w:firstLine="656"/>
        <w:spacing w:after="0" w:line="284" w:lineRule="auto"/>
        <w:tabs>
          <w:tab w:leader="none" w:pos="89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Compliance with Health Care Laws.</w:t>
      </w:r>
      <w:r>
        <w:rPr>
          <w:rFonts w:ascii="Arial" w:cs="Arial" w:eastAsia="Arial" w:hAnsi="Arial"/>
          <w:sz w:val="16"/>
          <w:szCs w:val="16"/>
          <w:color w:val="auto"/>
        </w:rPr>
        <w:t xml:space="preserve"> The Company and the Subsidiaries are, and since January 1, 2017 have been, in compliance with all applicable Health Care Laws except where failure to be in compliance would not be expected reasonably to have a Material Adverse Effect.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means: (i) the Federal Food, Drug, and Cosmetic Act (21 U.S.C. §§ 301 et seq.), and the regulations promulgated thereunder; (ii) all applicable federal, state, local and foreign health care related fraud and abuse laws, including, without limitation, the U.S. Anti-Kickback Statute (42 U.S.C. § 1320a-7b(b)), the U.S. Civil False Claims Act (31 U.S.C. §§ 3729 et seq.), the Federal False Statements Law (42 U.S.C. § 1320a-7b(a)), all criminal laws relating to health care fraud and abuse, including but not limited to 18 U.S.C. §§ 286 and 287, and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 1320d et seq.), the Civil Monetary Penalties Law (42 U.S.C. § 1320a-7a), the exclusion laws (42 U.S.C. § 1320a-7), the Medicare statute (Title XVIII of the Social Security Act), and the Medicaid statute (Title XIX of the Social Security Act) and the regulations promulgated pursuant to such statutes; (iii) HIPAA, as amended by the Health Information Technology for Economic and Clinical Health Act (42 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 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 maintained or submitted all reports, documents, forms, notices, applications, records, claims, submissions 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 except in each case, as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410210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9" w:name="page70"/>
    <w:bookmarkEnd w:id="69"/>
    <w:p>
      <w:pPr>
        <w:jc w:val="both"/>
        <w:ind w:left="-656" w:firstLine="656"/>
        <w:spacing w:after="0" w:line="267" w:lineRule="auto"/>
        <w:tabs>
          <w:tab w:leader="none" w:pos="110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Cybersecurity and Data Privacy</w:t>
      </w:r>
      <w:r>
        <w:rPr>
          <w:rFonts w:ascii="Arial" w:cs="Arial" w:eastAsia="Arial" w:hAnsi="Arial"/>
          <w:sz w:val="17"/>
          <w:szCs w:val="17"/>
          <w:color w:val="auto"/>
        </w:rPr>
        <w:t>. The Company and the Subsidiaries’ information technology assets and equipment, computers, systems, networks, hardware, software, websites, applications, and databases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(as defined below) that is in the Company’s possession, and sensitive, confidential or regulated data (collectively, the “</w:t>
      </w:r>
      <w:r>
        <w:rPr>
          <w:rFonts w:ascii="Arial" w:cs="Arial" w:eastAsia="Arial" w:hAnsi="Arial"/>
          <w:sz w:val="17"/>
          <w:szCs w:val="17"/>
          <w:b w:val="1"/>
          <w:bCs w:val="1"/>
          <w:color w:val="auto"/>
        </w:rPr>
        <w:t>Confidential Data</w:t>
      </w:r>
      <w:r>
        <w:rPr>
          <w:rFonts w:ascii="Arial" w:cs="Arial" w:eastAsia="Arial" w:hAnsi="Arial"/>
          <w:sz w:val="17"/>
          <w:szCs w:val="17"/>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w:t>
      </w:r>
      <w:r>
        <w:rPr>
          <w:rFonts w:ascii="Arial" w:cs="Arial" w:eastAsia="Arial" w:hAnsi="Arial"/>
          <w:sz w:val="17"/>
          <w:szCs w:val="17"/>
          <w:b w:val="1"/>
          <w:bCs w:val="1"/>
          <w:color w:val="auto"/>
        </w:rPr>
        <w:t>Personal Data</w:t>
      </w:r>
      <w:r>
        <w:rPr>
          <w:rFonts w:ascii="Arial" w:cs="Arial" w:eastAsia="Arial" w:hAnsi="Arial"/>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HIPAA; (iv) “personal data” as defined by General Data Protection Regulation, and (v) any other piece of information that allows the identification of such natural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421640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0" w:name="page71"/>
    <w:bookmarkEnd w:id="70"/>
    <w:p>
      <w:pPr>
        <w:jc w:val="both"/>
        <w:ind w:left="-656" w:firstLine="656"/>
        <w:spacing w:after="0" w:line="311" w:lineRule="auto"/>
        <w:tabs>
          <w:tab w:leader="none" w:pos="96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The issuance and sale of the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capital stock of the Company, except as have been otherwise waived.</w:t>
      </w:r>
    </w:p>
    <w:p>
      <w:pPr>
        <w:spacing w:after="0" w:line="148" w:lineRule="exact"/>
        <w:rPr>
          <w:rFonts w:ascii="Arial" w:cs="Arial" w:eastAsia="Arial" w:hAnsi="Arial"/>
          <w:sz w:val="16"/>
          <w:szCs w:val="16"/>
          <w:color w:val="auto"/>
        </w:rPr>
      </w:pPr>
    </w:p>
    <w:p>
      <w:pPr>
        <w:jc w:val="both"/>
        <w:ind w:left="-656" w:firstLine="656"/>
        <w:spacing w:after="0" w:line="263" w:lineRule="auto"/>
        <w:tabs>
          <w:tab w:leader="none" w:pos="110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pursuant to this Agreement, neither the Company nor any of the Subsidiaries has incurred any liability for any finder’s or broker’s fee or agent’s commission in connection with the execution and delivery of this Agreement or the consummation of the transactions contemplated hereby or by the Registration Statement.</w:t>
      </w:r>
    </w:p>
    <w:p>
      <w:pPr>
        <w:spacing w:after="0" w:line="183" w:lineRule="exact"/>
        <w:rPr>
          <w:rFonts w:ascii="Arial" w:cs="Arial" w:eastAsia="Arial" w:hAnsi="Arial"/>
          <w:sz w:val="18"/>
          <w:szCs w:val="18"/>
          <w:color w:val="auto"/>
        </w:rPr>
      </w:pPr>
    </w:p>
    <w:p>
      <w:pPr>
        <w:jc w:val="both"/>
        <w:ind w:left="-656" w:firstLine="656"/>
        <w:spacing w:after="0" w:line="296" w:lineRule="auto"/>
        <w:tabs>
          <w:tab w:leader="none" w:pos="86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Price Stabilization or Manipulation; Compliance with Regulation M</w:t>
      </w:r>
      <w:r>
        <w:rPr>
          <w:rFonts w:ascii="Arial" w:cs="Arial" w:eastAsia="Arial" w:hAnsi="Arial"/>
          <w:sz w:val="16"/>
          <w:szCs w:val="16"/>
          <w:color w:val="auto"/>
        </w:rPr>
        <w:t>. None of the Company, any of the Subsidiaries or any of their respective directors, officers or affiliates has taken, directly or indirectly, any action designed, or which has constituted or might reasonably be expected to cause or result in the stabilization or manipulation of the price of any security of the Company to facilitate the sale or resale of the Shares in violation of Regulation M under the Exchange Act. The Company acknowledges that the Agent may engage in passive market making transactions in the Shares on the Nasdaq Global Market in accordance with Regulation M. The Common Shares are “actively traded securities” (as defined in Regulation M).</w:t>
      </w:r>
    </w:p>
    <w:p>
      <w:pPr>
        <w:spacing w:after="0" w:line="161" w:lineRule="exact"/>
        <w:rPr>
          <w:rFonts w:ascii="Arial" w:cs="Arial" w:eastAsia="Arial" w:hAnsi="Arial"/>
          <w:sz w:val="16"/>
          <w:szCs w:val="16"/>
          <w:color w:val="auto"/>
        </w:rPr>
      </w:pPr>
    </w:p>
    <w:p>
      <w:pPr>
        <w:jc w:val="both"/>
        <w:ind w:left="-656" w:firstLine="656"/>
        <w:spacing w:after="0" w:line="259" w:lineRule="auto"/>
        <w:tabs>
          <w:tab w:leader="none" w:pos="86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To the Company’s knowledge, there are no affiliations or associations between (i) 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and the Prospectus.</w:t>
      </w:r>
    </w:p>
    <w:p>
      <w:pPr>
        <w:spacing w:after="0" w:line="186" w:lineRule="exact"/>
        <w:rPr>
          <w:rFonts w:ascii="Arial" w:cs="Arial" w:eastAsia="Arial" w:hAnsi="Arial"/>
          <w:sz w:val="18"/>
          <w:szCs w:val="18"/>
          <w:color w:val="auto"/>
        </w:rPr>
      </w:pPr>
    </w:p>
    <w:p>
      <w:pPr>
        <w:jc w:val="both"/>
        <w:ind w:left="-656" w:firstLine="656"/>
        <w:spacing w:after="0" w:line="269" w:lineRule="auto"/>
        <w:tabs>
          <w:tab w:leader="none" w:pos="105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ERISA Matters</w:t>
      </w:r>
      <w:r>
        <w:rPr>
          <w:rFonts w:ascii="Arial" w:cs="Arial" w:eastAsia="Arial" w:hAnsi="Arial"/>
          <w:sz w:val="17"/>
          <w:szCs w:val="17"/>
          <w:color w:val="auto"/>
        </w:rPr>
        <w:t>. Except for matters which would not, individually or in the aggregate, reasonably be expected to have a Material Adverse Effect, each “employee benefit plan” (within the meaning of Section 3(3) of the Employee Retirement Income Security Act of 1974, as amended, including the regulations and published interpretations thereunder (“</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or any member of its “Controlled Group” (defined as any organization that is a member of a controlled group of corporations within the meaning of Section 414 of the Code, including its subsidiaries, would have liability (each a “</w:t>
      </w:r>
      <w:r>
        <w:rPr>
          <w:rFonts w:ascii="Arial" w:cs="Arial" w:eastAsia="Arial" w:hAnsi="Arial"/>
          <w:sz w:val="17"/>
          <w:szCs w:val="17"/>
          <w:b w:val="1"/>
          <w:bCs w:val="1"/>
          <w:color w:val="auto"/>
        </w:rPr>
        <w:t>Plan</w:t>
      </w:r>
      <w:r>
        <w:rPr>
          <w:rFonts w:ascii="Arial" w:cs="Arial" w:eastAsia="Arial" w:hAnsi="Arial"/>
          <w:sz w:val="17"/>
          <w:szCs w:val="17"/>
          <w:color w:val="auto"/>
        </w:rPr>
        <w:t>”) is in compliance in all material respects with all presently applicable statutes, rules and regulations, including ERISA and the Code; (ii) with respect to each Plan subject to Title IV of ERISA (a) no “reportable event” (as defined in Section 4043 of ERISA) has occurred for which the Company or any member of its Controlled Group would have any liability; and (b) neither the Company 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reasonably be expected to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414020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1" w:name="page72"/>
    <w:bookmarkEnd w:id="71"/>
    <w:p>
      <w:pPr>
        <w:jc w:val="both"/>
        <w:ind w:right="20" w:firstLine="656"/>
        <w:spacing w:after="0" w:line="279" w:lineRule="auto"/>
        <w:tabs>
          <w:tab w:leader="none" w:pos="170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Stock Exchange Listing</w:t>
      </w:r>
      <w:r>
        <w:rPr>
          <w:rFonts w:ascii="Arial" w:cs="Arial" w:eastAsia="Arial" w:hAnsi="Arial"/>
          <w:sz w:val="17"/>
          <w:szCs w:val="17"/>
          <w:color w:val="auto"/>
        </w:rPr>
        <w:t>. The Common Shares are registered pursuant to Section 12(b) of the Exchange Act and are listed on the Nasdaq Global Market, and the Company has taken no action designed to, or likely to have the effect of, terminating the registration of the Common Shares under the Exchange Act or delisting the Common Shares from the Nasdaq Global Market, nor has the Company received any notification that the Commission or the Nasdaq Global Market is contemplating terminating such registration or listing.</w:t>
      </w:r>
    </w:p>
    <w:p>
      <w:pPr>
        <w:spacing w:after="0" w:line="171" w:lineRule="exact"/>
        <w:rPr>
          <w:rFonts w:ascii="Arial" w:cs="Arial" w:eastAsia="Arial" w:hAnsi="Arial"/>
          <w:sz w:val="17"/>
          <w:szCs w:val="17"/>
          <w:color w:val="auto"/>
        </w:rPr>
      </w:pPr>
    </w:p>
    <w:p>
      <w:pPr>
        <w:ind w:right="20" w:firstLine="656"/>
        <w:spacing w:after="0" w:line="277" w:lineRule="auto"/>
        <w:tabs>
          <w:tab w:leader="none" w:pos="161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Selecta RUS</w:t>
      </w:r>
      <w:r>
        <w:rPr>
          <w:rFonts w:ascii="Arial" w:cs="Arial" w:eastAsia="Arial" w:hAnsi="Arial"/>
          <w:sz w:val="18"/>
          <w:szCs w:val="18"/>
          <w:color w:val="auto"/>
        </w:rPr>
        <w:t>. Selecta (RUS) Limited Liability Company (i) does not own any Intellectual Property or assets that are material to the Company’s business and (ii) does not have any operations that are material to the Company’s business or prospects.</w:t>
      </w:r>
    </w:p>
    <w:p>
      <w:pPr>
        <w:spacing w:after="0" w:line="170" w:lineRule="exact"/>
        <w:rPr>
          <w:rFonts w:ascii="Arial" w:cs="Arial" w:eastAsia="Arial" w:hAnsi="Arial"/>
          <w:sz w:val="18"/>
          <w:szCs w:val="18"/>
          <w:color w:val="auto"/>
        </w:rPr>
      </w:pPr>
    </w:p>
    <w:p>
      <w:pPr>
        <w:ind w:left="1580" w:hanging="924"/>
        <w:spacing w:after="0"/>
        <w:tabs>
          <w:tab w:leader="none" w:pos="15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Timely Filing</w:t>
      </w:r>
      <w:r>
        <w:rPr>
          <w:rFonts w:ascii="Arial" w:cs="Arial" w:eastAsia="Arial" w:hAnsi="Arial"/>
          <w:sz w:val="18"/>
          <w:szCs w:val="18"/>
          <w:color w:val="auto"/>
        </w:rPr>
        <w:t>. The Company has timely made all filings required to be made under the Exchange Act.</w:t>
      </w:r>
    </w:p>
    <w:p>
      <w:pPr>
        <w:spacing w:after="0" w:line="225" w:lineRule="exact"/>
        <w:rPr>
          <w:rFonts w:ascii="Arial" w:cs="Arial" w:eastAsia="Arial" w:hAnsi="Arial"/>
          <w:sz w:val="18"/>
          <w:szCs w:val="18"/>
          <w:color w:val="auto"/>
        </w:rPr>
      </w:pPr>
    </w:p>
    <w:p>
      <w:pPr>
        <w:ind w:firstLine="656"/>
        <w:spacing w:after="0" w:line="277" w:lineRule="auto"/>
        <w:tabs>
          <w:tab w:leader="none" w:pos="168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jc w:val="both"/>
        <w:ind w:firstLine="656"/>
        <w:spacing w:after="0" w:line="259" w:lineRule="auto"/>
        <w:tabs>
          <w:tab w:leader="none" w:pos="176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664" w:hanging="664"/>
        <w:spacing w:after="0"/>
        <w:tabs>
          <w:tab w:leader="none" w:pos="66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70" w:lineRule="auto"/>
        <w:tabs>
          <w:tab w:leader="none" w:pos="1191"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Issuance Notice</w:t>
      </w:r>
      <w:r>
        <w:rPr>
          <w:rFonts w:ascii="Arial" w:cs="Arial" w:eastAsia="Arial" w:hAnsi="Arial"/>
          <w:sz w:val="17"/>
          <w:szCs w:val="17"/>
          <w:color w:val="auto"/>
        </w:rPr>
        <w:t xml:space="preserve">. Upon the terms and subject to the conditions set forth herein, on any Trading Day during the Agency Period on which the conditions set forth in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shall have been satisfied, the Company may exercise its right to request an issuance of Shares by delivering to the Agent an Issuance Notice;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so identified in writing by the Agent and confirmed by the Company by telephone (including a voicemail message to the persons so identified), with the understanding that, with adequate prior written notice, the Agent may modify the list of such persons from time to time.</w:t>
      </w:r>
    </w:p>
    <w:p>
      <w:pPr>
        <w:spacing w:after="0" w:line="180" w:lineRule="exact"/>
        <w:rPr>
          <w:rFonts w:ascii="Arial" w:cs="Arial" w:eastAsia="Arial" w:hAnsi="Arial"/>
          <w:sz w:val="17"/>
          <w:szCs w:val="17"/>
          <w:color w:val="auto"/>
        </w:rPr>
      </w:pPr>
    </w:p>
    <w:p>
      <w:pPr>
        <w:jc w:val="both"/>
        <w:ind w:left="4" w:firstLine="644"/>
        <w:spacing w:after="0" w:line="255" w:lineRule="auto"/>
        <w:tabs>
          <w:tab w:leader="none" w:pos="1241"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Agent Efforts</w:t>
      </w:r>
      <w:r>
        <w:rPr>
          <w:rFonts w:ascii="Arial" w:cs="Arial" w:eastAsia="Arial" w:hAnsi="Arial"/>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92" w:lineRule="exact"/>
        <w:rPr>
          <w:rFonts w:ascii="Arial" w:cs="Arial" w:eastAsia="Arial" w:hAnsi="Arial"/>
          <w:sz w:val="18"/>
          <w:szCs w:val="18"/>
          <w:color w:val="auto"/>
        </w:rPr>
      </w:pPr>
    </w:p>
    <w:p>
      <w:pPr>
        <w:ind w:left="1224" w:hanging="576"/>
        <w:spacing w:after="0"/>
        <w:tabs>
          <w:tab w:leader="none" w:pos="1224"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negotiated transactions with the consent of the Company or</w:t>
      </w:r>
    </w:p>
    <w:p>
      <w:pPr>
        <w:spacing w:after="0" w:line="46" w:lineRule="exact"/>
        <w:rPr>
          <w:rFonts w:ascii="Arial" w:cs="Arial" w:eastAsia="Arial" w:hAnsi="Arial"/>
          <w:sz w:val="16"/>
          <w:szCs w:val="16"/>
          <w:color w:val="auto"/>
        </w:rPr>
      </w:pPr>
    </w:p>
    <w:p>
      <w:pPr>
        <w:jc w:val="both"/>
        <w:ind w:left="4"/>
        <w:spacing w:after="0" w:line="295" w:lineRule="auto"/>
        <w:rPr>
          <w:rFonts w:ascii="Arial" w:cs="Arial" w:eastAsia="Arial" w:hAnsi="Arial"/>
          <w:sz w:val="16"/>
          <w:szCs w:val="16"/>
          <w:color w:val="auto"/>
        </w:rPr>
      </w:pPr>
      <w:r>
        <w:rPr>
          <w:rFonts w:ascii="Arial" w:cs="Arial" w:eastAsia="Arial" w:hAnsi="Arial"/>
          <w:sz w:val="16"/>
          <w:szCs w:val="16"/>
          <w:color w:val="auto"/>
        </w:rPr>
        <w:t>(B) by any other method permitted by law deemed to be an “at the market” offering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61" w:lineRule="exact"/>
        <w:rPr>
          <w:rFonts w:ascii="Arial" w:cs="Arial" w:eastAsia="Arial" w:hAnsi="Arial"/>
          <w:sz w:val="16"/>
          <w:szCs w:val="16"/>
          <w:color w:val="auto"/>
        </w:rPr>
      </w:pPr>
    </w:p>
    <w:p>
      <w:pPr>
        <w:jc w:val="both"/>
        <w:ind w:left="4" w:firstLine="644"/>
        <w:spacing w:after="0" w:line="311" w:lineRule="auto"/>
        <w:tabs>
          <w:tab w:leader="none" w:pos="124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Confirmation to the Company</w:t>
      </w:r>
      <w:r>
        <w:rPr>
          <w:rFonts w:ascii="Arial" w:cs="Arial" w:eastAsia="Arial" w:hAnsi="Arial"/>
          <w:sz w:val="16"/>
          <w:szCs w:val="16"/>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394970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73" w:name="page74"/>
    <w:bookmarkEnd w:id="73"/>
    <w:p>
      <w:pPr>
        <w:jc w:val="both"/>
        <w:ind w:left="4" w:firstLine="644"/>
        <w:spacing w:after="0" w:line="254" w:lineRule="auto"/>
        <w:tabs>
          <w:tab w:leader="none" w:pos="1217"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Each issuance of Shares will be settled on the applicable Settlement Date for such issuance of Shares and,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 Sale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4" w:firstLine="644"/>
        <w:spacing w:after="0" w:line="285" w:lineRule="auto"/>
        <w:tabs>
          <w:tab w:leader="none" w:pos="1254"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262" w:val="left"/>
        </w:tabs>
        <w:numPr>
          <w:ilvl w:val="0"/>
          <w:numId w:val="61"/>
        </w:numPr>
        <w:rPr>
          <w:rFonts w:ascii="Arial" w:cs="Arial" w:eastAsia="Arial" w:hAnsi="Arial"/>
          <w:sz w:val="18"/>
          <w:szCs w:val="18"/>
          <w:u w:val="single" w:color="auto"/>
          <w:color w:val="auto"/>
        </w:rPr>
      </w:pPr>
      <w:r>
        <w:rPr>
          <w:rFonts w:ascii="Arial" w:cs="Arial" w:eastAsia="Arial" w:hAnsi="Arial"/>
          <w:sz w:val="18"/>
          <w:szCs w:val="18"/>
          <w:color w:val="auto"/>
        </w:rPr>
        <w:t xml:space="preserve">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192" w:lineRule="exact"/>
        <w:rPr>
          <w:rFonts w:ascii="Arial" w:cs="Arial" w:eastAsia="Arial" w:hAnsi="Arial"/>
          <w:sz w:val="18"/>
          <w:szCs w:val="18"/>
          <w:u w:val="single" w:color="auto"/>
          <w:color w:val="auto"/>
        </w:rPr>
      </w:pPr>
    </w:p>
    <w:p>
      <w:pPr>
        <w:jc w:val="both"/>
        <w:ind w:left="4" w:firstLine="644"/>
        <w:spacing w:after="0" w:line="259" w:lineRule="auto"/>
        <w:tabs>
          <w:tab w:leader="none" w:pos="130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and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6" w:lineRule="exact"/>
        <w:rPr>
          <w:rFonts w:ascii="Arial" w:cs="Arial" w:eastAsia="Arial" w:hAnsi="Arial"/>
          <w:sz w:val="18"/>
          <w:szCs w:val="18"/>
          <w:color w:val="auto"/>
        </w:rPr>
      </w:pPr>
    </w:p>
    <w:p>
      <w:pPr>
        <w:jc w:val="both"/>
        <w:ind w:left="4" w:firstLine="644"/>
        <w:spacing w:after="0" w:line="263" w:lineRule="auto"/>
        <w:tabs>
          <w:tab w:leader="none" w:pos="139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4" w:lineRule="exact"/>
        <w:rPr>
          <w:sz w:val="20"/>
          <w:szCs w:val="20"/>
          <w:color w:val="auto"/>
        </w:rPr>
      </w:pPr>
    </w:p>
    <w:p>
      <w:pPr>
        <w:jc w:val="both"/>
        <w:ind w:left="-656" w:firstLine="656"/>
        <w:spacing w:after="0" w:line="263" w:lineRule="auto"/>
        <w:tabs>
          <w:tab w:leader="none" w:pos="105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4" w:name="page75"/>
    <w:bookmarkEnd w:id="74"/>
    <w:p>
      <w:pPr>
        <w:jc w:val="both"/>
        <w:ind w:firstLine="656"/>
        <w:spacing w:after="0" w:line="282" w:lineRule="auto"/>
        <w:tabs>
          <w:tab w:leader="none" w:pos="1708"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“Blue Sky Survey” or memorandum and a “Canadian wrapper,” and any supplements thereto, advising the Agent of such qualifications, registrations, determinations and exemptions, (vii) the reasonable fees and documented and disbursements of the Agent’s counsel, including the reasonable and documented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Nasdaq Global Market. The fees and disbursements of Agent’s counsel pursuant to subsections (vi),</w:t>
      </w:r>
    </w:p>
    <w:p>
      <w:pPr>
        <w:spacing w:after="0" w:line="10" w:lineRule="exact"/>
        <w:rPr>
          <w:rFonts w:ascii="Arial" w:cs="Arial" w:eastAsia="Arial" w:hAnsi="Arial"/>
          <w:sz w:val="16"/>
          <w:szCs w:val="16"/>
          <w:color w:val="auto"/>
        </w:rPr>
      </w:pPr>
    </w:p>
    <w:p>
      <w:pPr>
        <w:ind w:firstLine="8"/>
        <w:spacing w:after="0" w:line="260" w:lineRule="auto"/>
        <w:tabs>
          <w:tab w:leader="none" w:pos="3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and (viii), above shall not exceed (A) $50,000 in connection with execution of this Agreement and (B) $15,000 in connection with each Triggering Event Date (as defined below) on which the Company is required to provide a certificate pursuant to Section 4(o).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656"/>
        <w:spacing w:after="0" w:line="287" w:lineRule="auto"/>
        <w:tabs>
          <w:tab w:leader="none" w:pos="1590"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w:t>
      </w:r>
    </w:p>
    <w:p>
      <w:pPr>
        <w:spacing w:after="0" w:line="2" w:lineRule="exact"/>
        <w:rPr>
          <w:rFonts w:ascii="Arial" w:cs="Arial" w:eastAsia="Arial" w:hAnsi="Arial"/>
          <w:sz w:val="16"/>
          <w:szCs w:val="16"/>
          <w:color w:val="auto"/>
        </w:rPr>
      </w:pPr>
    </w:p>
    <w:p>
      <w:pPr>
        <w:jc w:val="both"/>
        <w:ind w:firstLine="8"/>
        <w:spacing w:after="0" w:line="295" w:lineRule="auto"/>
        <w:tabs>
          <w:tab w:leader="none" w:pos="271"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6"/>
          <w:szCs w:val="16"/>
          <w:b w:val="1"/>
          <w:bCs w:val="1"/>
          <w:color w:val="auto"/>
        </w:rPr>
        <w:t>Interim Prospectus</w:t>
      </w:r>
      <w:r>
        <w:rPr>
          <w:rFonts w:ascii="Arial" w:cs="Arial" w:eastAsia="Arial" w:hAnsi="Arial"/>
          <w:sz w:val="16"/>
          <w:szCs w:val="16"/>
          <w:color w:val="auto"/>
        </w:rPr>
        <w:t xml:space="preserve"> Supplement”), such summary information and, at least once a quarter and subject to this </w:t>
      </w:r>
      <w:r>
        <w:rPr>
          <w:rFonts w:ascii="Arial" w:cs="Arial" w:eastAsia="Arial" w:hAnsi="Arial"/>
          <w:sz w:val="16"/>
          <w:szCs w:val="16"/>
          <w:u w:val="single" w:color="auto"/>
          <w:color w:val="auto"/>
        </w:rPr>
        <w:t>Section 4</w:t>
      </w:r>
      <w:r>
        <w:rPr>
          <w:rFonts w:ascii="Arial" w:cs="Arial" w:eastAsia="Arial" w:hAnsi="Arial"/>
          <w:sz w:val="16"/>
          <w:szCs w:val="16"/>
          <w:color w:val="auto"/>
        </w:rPr>
        <w:t>, file such Interim Prospectus Supplement pursuant to Rule 424(b) under the Securities Act (and within the time periods required by Rule 424(b) and Rule 430B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left="-656" w:firstLine="656"/>
        <w:spacing w:after="0" w:line="287" w:lineRule="auto"/>
        <w:tabs>
          <w:tab w:leader="none" w:pos="109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67" w:lineRule="exact"/>
        <w:rPr>
          <w:rFonts w:ascii="Arial" w:cs="Arial" w:eastAsia="Arial" w:hAnsi="Arial"/>
          <w:sz w:val="16"/>
          <w:szCs w:val="16"/>
          <w:color w:val="auto"/>
        </w:rPr>
      </w:pPr>
    </w:p>
    <w:p>
      <w:pPr>
        <w:jc w:val="both"/>
        <w:ind w:left="-656" w:firstLine="656"/>
        <w:spacing w:after="0" w:line="269" w:lineRule="auto"/>
        <w:tabs>
          <w:tab w:leader="none" w:pos="102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Amendments and Supplements to the Prospectus and Other Securities Act Matters</w:t>
      </w:r>
      <w:r>
        <w:rPr>
          <w:rFonts w:ascii="Arial" w:cs="Arial" w:eastAsia="Arial" w:hAnsi="Arial"/>
          <w:sz w:val="17"/>
          <w:szCs w:val="17"/>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Section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 4(d) or Section 4(f).</w:t>
      </w:r>
    </w:p>
    <w:p>
      <w:pPr>
        <w:spacing w:after="0" w:line="185" w:lineRule="exact"/>
        <w:rPr>
          <w:rFonts w:ascii="Arial" w:cs="Arial" w:eastAsia="Arial" w:hAnsi="Arial"/>
          <w:sz w:val="17"/>
          <w:szCs w:val="17"/>
          <w:color w:val="auto"/>
        </w:rPr>
      </w:pPr>
    </w:p>
    <w:p>
      <w:pPr>
        <w:jc w:val="both"/>
        <w:ind w:left="-656" w:firstLine="656"/>
        <w:spacing w:after="0" w:line="273" w:lineRule="auto"/>
        <w:tabs>
          <w:tab w:leader="none" w:pos="1079"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Agent’s Review of Proposed Amendments and Supplements</w:t>
      </w:r>
      <w:r>
        <w:rPr>
          <w:rFonts w:ascii="Arial" w:cs="Arial" w:eastAsia="Arial" w:hAnsi="Arial"/>
          <w:sz w:val="17"/>
          <w:szCs w:val="17"/>
          <w:color w:val="auto"/>
        </w:rPr>
        <w:t>. During any period in which an Issuance Notice is pending, prior to effecting any amendment or supplement to the Registration Statement (including any registration statement filed under Rule 462(b) under the Securities Act) or the Prospectus (excluding any amendment or supplement through incorporation of any report filed under the Exchange Act) that affects the offer and sale of the Shares as contemplated by this Agreement, the Company shall furnish to the Agent for review, a reasonable amount of time prior to the proposed time of filing or use thereof, a copy of each such proposed amendment or supplement, and file with the Commission within the applicable period specified in Rule 424(b) under the Securities Act any prospectus required to be filed pursuant to such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413385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6" w:name="page77"/>
    <w:bookmarkEnd w:id="76"/>
    <w:p>
      <w:pPr>
        <w:jc w:val="both"/>
        <w:ind w:left="-656" w:firstLine="656"/>
        <w:spacing w:after="0" w:line="259" w:lineRule="auto"/>
        <w:tabs>
          <w:tab w:leader="none" w:pos="86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Free Writing Prospectuses</w:t>
      </w:r>
      <w:r>
        <w:rPr>
          <w:rFonts w:ascii="Arial" w:cs="Arial" w:eastAsia="Arial" w:hAnsi="Arial"/>
          <w:sz w:val="17"/>
          <w:szCs w:val="17"/>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79" w:lineRule="exact"/>
        <w:rPr>
          <w:rFonts w:ascii="Arial" w:cs="Arial" w:eastAsia="Arial" w:hAnsi="Arial"/>
          <w:sz w:val="17"/>
          <w:szCs w:val="17"/>
          <w:color w:val="auto"/>
        </w:rPr>
      </w:pPr>
    </w:p>
    <w:p>
      <w:pPr>
        <w:jc w:val="both"/>
        <w:ind w:left="-656" w:firstLine="656"/>
        <w:spacing w:after="0" w:line="263" w:lineRule="auto"/>
        <w:tabs>
          <w:tab w:leader="none" w:pos="101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7" w:name="page78"/>
    <w:bookmarkEnd w:id="77"/>
    <w:p>
      <w:pPr>
        <w:jc w:val="both"/>
        <w:ind w:left="-656" w:firstLine="656"/>
        <w:spacing w:after="0" w:line="267" w:lineRule="auto"/>
        <w:tabs>
          <w:tab w:leader="none" w:pos="94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Copies of Registration Statement and Prospectus</w:t>
      </w:r>
      <w:r>
        <w:rPr>
          <w:rFonts w:ascii="Arial" w:cs="Arial" w:eastAsia="Arial" w:hAnsi="Arial"/>
          <w:sz w:val="17"/>
          <w:szCs w:val="17"/>
          <w:color w:val="auto"/>
        </w:rPr>
        <w:t xml:space="preserve">.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during such same period the Agent is required to deliver a prospectus in respect of transactions in the Shares, the Company shall promptly prepare and file with the Commission such an amendment or supplement.</w:t>
      </w:r>
    </w:p>
    <w:p>
      <w:pPr>
        <w:spacing w:after="0" w:line="191" w:lineRule="exact"/>
        <w:rPr>
          <w:rFonts w:ascii="Arial" w:cs="Arial" w:eastAsia="Arial" w:hAnsi="Arial"/>
          <w:sz w:val="17"/>
          <w:szCs w:val="17"/>
          <w:color w:val="auto"/>
        </w:rPr>
      </w:pPr>
    </w:p>
    <w:p>
      <w:pPr>
        <w:jc w:val="both"/>
        <w:ind w:left="-656" w:firstLine="656"/>
        <w:spacing w:after="0" w:line="290" w:lineRule="auto"/>
        <w:tabs>
          <w:tab w:leader="none" w:pos="1034"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Blue Sky Compliance</w:t>
      </w:r>
      <w:r>
        <w:rPr>
          <w:rFonts w:ascii="Arial" w:cs="Arial" w:eastAsia="Arial" w:hAnsi="Arial"/>
          <w:sz w:val="16"/>
          <w:szCs w:val="16"/>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165" w:lineRule="exact"/>
        <w:rPr>
          <w:rFonts w:ascii="Arial" w:cs="Arial" w:eastAsia="Arial" w:hAnsi="Arial"/>
          <w:sz w:val="16"/>
          <w:szCs w:val="16"/>
          <w:color w:val="auto"/>
        </w:rPr>
      </w:pPr>
    </w:p>
    <w:p>
      <w:pPr>
        <w:jc w:val="both"/>
        <w:ind w:left="-656" w:firstLine="656"/>
        <w:spacing w:after="0" w:line="311" w:lineRule="auto"/>
        <w:tabs>
          <w:tab w:leader="none" w:pos="104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(12) months beginning with the first fiscal quarter of the Company occurring after the date of this Agreement which shall satisfy the provisions of Section 11(a) of the Securities Act and Rule 158 under the Securities Act.</w:t>
      </w:r>
    </w:p>
    <w:p>
      <w:pPr>
        <w:spacing w:after="0" w:line="148" w:lineRule="exact"/>
        <w:rPr>
          <w:rFonts w:ascii="Arial" w:cs="Arial" w:eastAsia="Arial" w:hAnsi="Arial"/>
          <w:sz w:val="16"/>
          <w:szCs w:val="16"/>
          <w:color w:val="auto"/>
        </w:rPr>
      </w:pPr>
    </w:p>
    <w:p>
      <w:pPr>
        <w:jc w:val="both"/>
        <w:ind w:left="-656" w:firstLine="656"/>
        <w:spacing w:after="0" w:line="263" w:lineRule="auto"/>
        <w:tabs>
          <w:tab w:leader="none" w:pos="90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pursuant to an outstanding Issuance Notice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8" w:name="page79"/>
    <w:bookmarkEnd w:id="78"/>
    <w:p>
      <w:pPr>
        <w:ind w:left="944" w:hanging="944"/>
        <w:spacing w:after="0"/>
        <w:tabs>
          <w:tab w:leader="none" w:pos="9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jc w:val="both"/>
        <w:ind w:left="-656" w:firstLine="656"/>
        <w:spacing w:after="0" w:line="259" w:lineRule="auto"/>
        <w:tabs>
          <w:tab w:leader="none" w:pos="89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jc w:val="both"/>
        <w:ind w:left="-656" w:firstLine="656"/>
        <w:spacing w:after="0" w:line="291" w:lineRule="auto"/>
        <w:tabs>
          <w:tab w:leader="none" w:pos="903"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6" w:lineRule="exact"/>
        <w:rPr>
          <w:rFonts w:ascii="Arial" w:cs="Arial" w:eastAsia="Arial" w:hAnsi="Arial"/>
          <w:sz w:val="16"/>
          <w:szCs w:val="16"/>
          <w:color w:val="auto"/>
        </w:rPr>
      </w:pPr>
    </w:p>
    <w:p>
      <w:pPr>
        <w:ind w:left="-656" w:firstLine="656"/>
        <w:spacing w:after="0" w:line="277" w:lineRule="auto"/>
        <w:tabs>
          <w:tab w:leader="none" w:pos="90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170" w:lineRule="exact"/>
        <w:rPr>
          <w:rFonts w:ascii="Arial" w:cs="Arial" w:eastAsia="Arial" w:hAnsi="Arial"/>
          <w:sz w:val="18"/>
          <w:szCs w:val="18"/>
          <w:color w:val="auto"/>
        </w:rPr>
      </w:pPr>
    </w:p>
    <w:p>
      <w:pPr>
        <w:jc w:val="both"/>
        <w:ind w:left="-656" w:firstLine="1304"/>
        <w:spacing w:after="0" w:line="311" w:lineRule="auto"/>
        <w:tabs>
          <w:tab w:leader="none" w:pos="1216"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148" w:lineRule="exact"/>
        <w:rPr>
          <w:rFonts w:ascii="Arial" w:cs="Arial" w:eastAsia="Arial" w:hAnsi="Arial"/>
          <w:sz w:val="16"/>
          <w:szCs w:val="16"/>
          <w:color w:val="auto"/>
        </w:rPr>
      </w:pPr>
    </w:p>
    <w:p>
      <w:pPr>
        <w:jc w:val="both"/>
        <w:ind w:left="-656" w:firstLine="1304"/>
        <w:spacing w:after="0" w:line="263" w:lineRule="auto"/>
        <w:tabs>
          <w:tab w:leader="none" w:pos="12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9" w:name="page80"/>
    <w:bookmarkEnd w:id="79"/>
    <w:p>
      <w:pPr>
        <w:jc w:val="both"/>
        <w:ind w:firstLine="1304"/>
        <w:spacing w:after="0" w:line="267" w:lineRule="auto"/>
        <w:tabs>
          <w:tab w:leader="none" w:pos="1865"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(any such event, a “</w:t>
      </w:r>
      <w:r>
        <w:rPr>
          <w:rFonts w:ascii="Arial" w:cs="Arial" w:eastAsia="Arial" w:hAnsi="Arial"/>
          <w:sz w:val="17"/>
          <w:szCs w:val="17"/>
          <w:b w:val="1"/>
          <w:bCs w:val="1"/>
          <w:color w:val="auto"/>
        </w:rPr>
        <w:t>Triggering Event Date</w:t>
      </w:r>
      <w:r>
        <w:rPr>
          <w:rFonts w:ascii="Arial" w:cs="Arial" w:eastAsia="Arial" w:hAnsi="Arial"/>
          <w:sz w:val="17"/>
          <w:szCs w:val="17"/>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including those required to be performed pursuant to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hereof, and (C) containing any other certification that the Agent shall reasonably request. The requirement to provide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shall be automatically waived with no further action of the Agent or Company for any Triggering Event Date occurring at a time when no Issuance Notice is pending or a suspension is in effect, which automatic waiver shall continue until the date the Company delivers instructions for the sale of Shares hereunder (which for such calendar quarter shall be considered a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dated as of the date that the instructions for the sale of Shares are issued.</w:t>
      </w:r>
    </w:p>
    <w:p>
      <w:pPr>
        <w:spacing w:after="0" w:line="191" w:lineRule="exact"/>
        <w:rPr>
          <w:rFonts w:ascii="Arial" w:cs="Arial" w:eastAsia="Arial" w:hAnsi="Arial"/>
          <w:sz w:val="17"/>
          <w:szCs w:val="17"/>
          <w:color w:val="auto"/>
        </w:rPr>
      </w:pPr>
    </w:p>
    <w:p>
      <w:pPr>
        <w:jc w:val="both"/>
        <w:ind w:firstLine="656"/>
        <w:spacing w:after="0" w:line="286" w:lineRule="auto"/>
        <w:tabs>
          <w:tab w:leader="none" w:pos="170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for which no waiver is applicable and excluding the date of this Agreement, the Company shall cause to be furnished, at the request of the Agent, a negative assurances letter and the written legal opinion of Latham &amp; Watkins LLP, counsel to the Company, or other counsel reasonably satisfactory to the Agent, and the written legal opinion of Wolf Greenfield, intellectual property</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counsel for the Company</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be required to furnish no more than one legal opinion and negative assurance letter hereunder per each filing of an annual report on Form 10-K or a quarterly report on Form 10-Q;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shall be required to furnish no more than one such opinion from intellectual property counsel hereunder in any twelve (12) month period.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left="-656" w:firstLine="656"/>
        <w:spacing w:after="0" w:line="269" w:lineRule="auto"/>
        <w:tabs>
          <w:tab w:leader="none" w:pos="87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or prior to the date of the first Issuance Notice and on or prior to each Triggering Event Date with respect to which the Company is obligated to deliver a certificate pursuant to Section 4(o)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181" w:lineRule="exact"/>
        <w:rPr>
          <w:rFonts w:ascii="Arial" w:cs="Arial" w:eastAsia="Arial" w:hAnsi="Arial"/>
          <w:sz w:val="17"/>
          <w:szCs w:val="17"/>
          <w:color w:val="auto"/>
        </w:rPr>
      </w:pPr>
    </w:p>
    <w:p>
      <w:pPr>
        <w:jc w:val="both"/>
        <w:ind w:left="-656" w:firstLine="656"/>
        <w:spacing w:after="0" w:line="254" w:lineRule="auto"/>
        <w:tabs>
          <w:tab w:leader="none" w:pos="48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date of the first Issuance Notice,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94" w:lineRule="exact"/>
        <w:rPr>
          <w:rFonts w:ascii="Arial" w:cs="Arial" w:eastAsia="Arial" w:hAnsi="Arial"/>
          <w:sz w:val="18"/>
          <w:szCs w:val="18"/>
          <w:color w:val="auto"/>
        </w:rPr>
      </w:pPr>
    </w:p>
    <w:p>
      <w:pPr>
        <w:ind w:left="-656" w:firstLine="656"/>
        <w:spacing w:after="0" w:line="342" w:lineRule="auto"/>
        <w:tabs>
          <w:tab w:leader="none" w:pos="524"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left="-656" w:firstLine="656"/>
        <w:spacing w:after="0" w:line="342" w:lineRule="auto"/>
        <w:tabs>
          <w:tab w:leader="none" w:pos="477"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23" w:lineRule="exact"/>
        <w:rPr>
          <w:rFonts w:ascii="Arial" w:cs="Arial" w:eastAsia="Arial" w:hAnsi="Arial"/>
          <w:sz w:val="16"/>
          <w:szCs w:val="16"/>
          <w:color w:val="auto"/>
        </w:rPr>
      </w:pPr>
    </w:p>
    <w:p>
      <w:pPr>
        <w:jc w:val="both"/>
        <w:ind w:left="-656" w:firstLine="656"/>
        <w:spacing w:after="0" w:line="272" w:lineRule="auto"/>
        <w:tabs>
          <w:tab w:leader="none" w:pos="544"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Market Activities</w:t>
      </w:r>
      <w:r>
        <w:rPr>
          <w:rFonts w:ascii="Arial" w:cs="Arial" w:eastAsia="Arial" w:hAnsi="Arial"/>
          <w:sz w:val="17"/>
          <w:szCs w:val="17"/>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Arial" w:cs="Arial" w:eastAsia="Arial" w:hAnsi="Arial"/>
          <w:sz w:val="17"/>
          <w:szCs w:val="17"/>
          <w:b w:val="1"/>
          <w:bCs w:val="1"/>
          <w:color w:val="auto"/>
        </w:rPr>
        <w:t>Rule 102</w:t>
      </w:r>
      <w:r>
        <w:rPr>
          <w:rFonts w:ascii="Arial" w:cs="Arial" w:eastAsia="Arial" w:hAnsi="Arial"/>
          <w:sz w:val="17"/>
          <w:szCs w:val="17"/>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413385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1" w:name="page82"/>
    <w:bookmarkEnd w:id="81"/>
    <w:p>
      <w:pPr>
        <w:jc w:val="both"/>
        <w:ind w:firstLine="656"/>
        <w:spacing w:after="0" w:line="284" w:lineRule="auto"/>
        <w:tabs>
          <w:tab w:leader="none" w:pos="1213"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whether now in effect or hereafter implemented , (ii) issuance or sale of Common Shares pursuant to any dividend reinvestment plan that the Company may adopt from time to time, (iii) issuance or sale of Common Shares issuable upon exchange, conversion or redemption of securities or the exercise or vesting of warrants, options or other equity awards outstanding or disclosed in filings by the Company available on EDGAR or otherwise in writing to the Agent , (iv) issuance or sale of up to 5% of the outstanding Common Shares, or securities convertible into or exchangeable for Common Shares, immediately prior to giving effect to such issuance or sale, in connection with mergers, acquisitions, other business combinations, joint ventures, collaborations or strategic arrangements occurring after the date of this Agreement, (v) modification of any outstanding options, warrants of any rights to purchase or acquire Common Shares, (vi) issuance or sale of Common Shares, or securities convertible into or exercisable for Common Shares, offered and sold in a privately negotiated transaction to vendors, customers, strategic partners or potential strategic partners conducted in a manner so as not to be integrated with the offering of Common Shares hereby and (vii) for the avoidance of doubt, non-public discussions or negotiations with respect to any of the foregoing.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jc w:val="both"/>
        <w:ind w:firstLine="656"/>
        <w:spacing w:after="0" w:line="279" w:lineRule="auto"/>
        <w:tabs>
          <w:tab w:leader="none" w:pos="118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Right of the Company to Deliver an Issuance Notice and the Obligation of the Agent to Sell Shares</w:t>
      </w:r>
      <w:r>
        <w:rPr>
          <w:rFonts w:ascii="Arial" w:cs="Arial" w:eastAsia="Arial" w:hAnsi="Arial"/>
          <w:sz w:val="17"/>
          <w:szCs w:val="17"/>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71" w:lineRule="exact"/>
        <w:rPr>
          <w:rFonts w:ascii="Arial" w:cs="Arial" w:eastAsia="Arial" w:hAnsi="Arial"/>
          <w:sz w:val="17"/>
          <w:szCs w:val="17"/>
          <w:color w:val="auto"/>
        </w:rPr>
      </w:pPr>
    </w:p>
    <w:p>
      <w:pPr>
        <w:jc w:val="both"/>
        <w:ind w:left="660" w:firstLine="514"/>
        <w:spacing w:after="0" w:line="257" w:lineRule="auto"/>
        <w:tabs>
          <w:tab w:leader="none" w:pos="2477"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left="-460" w:firstLine="514"/>
        <w:spacing w:after="0" w:line="257" w:lineRule="auto"/>
        <w:tabs>
          <w:tab w:leader="none" w:pos="84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7" w:lineRule="exact"/>
        <w:rPr>
          <w:rFonts w:ascii="Arial" w:cs="Arial" w:eastAsia="Arial" w:hAnsi="Arial"/>
          <w:sz w:val="18"/>
          <w:szCs w:val="18"/>
          <w:color w:val="auto"/>
        </w:rPr>
      </w:pPr>
    </w:p>
    <w:p>
      <w:pPr>
        <w:jc w:val="both"/>
        <w:ind w:left="-460" w:firstLine="514"/>
        <w:spacing w:after="0" w:line="255" w:lineRule="auto"/>
        <w:tabs>
          <w:tab w:leader="none" w:pos="68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Material Adverse Changes</w:t>
      </w:r>
      <w:r>
        <w:rPr>
          <w:rFonts w:ascii="Arial" w:cs="Arial" w:eastAsia="Arial" w:hAnsi="Arial"/>
          <w:sz w:val="18"/>
          <w:szCs w:val="18"/>
          <w:color w:val="auto"/>
        </w:rPr>
        <w:t>. Except as disclosed in the Prospectus, (a) there shall not have occurred any Material Adverse Change that, in the judgment of the Agent, makes it impractical and inadvisable to market the Shares on the terms and in the manner contemplated in the Prospectus;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92" w:lineRule="exact"/>
        <w:rPr>
          <w:rFonts w:ascii="Arial" w:cs="Arial" w:eastAsia="Arial" w:hAnsi="Arial"/>
          <w:sz w:val="18"/>
          <w:szCs w:val="18"/>
          <w:color w:val="auto"/>
        </w:rPr>
      </w:pPr>
    </w:p>
    <w:p>
      <w:pPr>
        <w:jc w:val="both"/>
        <w:ind w:left="-460" w:firstLine="514"/>
        <w:spacing w:after="0" w:line="269" w:lineRule="auto"/>
        <w:tabs>
          <w:tab w:leader="none" w:pos="633"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FINRA; (ii) a general banking moratorium shall have been declared by U.S.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any such case, in the judgment of the Agent is material and adverse and makes it impractical and inadvisable to market the Shares in the manner and on the terms described in the Prospectus or to enforce contracts for the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259715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3" w:name="page84"/>
    <w:bookmarkEnd w:id="83"/>
    <w:p>
      <w:pPr>
        <w:jc w:val="both"/>
        <w:ind w:firstLine="656"/>
        <w:spacing w:after="0" w:line="257" w:lineRule="auto"/>
        <w:tabs>
          <w:tab w:leader="none" w:pos="122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Documents Required to be Delivered on each Issuance Notice Date</w:t>
      </w:r>
      <w:r>
        <w:rPr>
          <w:rFonts w:ascii="Arial" w:cs="Arial" w:eastAsia="Arial" w:hAnsi="Arial"/>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7" w:lineRule="exact"/>
        <w:rPr>
          <w:rFonts w:ascii="Arial" w:cs="Arial" w:eastAsia="Arial" w:hAnsi="Arial"/>
          <w:sz w:val="18"/>
          <w:szCs w:val="18"/>
          <w:color w:val="auto"/>
        </w:rPr>
      </w:pPr>
    </w:p>
    <w:p>
      <w:pPr>
        <w:jc w:val="both"/>
        <w:ind w:firstLine="656"/>
        <w:spacing w:after="0" w:line="286" w:lineRule="auto"/>
        <w:tabs>
          <w:tab w:leader="none" w:pos="1261"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No Misstatement or Material Omission</w:t>
      </w:r>
      <w:r>
        <w:rPr>
          <w:rFonts w:ascii="Arial" w:cs="Arial" w:eastAsia="Arial" w:hAnsi="Arial"/>
          <w:sz w:val="17"/>
          <w:szCs w:val="17"/>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65" w:lineRule="exact"/>
        <w:rPr>
          <w:rFonts w:ascii="Arial" w:cs="Arial" w:eastAsia="Arial" w:hAnsi="Arial"/>
          <w:sz w:val="17"/>
          <w:szCs w:val="17"/>
          <w:color w:val="auto"/>
        </w:rPr>
      </w:pPr>
    </w:p>
    <w:p>
      <w:pPr>
        <w:jc w:val="both"/>
        <w:ind w:firstLine="656"/>
        <w:spacing w:after="0" w:line="311" w:lineRule="auto"/>
        <w:tabs>
          <w:tab w:leader="none" w:pos="120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Agent Counsel Legal Opinion</w:t>
      </w:r>
      <w:r>
        <w:rPr>
          <w:rFonts w:ascii="Arial" w:cs="Arial" w:eastAsia="Arial" w:hAnsi="Arial"/>
          <w:sz w:val="16"/>
          <w:szCs w:val="16"/>
          <w:color w:val="auto"/>
        </w:rPr>
        <w:t>. Agent shall have received from Cooley LLP, counsel for Agent, such opinion or opinions, on or before the date on which the delivery of the Company counsel legal opinion is required pursuant to Section 4(p), with respect to such matters as Agent may reasonably require, and the Company shall have furnished to such counsel such documents as they request for enabling them to pass upon such matters.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jc w:val="both"/>
        <w:ind w:firstLine="656"/>
        <w:spacing w:after="0" w:line="285" w:lineRule="auto"/>
        <w:tabs>
          <w:tab w:leader="none" w:pos="116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left="-8" w:firstLine="656"/>
        <w:spacing w:after="0" w:line="285" w:lineRule="auto"/>
        <w:tabs>
          <w:tab w:leader="none" w:pos="1219"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168" w:lineRule="exact"/>
        <w:rPr>
          <w:rFonts w:ascii="Arial" w:cs="Arial" w:eastAsia="Arial" w:hAnsi="Arial"/>
          <w:sz w:val="16"/>
          <w:szCs w:val="16"/>
          <w:color w:val="auto"/>
        </w:rPr>
      </w:pPr>
    </w:p>
    <w:p>
      <w:pPr>
        <w:jc w:val="both"/>
        <w:ind w:left="-8" w:firstLine="656"/>
        <w:spacing w:after="0" w:line="282" w:lineRule="auto"/>
        <w:tabs>
          <w:tab w:leader="none" w:pos="1177"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reasonable and documented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LLC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or the Company (in the case of counsel for the indemnified parties referred to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(ii) the indemnifying party shall not have employed counsel reasonably satisfactory to the indemnified party to represent the indemnified party within a reasonable time after notice of commencement of the action or</w:t>
      </w:r>
    </w:p>
    <w:p>
      <w:pPr>
        <w:spacing w:after="0" w:line="10" w:lineRule="exact"/>
        <w:rPr>
          <w:rFonts w:ascii="Arial" w:cs="Arial" w:eastAsia="Arial" w:hAnsi="Arial"/>
          <w:sz w:val="16"/>
          <w:szCs w:val="16"/>
          <w:color w:val="auto"/>
        </w:rPr>
      </w:pPr>
    </w:p>
    <w:p>
      <w:pPr>
        <w:ind w:left="-8" w:firstLine="8"/>
        <w:spacing w:after="0" w:line="290" w:lineRule="auto"/>
        <w:tabs>
          <w:tab w:leader="none" w:pos="308"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85" w:name="page86"/>
    <w:bookmarkEnd w:id="85"/>
    <w:p>
      <w:pPr>
        <w:jc w:val="both"/>
        <w:ind w:left="-656" w:firstLine="656"/>
        <w:spacing w:after="0" w:line="269" w:lineRule="auto"/>
        <w:tabs>
          <w:tab w:leader="none" w:pos="63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Settlements</w:t>
      </w:r>
      <w:r>
        <w:rPr>
          <w:rFonts w:ascii="Arial" w:cs="Arial" w:eastAsia="Arial" w:hAnsi="Arial"/>
          <w:sz w:val="17"/>
          <w:szCs w:val="17"/>
          <w:color w:val="auto"/>
        </w:rPr>
        <w:t xml:space="preserve">. The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1" w:lineRule="exact"/>
        <w:rPr>
          <w:rFonts w:ascii="Arial" w:cs="Arial" w:eastAsia="Arial" w:hAnsi="Arial"/>
          <w:sz w:val="17"/>
          <w:szCs w:val="17"/>
          <w:color w:val="auto"/>
        </w:rPr>
      </w:pPr>
    </w:p>
    <w:p>
      <w:pPr>
        <w:jc w:val="both"/>
        <w:ind w:left="-656" w:firstLine="656"/>
        <w:spacing w:after="0" w:line="268" w:lineRule="auto"/>
        <w:tabs>
          <w:tab w:leader="none" w:pos="574"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6" w:name="page87"/>
    <w:bookmarkEnd w:id="86"/>
    <w:p>
      <w:pPr>
        <w:jc w:val="both"/>
        <w:ind w:firstLine="648"/>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 xml:space="preserve">The Company and the Agent agree that it would not be just and equitable if contribution pursuant to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Section 6(e)</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229" w:lineRule="exact"/>
        <w:rPr>
          <w:sz w:val="20"/>
          <w:szCs w:val="20"/>
          <w:color w:val="auto"/>
        </w:rPr>
      </w:pPr>
    </w:p>
    <w:p>
      <w:pPr>
        <w:ind w:firstLine="656"/>
        <w:spacing w:after="0" w:line="277"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96" w:lineRule="auto"/>
        <w:tabs>
          <w:tab w:leader="none" w:pos="126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Termination; Survival Following Termination</w:t>
      </w:r>
      <w:r>
        <w:rPr>
          <w:rFonts w:ascii="Arial" w:cs="Arial" w:eastAsia="Arial" w:hAnsi="Arial"/>
          <w:sz w:val="16"/>
          <w:szCs w:val="16"/>
          <w:color w:val="auto"/>
        </w:rPr>
        <w:t xml:space="preserve">. (i) Either party may terminate this Agreement prior to the end of the Agency Period, by giving written notice as required by this Agreement, upon ten (10) Trading Days’ notice to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the Company terminates this Agreement after the Agent confirms to the Company any sale of Shares, the Company shall remain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(B)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61" w:lineRule="exact"/>
        <w:rPr>
          <w:rFonts w:ascii="Arial" w:cs="Arial" w:eastAsia="Arial" w:hAnsi="Arial"/>
          <w:sz w:val="16"/>
          <w:szCs w:val="16"/>
          <w:color w:val="auto"/>
        </w:rPr>
      </w:pPr>
    </w:p>
    <w:p>
      <w:pPr>
        <w:jc w:val="both"/>
        <w:ind w:left="660" w:firstLine="514"/>
        <w:spacing w:after="0" w:line="257" w:lineRule="auto"/>
        <w:tabs>
          <w:tab w:leader="none" w:pos="17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jc w:val="both"/>
        <w:ind w:firstLine="656"/>
        <w:spacing w:after="0" w:line="287" w:lineRule="auto"/>
        <w:tabs>
          <w:tab w:leader="none" w:pos="127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Press Releases and Disclosure</w:t>
      </w:r>
      <w:r>
        <w:rPr>
          <w:rFonts w:ascii="Arial" w:cs="Arial" w:eastAsia="Arial" w:hAnsi="Arial"/>
          <w:sz w:val="16"/>
          <w:szCs w:val="16"/>
          <w:color w:val="auto"/>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and except for the disclosure required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of this Agreement in the Company’s quarterly reports on Form 10-Q or annual reports on Form 10-K.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left="-340" w:firstLine="656"/>
        <w:spacing w:after="0" w:line="289" w:lineRule="auto"/>
        <w:tabs>
          <w:tab w:leader="none" w:pos="828"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rFonts w:ascii="Arial" w:cs="Arial" w:eastAsia="Arial" w:hAnsi="Arial"/>
          <w:sz w:val="16"/>
          <w:szCs w:val="16"/>
          <w:color w:val="auto"/>
        </w:rPr>
      </w:pPr>
    </w:p>
    <w:p>
      <w:pPr>
        <w:jc w:val="both"/>
        <w:ind w:left="-340" w:firstLine="656"/>
        <w:spacing w:after="0" w:line="254" w:lineRule="auto"/>
        <w:tabs>
          <w:tab w:leader="none" w:pos="86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left="-340" w:firstLine="656"/>
        <w:spacing w:after="0" w:line="277" w:lineRule="auto"/>
        <w:tabs>
          <w:tab w:leader="none" w:pos="87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to the Agent: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jc w:val="both"/>
        <w:ind w:left="640" w:right="8680"/>
        <w:spacing w:after="0" w:line="265" w:lineRule="auto"/>
        <w:tabs>
          <w:tab w:leader="none" w:pos="9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Madison Avenue New York, NY 10022 Facsimile:</w:t>
      </w:r>
    </w:p>
    <w:p>
      <w:pPr>
        <w:ind w:left="640"/>
        <w:spacing w:after="0"/>
        <w:rPr>
          <w:rFonts w:ascii="Arial" w:cs="Arial" w:eastAsia="Arial" w:hAnsi="Arial"/>
          <w:sz w:val="17"/>
          <w:szCs w:val="17"/>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(212) 479-6275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Daniel I. Goldberg and Joshua A.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280035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89" w:name="page90"/>
    <w:bookmarkEnd w:id="89"/>
    <w:p>
      <w:pPr>
        <w:ind w:left="3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David Abraham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Peter N. Handrinos and Wesley C. Holmes.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jc w:val="both"/>
        <w:ind w:firstLine="656"/>
        <w:spacing w:after="0" w:line="311" w:lineRule="auto"/>
        <w:tabs>
          <w:tab w:leader="none" w:pos="116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w:t>
      </w:r>
      <w:r>
        <w:rPr>
          <w:rFonts w:ascii="Arial" w:cs="Arial" w:eastAsia="Arial" w:hAnsi="Arial"/>
          <w:sz w:val="16"/>
          <w:szCs w:val="16"/>
          <w:b w:val="1"/>
          <w:bCs w:val="1"/>
          <w:color w:val="auto"/>
        </w:rPr>
        <w:t>successors</w:t>
      </w:r>
      <w:r>
        <w:rPr>
          <w:rFonts w:ascii="Arial" w:cs="Arial" w:eastAsia="Arial" w:hAnsi="Arial"/>
          <w:sz w:val="16"/>
          <w:szCs w:val="16"/>
          <w:color w:val="auto"/>
        </w:rPr>
        <w:t>” shall not include any purchaser of the Shares as such from the Agent merely by reason of such purchase.</w:t>
      </w:r>
    </w:p>
    <w:p>
      <w:pPr>
        <w:spacing w:after="0" w:line="148" w:lineRule="exact"/>
        <w:rPr>
          <w:rFonts w:ascii="Arial" w:cs="Arial" w:eastAsia="Arial" w:hAnsi="Arial"/>
          <w:sz w:val="16"/>
          <w:szCs w:val="16"/>
          <w:color w:val="auto"/>
        </w:rPr>
      </w:pPr>
    </w:p>
    <w:p>
      <w:pPr>
        <w:jc w:val="both"/>
        <w:ind w:firstLine="656"/>
        <w:spacing w:after="0" w:line="259" w:lineRule="auto"/>
        <w:tabs>
          <w:tab w:leader="none" w:pos="1309"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jc w:val="both"/>
        <w:ind w:firstLine="656"/>
        <w:spacing w:after="0" w:line="269" w:lineRule="auto"/>
        <w:tabs>
          <w:tab w:leader="none" w:pos="1258"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5" w:lineRule="exact"/>
        <w:rPr>
          <w:rFonts w:ascii="Arial" w:cs="Arial" w:eastAsia="Arial" w:hAnsi="Arial"/>
          <w:sz w:val="17"/>
          <w:szCs w:val="17"/>
          <w:color w:val="auto"/>
        </w:rPr>
      </w:pPr>
    </w:p>
    <w:p>
      <w:pPr>
        <w:jc w:val="both"/>
        <w:ind w:firstLine="656"/>
        <w:spacing w:after="0" w:line="272" w:lineRule="auto"/>
        <w:tabs>
          <w:tab w:leader="none" w:pos="124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Immediately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3" w:lineRule="exact"/>
        <w:rPr>
          <w:sz w:val="20"/>
          <w:szCs w:val="20"/>
          <w:color w:val="auto"/>
        </w:rPr>
      </w:pPr>
    </w:p>
    <w:tbl>
      <w:tblPr>
        <w:tblLayout w:type="fixed"/>
        <w:tblInd w:w="6080" w:type="dxa"/>
        <w:tblCellMar>
          <w:top w:w="0" w:type="dxa"/>
          <w:left w:w="0" w:type="dxa"/>
          <w:bottom w:w="0" w:type="dxa"/>
          <w:right w:w="0" w:type="dxa"/>
        </w:tblCellMar>
      </w:tblP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Carsten Brunn,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Agreement is hereby confirmed and accepted by the Agent in New York, New York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Michael Magarro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9"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Reference is made to the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between Selecta Biosciences, Inc. (the “</w:t>
      </w:r>
      <w:r>
        <w:rPr>
          <w:rFonts w:ascii="Arial" w:cs="Arial" w:eastAsia="Arial" w:hAnsi="Arial"/>
          <w:sz w:val="17"/>
          <w:szCs w:val="17"/>
          <w:b w:val="1"/>
          <w:bCs w:val="1"/>
          <w:color w:val="auto"/>
        </w:rPr>
        <w:t>Company</w:t>
      </w:r>
      <w:r>
        <w:rPr>
          <w:rFonts w:ascii="Arial" w:cs="Arial" w:eastAsia="Arial" w:hAnsi="Arial"/>
          <w:sz w:val="17"/>
          <w:szCs w:val="17"/>
          <w:color w:val="auto"/>
        </w:rPr>
        <w:t>”) and Jefferies LLC (the “</w:t>
      </w:r>
      <w:r>
        <w:rPr>
          <w:rFonts w:ascii="Arial" w:cs="Arial" w:eastAsia="Arial" w:hAnsi="Arial"/>
          <w:sz w:val="17"/>
          <w:szCs w:val="17"/>
          <w:b w:val="1"/>
          <w:bCs w:val="1"/>
          <w:color w:val="auto"/>
        </w:rPr>
        <w:t>Agent</w:t>
      </w:r>
      <w:r>
        <w:rPr>
          <w:rFonts w:ascii="Arial" w:cs="Arial" w:eastAsia="Arial" w:hAnsi="Arial"/>
          <w:sz w:val="17"/>
          <w:szCs w:val="17"/>
          <w:color w:val="auto"/>
        </w:rPr>
        <w:t>”) dated as of August 6, 2020. The Company confirms that all conditions to the delivery of this Issuance Notice are satisfied as of the date hereof.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-10160</wp:posOffset>
            </wp:positionV>
            <wp:extent cx="16567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16567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-10160</wp:posOffset>
            </wp:positionV>
            <wp:extent cx="16852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16852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-10160</wp:posOffset>
            </wp:positionV>
            <wp:extent cx="1685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-10160</wp:posOffset>
            </wp:positionV>
            <wp:extent cx="1685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263525</wp:posOffset>
            </wp:positionV>
            <wp:extent cx="17138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408940</wp:posOffset>
            </wp:positionV>
            <wp:extent cx="8851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182245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186055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675005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8380" w:type="dxa"/>
            <w:vAlign w:val="bottom"/>
          </w:tcPr>
          <w:p>
            <w:pPr>
              <w:ind w:left="292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2"/>
        </w:trPr>
        <w:tc>
          <w:tcPr>
            <w:tcW w:w="17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r>
      <w:tr>
        <w:trPr>
          <w:trHeight w:val="411"/>
        </w:trPr>
        <w:tc>
          <w:tcPr>
            <w:tcW w:w="1012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838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8380" w:type="dxa"/>
            <w:vAlign w:val="bottom"/>
          </w:tcPr>
          <w:p>
            <w:pPr>
              <w:ind w:left="140"/>
              <w:spacing w:after="0"/>
              <w:rPr>
                <w:sz w:val="20"/>
                <w:szCs w:val="20"/>
                <w:color w:val="auto"/>
              </w:rPr>
            </w:pPr>
            <w:r>
              <w:rPr>
                <w:rFonts w:ascii="Arial" w:cs="Arial" w:eastAsia="Arial" w:hAnsi="Arial"/>
                <w:sz w:val="18"/>
                <w:szCs w:val="18"/>
                <w:color w:val="auto"/>
              </w:rPr>
              <w:t>Other Definitions</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1.3.</w:t>
            </w:r>
          </w:p>
        </w:tc>
        <w:tc>
          <w:tcPr>
            <w:tcW w:w="8380" w:type="dxa"/>
            <w:vAlign w:val="bottom"/>
          </w:tcPr>
          <w:p>
            <w:pPr>
              <w:ind w:left="140"/>
              <w:spacing w:after="0"/>
              <w:rPr>
                <w:sz w:val="20"/>
                <w:szCs w:val="20"/>
                <w:color w:val="auto"/>
              </w:rPr>
            </w:pPr>
            <w:r>
              <w:rPr>
                <w:rFonts w:ascii="Arial" w:cs="Arial" w:eastAsia="Arial" w:hAnsi="Arial"/>
                <w:sz w:val="18"/>
                <w:szCs w:val="18"/>
                <w:color w:val="auto"/>
              </w:rPr>
              <w:t>Incorporation by Reference of Trust Indenture Act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1.4.</w:t>
            </w:r>
          </w:p>
        </w:tc>
        <w:tc>
          <w:tcPr>
            <w:tcW w:w="8380" w:type="dxa"/>
            <w:vAlign w:val="bottom"/>
          </w:tcPr>
          <w:p>
            <w:pPr>
              <w:ind w:left="140"/>
              <w:spacing w:after="0"/>
              <w:rPr>
                <w:sz w:val="20"/>
                <w:szCs w:val="20"/>
                <w:color w:val="auto"/>
              </w:rPr>
            </w:pPr>
            <w:r>
              <w:rPr>
                <w:rFonts w:ascii="Arial" w:cs="Arial" w:eastAsia="Arial" w:hAnsi="Arial"/>
                <w:sz w:val="18"/>
                <w:szCs w:val="18"/>
                <w:color w:val="auto"/>
              </w:rPr>
              <w:t>Rules of 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8380" w:type="dxa"/>
            <w:vAlign w:val="bottom"/>
          </w:tcPr>
          <w:p>
            <w:pPr>
              <w:ind w:left="140"/>
              <w:spacing w:after="0"/>
              <w:rPr>
                <w:sz w:val="20"/>
                <w:szCs w:val="20"/>
                <w:color w:val="auto"/>
              </w:rPr>
            </w:pPr>
            <w:r>
              <w:rPr>
                <w:rFonts w:ascii="Arial" w:cs="Arial" w:eastAsia="Arial" w:hAnsi="Arial"/>
                <w:sz w:val="18"/>
                <w:szCs w:val="18"/>
                <w:color w:val="auto"/>
              </w:rPr>
              <w:t>Issuable in Series</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2.2.</w:t>
            </w:r>
          </w:p>
        </w:tc>
        <w:tc>
          <w:tcPr>
            <w:tcW w:w="8380" w:type="dxa"/>
            <w:vAlign w:val="bottom"/>
          </w:tcPr>
          <w:p>
            <w:pPr>
              <w:ind w:left="140"/>
              <w:spacing w:after="0"/>
              <w:rPr>
                <w:sz w:val="20"/>
                <w:szCs w:val="20"/>
                <w:color w:val="auto"/>
              </w:rPr>
            </w:pPr>
            <w:r>
              <w:rPr>
                <w:rFonts w:ascii="Arial" w:cs="Arial" w:eastAsia="Arial" w:hAnsi="Arial"/>
                <w:sz w:val="18"/>
                <w:szCs w:val="18"/>
                <w:color w:val="auto"/>
              </w:rPr>
              <w:t>Establishment of Terms of Series of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8380" w:type="dxa"/>
            <w:vAlign w:val="bottom"/>
          </w:tcPr>
          <w:p>
            <w:pPr>
              <w:ind w:left="140"/>
              <w:spacing w:after="0"/>
              <w:rPr>
                <w:sz w:val="20"/>
                <w:szCs w:val="20"/>
                <w:color w:val="auto"/>
              </w:rPr>
            </w:pPr>
            <w:r>
              <w:rPr>
                <w:rFonts w:ascii="Arial" w:cs="Arial" w:eastAsia="Arial" w:hAnsi="Arial"/>
                <w:sz w:val="18"/>
                <w:szCs w:val="18"/>
                <w:color w:val="auto"/>
              </w:rPr>
              <w:t>Execution and Authentication</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2.4.</w:t>
            </w:r>
          </w:p>
        </w:tc>
        <w:tc>
          <w:tcPr>
            <w:tcW w:w="8380" w:type="dxa"/>
            <w:vAlign w:val="bottom"/>
          </w:tcPr>
          <w:p>
            <w:pPr>
              <w:ind w:left="140"/>
              <w:spacing w:after="0"/>
              <w:rPr>
                <w:sz w:val="20"/>
                <w:szCs w:val="20"/>
                <w:color w:val="auto"/>
              </w:rPr>
            </w:pPr>
            <w:r>
              <w:rPr>
                <w:rFonts w:ascii="Arial" w:cs="Arial" w:eastAsia="Arial" w:hAnsi="Arial"/>
                <w:sz w:val="18"/>
                <w:szCs w:val="18"/>
                <w:color w:val="auto"/>
              </w:rPr>
              <w:t>Registrar and Paying Agent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2.5.</w:t>
            </w:r>
          </w:p>
        </w:tc>
        <w:tc>
          <w:tcPr>
            <w:tcW w:w="8380" w:type="dxa"/>
            <w:vAlign w:val="bottom"/>
          </w:tcPr>
          <w:p>
            <w:pPr>
              <w:ind w:left="140"/>
              <w:spacing w:after="0"/>
              <w:rPr>
                <w:sz w:val="20"/>
                <w:szCs w:val="20"/>
                <w:color w:val="auto"/>
              </w:rPr>
            </w:pPr>
            <w:r>
              <w:rPr>
                <w:rFonts w:ascii="Arial" w:cs="Arial" w:eastAsia="Arial" w:hAnsi="Arial"/>
                <w:sz w:val="18"/>
                <w:szCs w:val="18"/>
                <w:color w:val="auto"/>
              </w:rPr>
              <w:t>Paying Agent to Hold Money in Trust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2.6.</w:t>
            </w:r>
          </w:p>
        </w:tc>
        <w:tc>
          <w:tcPr>
            <w:tcW w:w="8380" w:type="dxa"/>
            <w:vAlign w:val="bottom"/>
          </w:tcPr>
          <w:p>
            <w:pPr>
              <w:ind w:left="140"/>
              <w:spacing w:after="0"/>
              <w:rPr>
                <w:sz w:val="20"/>
                <w:szCs w:val="20"/>
                <w:color w:val="auto"/>
              </w:rPr>
            </w:pPr>
            <w:r>
              <w:rPr>
                <w:rFonts w:ascii="Arial" w:cs="Arial" w:eastAsia="Arial" w:hAnsi="Arial"/>
                <w:sz w:val="18"/>
                <w:szCs w:val="18"/>
                <w:color w:val="auto"/>
              </w:rPr>
              <w:t>Securityholder Lists</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2.7.</w:t>
            </w:r>
          </w:p>
        </w:tc>
        <w:tc>
          <w:tcPr>
            <w:tcW w:w="8380" w:type="dxa"/>
            <w:vAlign w:val="bottom"/>
          </w:tcPr>
          <w:p>
            <w:pPr>
              <w:ind w:left="120"/>
              <w:spacing w:after="0"/>
              <w:rPr>
                <w:sz w:val="20"/>
                <w:szCs w:val="20"/>
                <w:color w:val="auto"/>
              </w:rPr>
            </w:pPr>
            <w:r>
              <w:rPr>
                <w:rFonts w:ascii="Arial" w:cs="Arial" w:eastAsia="Arial" w:hAnsi="Arial"/>
                <w:sz w:val="18"/>
                <w:szCs w:val="18"/>
                <w:color w:val="auto"/>
              </w:rPr>
              <w:t>Transfer and Exchange</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2.8.</w:t>
            </w:r>
          </w:p>
        </w:tc>
        <w:tc>
          <w:tcPr>
            <w:tcW w:w="8380" w:type="dxa"/>
            <w:vAlign w:val="bottom"/>
          </w:tcPr>
          <w:p>
            <w:pPr>
              <w:ind w:left="140"/>
              <w:spacing w:after="0"/>
              <w:rPr>
                <w:sz w:val="20"/>
                <w:szCs w:val="20"/>
                <w:color w:val="auto"/>
              </w:rPr>
            </w:pPr>
            <w:r>
              <w:rPr>
                <w:rFonts w:ascii="Arial" w:cs="Arial" w:eastAsia="Arial" w:hAnsi="Arial"/>
                <w:sz w:val="18"/>
                <w:szCs w:val="18"/>
                <w:color w:val="auto"/>
              </w:rPr>
              <w:t>Mutilated, Destroyed, Lost and Stolen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2.9.</w:t>
            </w:r>
          </w:p>
        </w:tc>
        <w:tc>
          <w:tcPr>
            <w:tcW w:w="8380" w:type="dxa"/>
            <w:vAlign w:val="bottom"/>
          </w:tcPr>
          <w:p>
            <w:pPr>
              <w:ind w:left="140"/>
              <w:spacing w:after="0"/>
              <w:rPr>
                <w:sz w:val="20"/>
                <w:szCs w:val="20"/>
                <w:color w:val="auto"/>
              </w:rPr>
            </w:pPr>
            <w:r>
              <w:rPr>
                <w:rFonts w:ascii="Arial" w:cs="Arial" w:eastAsia="Arial" w:hAnsi="Arial"/>
                <w:sz w:val="18"/>
                <w:szCs w:val="18"/>
                <w:color w:val="auto"/>
              </w:rPr>
              <w:t>Outstanding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120"/>
              <w:spacing w:after="0"/>
              <w:rPr>
                <w:sz w:val="20"/>
                <w:szCs w:val="20"/>
                <w:color w:val="auto"/>
              </w:rPr>
            </w:pPr>
            <w:r>
              <w:rPr>
                <w:rFonts w:ascii="Arial" w:cs="Arial" w:eastAsia="Arial" w:hAnsi="Arial"/>
                <w:sz w:val="18"/>
                <w:szCs w:val="18"/>
                <w:color w:val="auto"/>
              </w:rPr>
              <w:t>Treasury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2.11.</w:t>
            </w:r>
          </w:p>
        </w:tc>
        <w:tc>
          <w:tcPr>
            <w:tcW w:w="8380" w:type="dxa"/>
            <w:vAlign w:val="bottom"/>
          </w:tcPr>
          <w:p>
            <w:pPr>
              <w:ind w:left="120"/>
              <w:spacing w:after="0"/>
              <w:rPr>
                <w:sz w:val="20"/>
                <w:szCs w:val="20"/>
                <w:color w:val="auto"/>
              </w:rPr>
            </w:pPr>
            <w:r>
              <w:rPr>
                <w:rFonts w:ascii="Arial" w:cs="Arial" w:eastAsia="Arial" w:hAnsi="Arial"/>
                <w:sz w:val="18"/>
                <w:szCs w:val="18"/>
                <w:color w:val="auto"/>
              </w:rPr>
              <w:t>Temporary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2.12.</w:t>
            </w:r>
          </w:p>
        </w:tc>
        <w:tc>
          <w:tcPr>
            <w:tcW w:w="838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2.13.</w:t>
            </w:r>
          </w:p>
        </w:tc>
        <w:tc>
          <w:tcPr>
            <w:tcW w:w="8380" w:type="dxa"/>
            <w:vAlign w:val="bottom"/>
          </w:tcPr>
          <w:p>
            <w:pPr>
              <w:ind w:left="140"/>
              <w:spacing w:after="0"/>
              <w:rPr>
                <w:sz w:val="20"/>
                <w:szCs w:val="20"/>
                <w:color w:val="auto"/>
              </w:rPr>
            </w:pPr>
            <w:r>
              <w:rPr>
                <w:rFonts w:ascii="Arial" w:cs="Arial" w:eastAsia="Arial" w:hAnsi="Arial"/>
                <w:sz w:val="18"/>
                <w:szCs w:val="18"/>
                <w:color w:val="auto"/>
              </w:rPr>
              <w:t>Defaulted Interest</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2.14.</w:t>
            </w:r>
          </w:p>
        </w:tc>
        <w:tc>
          <w:tcPr>
            <w:tcW w:w="8380" w:type="dxa"/>
            <w:vAlign w:val="bottom"/>
          </w:tcPr>
          <w:p>
            <w:pPr>
              <w:ind w:left="140"/>
              <w:spacing w:after="0"/>
              <w:rPr>
                <w:sz w:val="20"/>
                <w:szCs w:val="20"/>
                <w:color w:val="auto"/>
              </w:rPr>
            </w:pPr>
            <w:r>
              <w:rPr>
                <w:rFonts w:ascii="Arial" w:cs="Arial" w:eastAsia="Arial" w:hAnsi="Arial"/>
                <w:sz w:val="18"/>
                <w:szCs w:val="18"/>
                <w:color w:val="auto"/>
              </w:rPr>
              <w:t>Global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2.15.</w:t>
            </w:r>
          </w:p>
        </w:tc>
        <w:tc>
          <w:tcPr>
            <w:tcW w:w="8380" w:type="dxa"/>
            <w:vAlign w:val="bottom"/>
          </w:tcPr>
          <w:p>
            <w:pPr>
              <w:ind w:left="140"/>
              <w:spacing w:after="0"/>
              <w:rPr>
                <w:sz w:val="20"/>
                <w:szCs w:val="20"/>
                <w:color w:val="auto"/>
              </w:rPr>
            </w:pPr>
            <w:r>
              <w:rPr>
                <w:rFonts w:ascii="Arial" w:cs="Arial" w:eastAsia="Arial" w:hAnsi="Arial"/>
                <w:sz w:val="18"/>
                <w:szCs w:val="18"/>
                <w:color w:val="auto"/>
              </w:rPr>
              <w:t>CUSIP Numbers</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8380" w:type="dxa"/>
            <w:vAlign w:val="bottom"/>
          </w:tcPr>
          <w:p>
            <w:pPr>
              <w:ind w:left="140"/>
              <w:spacing w:after="0"/>
              <w:rPr>
                <w:sz w:val="20"/>
                <w:szCs w:val="20"/>
                <w:color w:val="auto"/>
              </w:rPr>
            </w:pPr>
            <w:r>
              <w:rPr>
                <w:rFonts w:ascii="Arial" w:cs="Arial" w:eastAsia="Arial" w:hAnsi="Arial"/>
                <w:sz w:val="18"/>
                <w:szCs w:val="18"/>
                <w:color w:val="auto"/>
              </w:rPr>
              <w:t>Notice to Trustee</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3.2.</w:t>
            </w:r>
          </w:p>
        </w:tc>
        <w:tc>
          <w:tcPr>
            <w:tcW w:w="8380" w:type="dxa"/>
            <w:vAlign w:val="bottom"/>
          </w:tcPr>
          <w:p>
            <w:pPr>
              <w:ind w:left="140"/>
              <w:spacing w:after="0"/>
              <w:rPr>
                <w:sz w:val="20"/>
                <w:szCs w:val="20"/>
                <w:color w:val="auto"/>
              </w:rPr>
            </w:pPr>
            <w:r>
              <w:rPr>
                <w:rFonts w:ascii="Arial" w:cs="Arial" w:eastAsia="Arial" w:hAnsi="Arial"/>
                <w:sz w:val="18"/>
                <w:szCs w:val="18"/>
                <w:color w:val="auto"/>
              </w:rPr>
              <w:t>Selection of Securities to be Redeemed</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3.3.</w:t>
            </w:r>
          </w:p>
        </w:tc>
        <w:tc>
          <w:tcPr>
            <w:tcW w:w="838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3.4.</w:t>
            </w:r>
          </w:p>
        </w:tc>
        <w:tc>
          <w:tcPr>
            <w:tcW w:w="8380" w:type="dxa"/>
            <w:vAlign w:val="bottom"/>
          </w:tcPr>
          <w:p>
            <w:pPr>
              <w:ind w:left="140"/>
              <w:spacing w:after="0"/>
              <w:rPr>
                <w:sz w:val="20"/>
                <w:szCs w:val="20"/>
                <w:color w:val="auto"/>
              </w:rPr>
            </w:pPr>
            <w:r>
              <w:rPr>
                <w:rFonts w:ascii="Arial" w:cs="Arial" w:eastAsia="Arial" w:hAnsi="Arial"/>
                <w:sz w:val="18"/>
                <w:szCs w:val="18"/>
                <w:color w:val="auto"/>
              </w:rPr>
              <w:t>Effect of Notice of Redemption</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3.5.</w:t>
            </w:r>
          </w:p>
        </w:tc>
        <w:tc>
          <w:tcPr>
            <w:tcW w:w="8380" w:type="dxa"/>
            <w:vAlign w:val="bottom"/>
          </w:tcPr>
          <w:p>
            <w:pPr>
              <w:ind w:left="140"/>
              <w:spacing w:after="0"/>
              <w:rPr>
                <w:sz w:val="20"/>
                <w:szCs w:val="20"/>
                <w:color w:val="auto"/>
              </w:rPr>
            </w:pPr>
            <w:r>
              <w:rPr>
                <w:rFonts w:ascii="Arial" w:cs="Arial" w:eastAsia="Arial" w:hAnsi="Arial"/>
                <w:sz w:val="18"/>
                <w:szCs w:val="18"/>
                <w:color w:val="auto"/>
              </w:rPr>
              <w:t>Deposit of Redemption Price</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3.6.</w:t>
            </w:r>
          </w:p>
        </w:tc>
        <w:tc>
          <w:tcPr>
            <w:tcW w:w="8380" w:type="dxa"/>
            <w:vAlign w:val="bottom"/>
          </w:tcPr>
          <w:p>
            <w:pPr>
              <w:ind w:left="140"/>
              <w:spacing w:after="0"/>
              <w:rPr>
                <w:sz w:val="20"/>
                <w:szCs w:val="20"/>
                <w:color w:val="auto"/>
              </w:rPr>
            </w:pPr>
            <w:r>
              <w:rPr>
                <w:rFonts w:ascii="Arial" w:cs="Arial" w:eastAsia="Arial" w:hAnsi="Arial"/>
                <w:sz w:val="18"/>
                <w:szCs w:val="18"/>
                <w:color w:val="auto"/>
              </w:rPr>
              <w:t>Securities Redeemed in Part</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8380" w:type="dxa"/>
            <w:vAlign w:val="bottom"/>
          </w:tcPr>
          <w:p>
            <w:pPr>
              <w:ind w:left="140"/>
              <w:spacing w:after="0"/>
              <w:rPr>
                <w:sz w:val="20"/>
                <w:szCs w:val="20"/>
                <w:color w:val="auto"/>
              </w:rPr>
            </w:pPr>
            <w:r>
              <w:rPr>
                <w:rFonts w:ascii="Arial" w:cs="Arial" w:eastAsia="Arial" w:hAnsi="Arial"/>
                <w:sz w:val="18"/>
                <w:szCs w:val="18"/>
                <w:color w:val="auto"/>
              </w:rPr>
              <w:t>Payment of Principal and Interest</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4.2.</w:t>
            </w:r>
          </w:p>
        </w:tc>
        <w:tc>
          <w:tcPr>
            <w:tcW w:w="8380" w:type="dxa"/>
            <w:vAlign w:val="bottom"/>
          </w:tcPr>
          <w:p>
            <w:pPr>
              <w:ind w:left="140"/>
              <w:spacing w:after="0"/>
              <w:rPr>
                <w:sz w:val="20"/>
                <w:szCs w:val="20"/>
                <w:color w:val="auto"/>
              </w:rPr>
            </w:pPr>
            <w:r>
              <w:rPr>
                <w:rFonts w:ascii="Arial" w:cs="Arial" w:eastAsia="Arial" w:hAnsi="Arial"/>
                <w:sz w:val="18"/>
                <w:szCs w:val="18"/>
                <w:color w:val="auto"/>
              </w:rPr>
              <w:t>SEC Reports</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4.3.</w:t>
            </w:r>
          </w:p>
        </w:tc>
        <w:tc>
          <w:tcPr>
            <w:tcW w:w="838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4.4.</w:t>
            </w:r>
          </w:p>
        </w:tc>
        <w:tc>
          <w:tcPr>
            <w:tcW w:w="8380" w:type="dxa"/>
            <w:vAlign w:val="bottom"/>
          </w:tcPr>
          <w:p>
            <w:pPr>
              <w:ind w:left="140"/>
              <w:spacing w:after="0"/>
              <w:rPr>
                <w:sz w:val="20"/>
                <w:szCs w:val="20"/>
                <w:color w:val="auto"/>
              </w:rPr>
            </w:pPr>
            <w:r>
              <w:rPr>
                <w:rFonts w:ascii="Arial" w:cs="Arial" w:eastAsia="Arial" w:hAnsi="Arial"/>
                <w:sz w:val="18"/>
                <w:szCs w:val="18"/>
                <w:color w:val="auto"/>
              </w:rPr>
              <w:t>Stay, Extension and Usury Laws</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012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5.1.</w:t>
            </w:r>
          </w:p>
        </w:tc>
        <w:tc>
          <w:tcPr>
            <w:tcW w:w="8380" w:type="dxa"/>
            <w:vAlign w:val="bottom"/>
          </w:tcPr>
          <w:p>
            <w:pPr>
              <w:ind w:left="120"/>
              <w:spacing w:after="0"/>
              <w:rPr>
                <w:sz w:val="20"/>
                <w:szCs w:val="20"/>
                <w:color w:val="auto"/>
              </w:rPr>
            </w:pPr>
            <w:r>
              <w:rPr>
                <w:rFonts w:ascii="Arial" w:cs="Arial" w:eastAsia="Arial" w:hAnsi="Arial"/>
                <w:sz w:val="18"/>
                <w:szCs w:val="18"/>
                <w:color w:val="auto"/>
              </w:rPr>
              <w:t>When Company May Merge, Etc.</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5.2.</w:t>
            </w:r>
          </w:p>
        </w:tc>
        <w:tc>
          <w:tcPr>
            <w:tcW w:w="8380" w:type="dxa"/>
            <w:vAlign w:val="bottom"/>
          </w:tcPr>
          <w:p>
            <w:pPr>
              <w:ind w:left="140"/>
              <w:spacing w:after="0"/>
              <w:rPr>
                <w:sz w:val="20"/>
                <w:szCs w:val="20"/>
                <w:color w:val="auto"/>
              </w:rPr>
            </w:pPr>
            <w:r>
              <w:rPr>
                <w:rFonts w:ascii="Arial" w:cs="Arial" w:eastAsia="Arial" w:hAnsi="Arial"/>
                <w:sz w:val="18"/>
                <w:szCs w:val="18"/>
                <w:color w:val="auto"/>
              </w:rPr>
              <w:t>Successor Corporation Substituted</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6.1.</w:t>
            </w:r>
          </w:p>
        </w:tc>
        <w:tc>
          <w:tcPr>
            <w:tcW w:w="706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6.2.</w:t>
            </w:r>
          </w:p>
        </w:tc>
        <w:tc>
          <w:tcPr>
            <w:tcW w:w="7060" w:type="dxa"/>
            <w:vAlign w:val="bottom"/>
          </w:tcPr>
          <w:p>
            <w:pPr>
              <w:ind w:left="120"/>
              <w:spacing w:after="0"/>
              <w:rPr>
                <w:sz w:val="20"/>
                <w:szCs w:val="20"/>
                <w:color w:val="auto"/>
              </w:rPr>
            </w:pPr>
            <w:r>
              <w:rPr>
                <w:rFonts w:ascii="Arial" w:cs="Arial" w:eastAsia="Arial" w:hAnsi="Arial"/>
                <w:sz w:val="18"/>
                <w:szCs w:val="18"/>
                <w:color w:val="auto"/>
              </w:rPr>
              <w:t>Acceleration of Maturity; Rescission and Annulment</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6.3.</w:t>
            </w:r>
          </w:p>
        </w:tc>
        <w:tc>
          <w:tcPr>
            <w:tcW w:w="7060" w:type="dxa"/>
            <w:vAlign w:val="bottom"/>
          </w:tcPr>
          <w:p>
            <w:pPr>
              <w:ind w:left="140"/>
              <w:spacing w:after="0"/>
              <w:rPr>
                <w:sz w:val="20"/>
                <w:szCs w:val="20"/>
                <w:color w:val="auto"/>
              </w:rPr>
            </w:pPr>
            <w:r>
              <w:rPr>
                <w:rFonts w:ascii="Arial" w:cs="Arial" w:eastAsia="Arial" w:hAnsi="Arial"/>
                <w:sz w:val="18"/>
                <w:szCs w:val="18"/>
                <w:color w:val="auto"/>
              </w:rPr>
              <w:t>Collection of Indebtedness and Suits for Enforcement by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6.4.</w:t>
            </w:r>
          </w:p>
        </w:tc>
        <w:tc>
          <w:tcPr>
            <w:tcW w:w="7060" w:type="dxa"/>
            <w:vAlign w:val="bottom"/>
          </w:tcPr>
          <w:p>
            <w:pPr>
              <w:ind w:left="120"/>
              <w:spacing w:after="0"/>
              <w:rPr>
                <w:sz w:val="20"/>
                <w:szCs w:val="20"/>
                <w:color w:val="auto"/>
              </w:rPr>
            </w:pPr>
            <w:r>
              <w:rPr>
                <w:rFonts w:ascii="Arial" w:cs="Arial" w:eastAsia="Arial" w:hAnsi="Arial"/>
                <w:sz w:val="18"/>
                <w:szCs w:val="18"/>
                <w:color w:val="auto"/>
              </w:rPr>
              <w:t>Trustee May File Proofs of Claim</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6.5.</w:t>
            </w:r>
          </w:p>
        </w:tc>
        <w:tc>
          <w:tcPr>
            <w:tcW w:w="7060" w:type="dxa"/>
            <w:vAlign w:val="bottom"/>
          </w:tcPr>
          <w:p>
            <w:pPr>
              <w:ind w:left="120"/>
              <w:spacing w:after="0"/>
              <w:rPr>
                <w:sz w:val="20"/>
                <w:szCs w:val="20"/>
                <w:color w:val="auto"/>
              </w:rPr>
            </w:pPr>
            <w:r>
              <w:rPr>
                <w:rFonts w:ascii="Arial" w:cs="Arial" w:eastAsia="Arial" w:hAnsi="Arial"/>
                <w:sz w:val="18"/>
                <w:szCs w:val="18"/>
                <w:color w:val="auto"/>
              </w:rPr>
              <w:t>Trustee May Enforce Claims Without Possession of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6.6.</w:t>
            </w:r>
          </w:p>
        </w:tc>
        <w:tc>
          <w:tcPr>
            <w:tcW w:w="7060" w:type="dxa"/>
            <w:vAlign w:val="bottom"/>
          </w:tcPr>
          <w:p>
            <w:pPr>
              <w:ind w:left="120"/>
              <w:spacing w:after="0"/>
              <w:rPr>
                <w:sz w:val="20"/>
                <w:szCs w:val="20"/>
                <w:color w:val="auto"/>
              </w:rPr>
            </w:pPr>
            <w:r>
              <w:rPr>
                <w:rFonts w:ascii="Arial" w:cs="Arial" w:eastAsia="Arial" w:hAnsi="Arial"/>
                <w:sz w:val="18"/>
                <w:szCs w:val="18"/>
                <w:color w:val="auto"/>
              </w:rPr>
              <w:t>Application of Money Collected</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6.7.</w:t>
            </w:r>
          </w:p>
        </w:tc>
        <w:tc>
          <w:tcPr>
            <w:tcW w:w="706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6.8.</w:t>
            </w:r>
          </w:p>
        </w:tc>
        <w:tc>
          <w:tcPr>
            <w:tcW w:w="7060" w:type="dxa"/>
            <w:vAlign w:val="bottom"/>
          </w:tcPr>
          <w:p>
            <w:pPr>
              <w:ind w:left="14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6.9.</w:t>
            </w:r>
          </w:p>
        </w:tc>
        <w:tc>
          <w:tcPr>
            <w:tcW w:w="7060" w:type="dxa"/>
            <w:vAlign w:val="bottom"/>
          </w:tcPr>
          <w:p>
            <w:pPr>
              <w:ind w:left="140"/>
              <w:spacing w:after="0"/>
              <w:rPr>
                <w:sz w:val="20"/>
                <w:szCs w:val="20"/>
                <w:color w:val="auto"/>
              </w:rPr>
            </w:pPr>
            <w:r>
              <w:rPr>
                <w:rFonts w:ascii="Arial" w:cs="Arial" w:eastAsia="Arial" w:hAnsi="Arial"/>
                <w:sz w:val="18"/>
                <w:szCs w:val="18"/>
                <w:color w:val="auto"/>
              </w:rPr>
              <w:t>Restoration of Rights and Remedies</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6.10.</w:t>
            </w:r>
          </w:p>
        </w:tc>
        <w:tc>
          <w:tcPr>
            <w:tcW w:w="7060" w:type="dxa"/>
            <w:vAlign w:val="bottom"/>
          </w:tcPr>
          <w:p>
            <w:pPr>
              <w:ind w:left="140"/>
              <w:spacing w:after="0"/>
              <w:rPr>
                <w:sz w:val="20"/>
                <w:szCs w:val="20"/>
                <w:color w:val="auto"/>
              </w:rPr>
            </w:pPr>
            <w:r>
              <w:rPr>
                <w:rFonts w:ascii="Arial" w:cs="Arial" w:eastAsia="Arial" w:hAnsi="Arial"/>
                <w:sz w:val="18"/>
                <w:szCs w:val="18"/>
                <w:color w:val="auto"/>
              </w:rPr>
              <w:t>Rights and Remedies Cumulative</w:t>
            </w:r>
          </w:p>
        </w:tc>
        <w:tc>
          <w:tcPr>
            <w:tcW w:w="2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6.11.</w:t>
            </w:r>
          </w:p>
        </w:tc>
        <w:tc>
          <w:tcPr>
            <w:tcW w:w="7060" w:type="dxa"/>
            <w:vAlign w:val="bottom"/>
          </w:tcPr>
          <w:p>
            <w:pPr>
              <w:ind w:left="120"/>
              <w:spacing w:after="0"/>
              <w:rPr>
                <w:sz w:val="20"/>
                <w:szCs w:val="20"/>
                <w:color w:val="auto"/>
              </w:rPr>
            </w:pPr>
            <w:r>
              <w:rPr>
                <w:rFonts w:ascii="Arial" w:cs="Arial" w:eastAsia="Arial" w:hAnsi="Arial"/>
                <w:sz w:val="18"/>
                <w:szCs w:val="18"/>
                <w:color w:val="auto"/>
              </w:rPr>
              <w:t>Delay or Omission Not Waiver</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6.12.</w:t>
            </w:r>
          </w:p>
        </w:tc>
        <w:tc>
          <w:tcPr>
            <w:tcW w:w="7060" w:type="dxa"/>
            <w:vAlign w:val="bottom"/>
          </w:tcPr>
          <w:p>
            <w:pPr>
              <w:ind w:left="140"/>
              <w:spacing w:after="0"/>
              <w:rPr>
                <w:sz w:val="20"/>
                <w:szCs w:val="20"/>
                <w:color w:val="auto"/>
              </w:rPr>
            </w:pPr>
            <w:r>
              <w:rPr>
                <w:rFonts w:ascii="Arial" w:cs="Arial" w:eastAsia="Arial" w:hAnsi="Arial"/>
                <w:sz w:val="18"/>
                <w:szCs w:val="18"/>
                <w:color w:val="auto"/>
              </w:rPr>
              <w:t>Control by 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0" w:type="dxa"/>
            <w:vAlign w:val="bottom"/>
            <w:gridSpan w:val="2"/>
          </w:tcPr>
          <w:p>
            <w:pPr>
              <w:ind w:left="660"/>
              <w:spacing w:after="0"/>
              <w:rPr>
                <w:sz w:val="20"/>
                <w:szCs w:val="20"/>
                <w:color w:val="auto"/>
              </w:rPr>
            </w:pPr>
            <w:r>
              <w:rPr>
                <w:rFonts w:ascii="Arial" w:cs="Arial" w:eastAsia="Arial" w:hAnsi="Arial"/>
                <w:sz w:val="18"/>
                <w:szCs w:val="18"/>
                <w:color w:val="auto"/>
              </w:rPr>
              <w:t>Section 6.13.   Waiver of Past Defaults</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6.14.</w:t>
            </w:r>
          </w:p>
        </w:tc>
        <w:tc>
          <w:tcPr>
            <w:tcW w:w="7060" w:type="dxa"/>
            <w:vAlign w:val="bottom"/>
          </w:tcPr>
          <w:p>
            <w:pPr>
              <w:ind w:left="140"/>
              <w:spacing w:after="0"/>
              <w:rPr>
                <w:sz w:val="20"/>
                <w:szCs w:val="20"/>
                <w:color w:val="auto"/>
              </w:rPr>
            </w:pPr>
            <w:r>
              <w:rPr>
                <w:rFonts w:ascii="Arial" w:cs="Arial" w:eastAsia="Arial" w:hAnsi="Arial"/>
                <w:sz w:val="18"/>
                <w:szCs w:val="18"/>
                <w:color w:val="auto"/>
              </w:rPr>
              <w:t>Undertaking for Costs</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880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7060" w:type="dxa"/>
            <w:vAlign w:val="bottom"/>
          </w:tcPr>
          <w:p>
            <w:pPr>
              <w:ind w:left="140"/>
              <w:spacing w:after="0"/>
              <w:rPr>
                <w:sz w:val="20"/>
                <w:szCs w:val="20"/>
                <w:color w:val="auto"/>
              </w:rPr>
            </w:pPr>
            <w:r>
              <w:rPr>
                <w:rFonts w:ascii="Arial" w:cs="Arial" w:eastAsia="Arial" w:hAnsi="Arial"/>
                <w:sz w:val="18"/>
                <w:szCs w:val="18"/>
                <w:color w:val="auto"/>
              </w:rPr>
              <w:t>Duties of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7.2.</w:t>
            </w:r>
          </w:p>
        </w:tc>
        <w:tc>
          <w:tcPr>
            <w:tcW w:w="7060" w:type="dxa"/>
            <w:vAlign w:val="bottom"/>
          </w:tcPr>
          <w:p>
            <w:pPr>
              <w:ind w:left="140"/>
              <w:spacing w:after="0"/>
              <w:rPr>
                <w:sz w:val="20"/>
                <w:szCs w:val="20"/>
                <w:color w:val="auto"/>
              </w:rPr>
            </w:pPr>
            <w:r>
              <w:rPr>
                <w:rFonts w:ascii="Arial" w:cs="Arial" w:eastAsia="Arial" w:hAnsi="Arial"/>
                <w:sz w:val="18"/>
                <w:szCs w:val="18"/>
                <w:color w:val="auto"/>
              </w:rPr>
              <w:t>Rights of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7060" w:type="dxa"/>
            <w:vAlign w:val="bottom"/>
          </w:tcPr>
          <w:p>
            <w:pPr>
              <w:ind w:left="140"/>
              <w:spacing w:after="0"/>
              <w:rPr>
                <w:sz w:val="20"/>
                <w:szCs w:val="20"/>
                <w:color w:val="auto"/>
              </w:rPr>
            </w:pPr>
            <w:r>
              <w:rPr>
                <w:rFonts w:ascii="Arial" w:cs="Arial" w:eastAsia="Arial" w:hAnsi="Arial"/>
                <w:sz w:val="18"/>
                <w:szCs w:val="18"/>
                <w:color w:val="auto"/>
              </w:rPr>
              <w:t>Individual Rights of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7.4.</w:t>
            </w:r>
          </w:p>
        </w:tc>
        <w:tc>
          <w:tcPr>
            <w:tcW w:w="706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7.5.</w:t>
            </w:r>
          </w:p>
        </w:tc>
        <w:tc>
          <w:tcPr>
            <w:tcW w:w="706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7.6.</w:t>
            </w:r>
          </w:p>
        </w:tc>
        <w:tc>
          <w:tcPr>
            <w:tcW w:w="7060" w:type="dxa"/>
            <w:vAlign w:val="bottom"/>
          </w:tcPr>
          <w:p>
            <w:pPr>
              <w:ind w:left="140"/>
              <w:spacing w:after="0"/>
              <w:rPr>
                <w:sz w:val="20"/>
                <w:szCs w:val="20"/>
                <w:color w:val="auto"/>
              </w:rPr>
            </w:pPr>
            <w:r>
              <w:rPr>
                <w:rFonts w:ascii="Arial" w:cs="Arial" w:eastAsia="Arial" w:hAnsi="Arial"/>
                <w:sz w:val="18"/>
                <w:szCs w:val="18"/>
                <w:color w:val="auto"/>
              </w:rPr>
              <w:t>Reports by Trustee to 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7.7.</w:t>
            </w:r>
          </w:p>
        </w:tc>
        <w:tc>
          <w:tcPr>
            <w:tcW w:w="7060" w:type="dxa"/>
            <w:vAlign w:val="bottom"/>
          </w:tcPr>
          <w:p>
            <w:pPr>
              <w:ind w:left="140"/>
              <w:spacing w:after="0"/>
              <w:rPr>
                <w:sz w:val="20"/>
                <w:szCs w:val="20"/>
                <w:color w:val="auto"/>
              </w:rPr>
            </w:pPr>
            <w:r>
              <w:rPr>
                <w:rFonts w:ascii="Arial" w:cs="Arial" w:eastAsia="Arial" w:hAnsi="Arial"/>
                <w:sz w:val="18"/>
                <w:szCs w:val="18"/>
                <w:color w:val="auto"/>
              </w:rPr>
              <w:t>Compensation and Indemnity</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7.8.</w:t>
            </w:r>
          </w:p>
        </w:tc>
        <w:tc>
          <w:tcPr>
            <w:tcW w:w="7060" w:type="dxa"/>
            <w:vAlign w:val="bottom"/>
          </w:tcPr>
          <w:p>
            <w:pPr>
              <w:ind w:left="140"/>
              <w:spacing w:after="0"/>
              <w:rPr>
                <w:sz w:val="20"/>
                <w:szCs w:val="20"/>
                <w:color w:val="auto"/>
              </w:rPr>
            </w:pPr>
            <w:r>
              <w:rPr>
                <w:rFonts w:ascii="Arial" w:cs="Arial" w:eastAsia="Arial" w:hAnsi="Arial"/>
                <w:sz w:val="18"/>
                <w:szCs w:val="18"/>
                <w:color w:val="auto"/>
              </w:rPr>
              <w:t>Replacement of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7.9.</w:t>
            </w:r>
          </w:p>
        </w:tc>
        <w:tc>
          <w:tcPr>
            <w:tcW w:w="7060" w:type="dxa"/>
            <w:vAlign w:val="bottom"/>
          </w:tcPr>
          <w:p>
            <w:pPr>
              <w:ind w:left="140"/>
              <w:spacing w:after="0"/>
              <w:rPr>
                <w:sz w:val="20"/>
                <w:szCs w:val="20"/>
                <w:color w:val="auto"/>
              </w:rPr>
            </w:pPr>
            <w:r>
              <w:rPr>
                <w:rFonts w:ascii="Arial" w:cs="Arial" w:eastAsia="Arial" w:hAnsi="Arial"/>
                <w:sz w:val="18"/>
                <w:szCs w:val="18"/>
                <w:color w:val="auto"/>
              </w:rPr>
              <w:t>Successor Trustee by Merger, Etc.</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7.10.</w:t>
            </w:r>
          </w:p>
        </w:tc>
        <w:tc>
          <w:tcPr>
            <w:tcW w:w="706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7.11.</w:t>
            </w:r>
          </w:p>
        </w:tc>
        <w:tc>
          <w:tcPr>
            <w:tcW w:w="7060" w:type="dxa"/>
            <w:vAlign w:val="bottom"/>
          </w:tcPr>
          <w:p>
            <w:pPr>
              <w:ind w:left="120"/>
              <w:spacing w:after="0"/>
              <w:rPr>
                <w:sz w:val="20"/>
                <w:szCs w:val="20"/>
                <w:color w:val="auto"/>
              </w:rPr>
            </w:pPr>
            <w:r>
              <w:rPr>
                <w:rFonts w:ascii="Arial" w:cs="Arial" w:eastAsia="Arial" w:hAnsi="Arial"/>
                <w:sz w:val="18"/>
                <w:szCs w:val="18"/>
                <w:color w:val="auto"/>
              </w:rPr>
              <w:t>Preferential Collection of Claims Against Company</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880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8.1.</w:t>
            </w:r>
          </w:p>
        </w:tc>
        <w:tc>
          <w:tcPr>
            <w:tcW w:w="7060" w:type="dxa"/>
            <w:vAlign w:val="bottom"/>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8.2.</w:t>
            </w:r>
          </w:p>
        </w:tc>
        <w:tc>
          <w:tcPr>
            <w:tcW w:w="7060" w:type="dxa"/>
            <w:vAlign w:val="bottom"/>
          </w:tcPr>
          <w:p>
            <w:pPr>
              <w:ind w:left="120"/>
              <w:spacing w:after="0"/>
              <w:rPr>
                <w:sz w:val="20"/>
                <w:szCs w:val="20"/>
                <w:color w:val="auto"/>
              </w:rPr>
            </w:pPr>
            <w:r>
              <w:rPr>
                <w:rFonts w:ascii="Arial" w:cs="Arial" w:eastAsia="Arial" w:hAnsi="Arial"/>
                <w:sz w:val="18"/>
                <w:szCs w:val="18"/>
                <w:color w:val="auto"/>
              </w:rPr>
              <w:t>Application of Trust Funds; Indemnification</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8.3.</w:t>
            </w:r>
          </w:p>
        </w:tc>
        <w:tc>
          <w:tcPr>
            <w:tcW w:w="7060" w:type="dxa"/>
            <w:vAlign w:val="bottom"/>
          </w:tcPr>
          <w:p>
            <w:pPr>
              <w:ind w:left="140"/>
              <w:spacing w:after="0"/>
              <w:rPr>
                <w:sz w:val="20"/>
                <w:szCs w:val="20"/>
                <w:color w:val="auto"/>
              </w:rPr>
            </w:pPr>
            <w:r>
              <w:rPr>
                <w:rFonts w:ascii="Arial" w:cs="Arial" w:eastAsia="Arial" w:hAnsi="Arial"/>
                <w:sz w:val="18"/>
                <w:szCs w:val="18"/>
                <w:color w:val="auto"/>
              </w:rPr>
              <w:t>Legal Defeasance of Securities of any Series</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8.4.</w:t>
            </w:r>
          </w:p>
        </w:tc>
        <w:tc>
          <w:tcPr>
            <w:tcW w:w="706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8.5.</w:t>
            </w:r>
          </w:p>
        </w:tc>
        <w:tc>
          <w:tcPr>
            <w:tcW w:w="7060" w:type="dxa"/>
            <w:vAlign w:val="bottom"/>
          </w:tcPr>
          <w:p>
            <w:pPr>
              <w:ind w:left="140"/>
              <w:spacing w:after="0"/>
              <w:rPr>
                <w:sz w:val="20"/>
                <w:szCs w:val="20"/>
                <w:color w:val="auto"/>
              </w:rPr>
            </w:pPr>
            <w:r>
              <w:rPr>
                <w:rFonts w:ascii="Arial" w:cs="Arial" w:eastAsia="Arial" w:hAnsi="Arial"/>
                <w:sz w:val="18"/>
                <w:szCs w:val="18"/>
                <w:color w:val="auto"/>
              </w:rPr>
              <w:t>Repayment to Company</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8.6.</w:t>
            </w:r>
          </w:p>
        </w:tc>
        <w:tc>
          <w:tcPr>
            <w:tcW w:w="706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880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9.1.</w:t>
            </w:r>
          </w:p>
        </w:tc>
        <w:tc>
          <w:tcPr>
            <w:tcW w:w="7060" w:type="dxa"/>
            <w:vAlign w:val="bottom"/>
          </w:tcPr>
          <w:p>
            <w:pPr>
              <w:ind w:left="120"/>
              <w:spacing w:after="0"/>
              <w:rPr>
                <w:sz w:val="20"/>
                <w:szCs w:val="20"/>
                <w:color w:val="auto"/>
              </w:rPr>
            </w:pPr>
            <w:r>
              <w:rPr>
                <w:rFonts w:ascii="Arial" w:cs="Arial" w:eastAsia="Arial" w:hAnsi="Arial"/>
                <w:sz w:val="18"/>
                <w:szCs w:val="18"/>
                <w:color w:val="auto"/>
              </w:rPr>
              <w:t>Without Consent of 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9.2.</w:t>
            </w:r>
          </w:p>
        </w:tc>
        <w:tc>
          <w:tcPr>
            <w:tcW w:w="7060" w:type="dxa"/>
            <w:vAlign w:val="bottom"/>
          </w:tcPr>
          <w:p>
            <w:pPr>
              <w:ind w:left="120"/>
              <w:spacing w:after="0"/>
              <w:rPr>
                <w:sz w:val="20"/>
                <w:szCs w:val="20"/>
                <w:color w:val="auto"/>
              </w:rPr>
            </w:pPr>
            <w:r>
              <w:rPr>
                <w:rFonts w:ascii="Arial" w:cs="Arial" w:eastAsia="Arial" w:hAnsi="Arial"/>
                <w:sz w:val="18"/>
                <w:szCs w:val="18"/>
                <w:color w:val="auto"/>
              </w:rPr>
              <w:t>With Consent of 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9.3.</w:t>
            </w:r>
          </w:p>
        </w:tc>
        <w:tc>
          <w:tcPr>
            <w:tcW w:w="706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9.4.</w:t>
            </w:r>
          </w:p>
        </w:tc>
        <w:tc>
          <w:tcPr>
            <w:tcW w:w="7060" w:type="dxa"/>
            <w:vAlign w:val="bottom"/>
          </w:tcPr>
          <w:p>
            <w:pPr>
              <w:ind w:left="140"/>
              <w:spacing w:after="0"/>
              <w:rPr>
                <w:sz w:val="20"/>
                <w:szCs w:val="20"/>
                <w:color w:val="auto"/>
              </w:rPr>
            </w:pPr>
            <w:r>
              <w:rPr>
                <w:rFonts w:ascii="Arial" w:cs="Arial" w:eastAsia="Arial" w:hAnsi="Arial"/>
                <w:sz w:val="18"/>
                <w:szCs w:val="18"/>
                <w:color w:val="auto"/>
              </w:rPr>
              <w:t>Compliance with Trust Indenture Act</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9.5.</w:t>
            </w:r>
          </w:p>
        </w:tc>
        <w:tc>
          <w:tcPr>
            <w:tcW w:w="7060" w:type="dxa"/>
            <w:vAlign w:val="bottom"/>
          </w:tcPr>
          <w:p>
            <w:pPr>
              <w:ind w:left="140"/>
              <w:spacing w:after="0"/>
              <w:rPr>
                <w:sz w:val="20"/>
                <w:szCs w:val="20"/>
                <w:color w:val="auto"/>
              </w:rPr>
            </w:pPr>
            <w:r>
              <w:rPr>
                <w:rFonts w:ascii="Arial" w:cs="Arial" w:eastAsia="Arial" w:hAnsi="Arial"/>
                <w:sz w:val="18"/>
                <w:szCs w:val="18"/>
                <w:color w:val="auto"/>
              </w:rPr>
              <w:t>Revocation and Effect of Consents</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9.6.</w:t>
            </w:r>
          </w:p>
        </w:tc>
        <w:tc>
          <w:tcPr>
            <w:tcW w:w="7060" w:type="dxa"/>
            <w:vAlign w:val="bottom"/>
          </w:tcPr>
          <w:p>
            <w:pPr>
              <w:ind w:left="140"/>
              <w:spacing w:after="0"/>
              <w:rPr>
                <w:sz w:val="20"/>
                <w:szCs w:val="20"/>
                <w:color w:val="auto"/>
              </w:rPr>
            </w:pPr>
            <w:r>
              <w:rPr>
                <w:rFonts w:ascii="Arial" w:cs="Arial" w:eastAsia="Arial" w:hAnsi="Arial"/>
                <w:sz w:val="18"/>
                <w:szCs w:val="18"/>
                <w:color w:val="auto"/>
              </w:rPr>
              <w:t>Notation on or Exchange of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9.7.</w:t>
            </w:r>
          </w:p>
        </w:tc>
        <w:tc>
          <w:tcPr>
            <w:tcW w:w="7060" w:type="dxa"/>
            <w:vAlign w:val="bottom"/>
          </w:tcPr>
          <w:p>
            <w:pPr>
              <w:ind w:left="120"/>
              <w:spacing w:after="0"/>
              <w:rPr>
                <w:sz w:val="20"/>
                <w:szCs w:val="20"/>
                <w:color w:val="auto"/>
              </w:rPr>
            </w:pPr>
            <w:r>
              <w:rPr>
                <w:rFonts w:ascii="Arial" w:cs="Arial" w:eastAsia="Arial" w:hAnsi="Arial"/>
                <w:sz w:val="18"/>
                <w:szCs w:val="18"/>
                <w:color w:val="auto"/>
              </w:rPr>
              <w:t>Trustee Protected</w:t>
            </w:r>
          </w:p>
        </w:tc>
        <w:tc>
          <w:tcPr>
            <w:tcW w:w="244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10.1.   Trust Indenture Act Controls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Section 10.2.</w:t>
            </w:r>
          </w:p>
        </w:tc>
        <w:tc>
          <w:tcPr>
            <w:tcW w:w="6900" w:type="dxa"/>
            <w:vAlign w:val="bottom"/>
          </w:tcPr>
          <w:p>
            <w:pPr>
              <w:ind w:left="100"/>
              <w:spacing w:after="0"/>
              <w:rPr>
                <w:sz w:val="20"/>
                <w:szCs w:val="20"/>
                <w:color w:val="auto"/>
              </w:rPr>
            </w:pPr>
            <w:r>
              <w:rPr>
                <w:rFonts w:ascii="Arial" w:cs="Arial" w:eastAsia="Arial" w:hAnsi="Arial"/>
                <w:sz w:val="18"/>
                <w:szCs w:val="18"/>
                <w:color w:val="auto"/>
              </w:rPr>
              <w:t>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Section 10.3.</w:t>
            </w:r>
          </w:p>
        </w:tc>
        <w:tc>
          <w:tcPr>
            <w:tcW w:w="6900" w:type="dxa"/>
            <w:vAlign w:val="bottom"/>
          </w:tcPr>
          <w:p>
            <w:pPr>
              <w:ind w:left="100"/>
              <w:spacing w:after="0"/>
              <w:rPr>
                <w:sz w:val="20"/>
                <w:szCs w:val="20"/>
                <w:color w:val="auto"/>
              </w:rPr>
            </w:pPr>
            <w:r>
              <w:rPr>
                <w:rFonts w:ascii="Arial" w:cs="Arial" w:eastAsia="Arial" w:hAnsi="Arial"/>
                <w:sz w:val="18"/>
                <w:szCs w:val="18"/>
                <w:color w:val="auto"/>
              </w:rPr>
              <w:t>Communication by Holders with Other Holders</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Section 10.4.</w:t>
            </w:r>
          </w:p>
        </w:tc>
        <w:tc>
          <w:tcPr>
            <w:tcW w:w="6900" w:type="dxa"/>
            <w:vAlign w:val="bottom"/>
          </w:tcPr>
          <w:p>
            <w:pPr>
              <w:ind w:left="100"/>
              <w:spacing w:after="0"/>
              <w:rPr>
                <w:sz w:val="20"/>
                <w:szCs w:val="20"/>
                <w:color w:val="auto"/>
              </w:rPr>
            </w:pPr>
            <w:r>
              <w:rPr>
                <w:rFonts w:ascii="Arial" w:cs="Arial" w:eastAsia="Arial" w:hAnsi="Arial"/>
                <w:sz w:val="18"/>
                <w:szCs w:val="18"/>
                <w:color w:val="auto"/>
              </w:rPr>
              <w:t>Certificate and Opinion as to Conditions Precedent</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Section 10.5.</w:t>
            </w:r>
          </w:p>
        </w:tc>
        <w:tc>
          <w:tcPr>
            <w:tcW w:w="6900" w:type="dxa"/>
            <w:vAlign w:val="bottom"/>
          </w:tcPr>
          <w:p>
            <w:pPr>
              <w:ind w:left="100"/>
              <w:spacing w:after="0"/>
              <w:rPr>
                <w:sz w:val="20"/>
                <w:szCs w:val="20"/>
                <w:color w:val="auto"/>
              </w:rPr>
            </w:pPr>
            <w:r>
              <w:rPr>
                <w:rFonts w:ascii="Arial" w:cs="Arial" w:eastAsia="Arial" w:hAnsi="Arial"/>
                <w:sz w:val="18"/>
                <w:szCs w:val="18"/>
                <w:color w:val="auto"/>
              </w:rPr>
              <w:t>Statements Required in Certificate or Opinion</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Section 10.6.</w:t>
            </w:r>
          </w:p>
        </w:tc>
        <w:tc>
          <w:tcPr>
            <w:tcW w:w="6900" w:type="dxa"/>
            <w:vAlign w:val="bottom"/>
          </w:tcPr>
          <w:p>
            <w:pPr>
              <w:ind w:left="100"/>
              <w:spacing w:after="0"/>
              <w:rPr>
                <w:sz w:val="20"/>
                <w:szCs w:val="20"/>
                <w:color w:val="auto"/>
              </w:rPr>
            </w:pPr>
            <w:r>
              <w:rPr>
                <w:rFonts w:ascii="Arial" w:cs="Arial" w:eastAsia="Arial" w:hAnsi="Arial"/>
                <w:sz w:val="18"/>
                <w:szCs w:val="18"/>
                <w:color w:val="auto"/>
              </w:rPr>
              <w:t>Rules by Trustee and 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Section 10.7.</w:t>
            </w:r>
          </w:p>
        </w:tc>
        <w:tc>
          <w:tcPr>
            <w:tcW w:w="690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Section 10.8.</w:t>
            </w:r>
          </w:p>
        </w:tc>
        <w:tc>
          <w:tcPr>
            <w:tcW w:w="6900" w:type="dxa"/>
            <w:vAlign w:val="bottom"/>
          </w:tcPr>
          <w:p>
            <w:pPr>
              <w:ind w:left="100"/>
              <w:spacing w:after="0"/>
              <w:rPr>
                <w:sz w:val="20"/>
                <w:szCs w:val="20"/>
                <w:color w:val="auto"/>
              </w:rPr>
            </w:pPr>
            <w:r>
              <w:rPr>
                <w:rFonts w:ascii="Arial" w:cs="Arial" w:eastAsia="Arial" w:hAnsi="Arial"/>
                <w:sz w:val="18"/>
                <w:szCs w:val="18"/>
                <w:color w:val="auto"/>
              </w:rPr>
              <w:t>No Recourse Against Others</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Section 10.9.</w:t>
            </w:r>
          </w:p>
        </w:tc>
        <w:tc>
          <w:tcPr>
            <w:tcW w:w="69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w w:val="95"/>
              </w:rPr>
              <w:t>Section 10.10.</w:t>
            </w:r>
          </w:p>
        </w:tc>
        <w:tc>
          <w:tcPr>
            <w:tcW w:w="6900" w:type="dxa"/>
            <w:vAlign w:val="bottom"/>
          </w:tcPr>
          <w:p>
            <w:pPr>
              <w:ind w:left="100"/>
              <w:spacing w:after="0"/>
              <w:rPr>
                <w:sz w:val="20"/>
                <w:szCs w:val="20"/>
                <w:color w:val="auto"/>
              </w:rPr>
            </w:pPr>
            <w:r>
              <w:rPr>
                <w:rFonts w:ascii="Arial" w:cs="Arial" w:eastAsia="Arial" w:hAnsi="Arial"/>
                <w:sz w:val="18"/>
                <w:szCs w:val="18"/>
                <w:color w:val="auto"/>
              </w:rPr>
              <w:t>Governing Law; Waiver of Jury Trial; Consent to Jurisdiction</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10.11.  No Adverse Interpretation of Other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w w:val="95"/>
              </w:rPr>
              <w:t>Section 10.12.</w:t>
            </w:r>
          </w:p>
        </w:tc>
        <w:tc>
          <w:tcPr>
            <w:tcW w:w="690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w w:val="95"/>
              </w:rPr>
              <w:t>Section 10.13.</w:t>
            </w:r>
          </w:p>
        </w:tc>
        <w:tc>
          <w:tcPr>
            <w:tcW w:w="69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10.14.  Table of Contents, Headings, Etc.</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w w:val="95"/>
              </w:rPr>
              <w:t>Section 10.15.</w:t>
            </w:r>
          </w:p>
        </w:tc>
        <w:tc>
          <w:tcPr>
            <w:tcW w:w="6900" w:type="dxa"/>
            <w:vAlign w:val="bottom"/>
          </w:tcPr>
          <w:p>
            <w:pPr>
              <w:ind w:left="100"/>
              <w:spacing w:after="0"/>
              <w:rPr>
                <w:sz w:val="20"/>
                <w:szCs w:val="20"/>
                <w:color w:val="auto"/>
              </w:rPr>
            </w:pPr>
            <w:r>
              <w:rPr>
                <w:rFonts w:ascii="Arial" w:cs="Arial" w:eastAsia="Arial" w:hAnsi="Arial"/>
                <w:sz w:val="18"/>
                <w:szCs w:val="18"/>
                <w:color w:val="auto"/>
              </w:rPr>
              <w:t>Securities in a Foreign Currency</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w w:val="95"/>
              </w:rPr>
              <w:t>Section 10.16.</w:t>
            </w:r>
          </w:p>
        </w:tc>
        <w:tc>
          <w:tcPr>
            <w:tcW w:w="690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w w:val="95"/>
              </w:rPr>
              <w:t>Section 10.17.</w:t>
            </w:r>
          </w:p>
        </w:tc>
        <w:tc>
          <w:tcPr>
            <w:tcW w:w="690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780" w:type="dxa"/>
            <w:vAlign w:val="bottom"/>
          </w:tcPr>
          <w:p>
            <w:pPr>
              <w:ind w:left="660"/>
              <w:spacing w:after="0"/>
              <w:rPr>
                <w:sz w:val="20"/>
                <w:szCs w:val="20"/>
                <w:color w:val="auto"/>
              </w:rPr>
            </w:pPr>
            <w:r>
              <w:rPr>
                <w:rFonts w:ascii="Arial" w:cs="Arial" w:eastAsia="Arial" w:hAnsi="Arial"/>
                <w:sz w:val="18"/>
                <w:szCs w:val="18"/>
                <w:color w:val="auto"/>
                <w:w w:val="95"/>
              </w:rPr>
              <w:t>Section 10.18.</w:t>
            </w:r>
          </w:p>
        </w:tc>
        <w:tc>
          <w:tcPr>
            <w:tcW w:w="690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868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11.1.   Applicability of Article</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Section 11.2.</w:t>
            </w:r>
          </w:p>
        </w:tc>
        <w:tc>
          <w:tcPr>
            <w:tcW w:w="6900" w:type="dxa"/>
            <w:vAlign w:val="bottom"/>
          </w:tcPr>
          <w:p>
            <w:pPr>
              <w:ind w:left="80"/>
              <w:spacing w:after="0"/>
              <w:rPr>
                <w:sz w:val="20"/>
                <w:szCs w:val="20"/>
                <w:color w:val="auto"/>
              </w:rPr>
            </w:pPr>
            <w:r>
              <w:rPr>
                <w:rFonts w:ascii="Arial" w:cs="Arial" w:eastAsia="Arial" w:hAnsi="Arial"/>
                <w:sz w:val="18"/>
                <w:szCs w:val="18"/>
                <w:color w:val="auto"/>
              </w:rPr>
              <w:t>Satisfaction of Sinking Fund Payments with Securities</w:t>
            </w: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780" w:type="dxa"/>
            <w:vAlign w:val="bottom"/>
          </w:tcPr>
          <w:p>
            <w:pPr>
              <w:ind w:left="660"/>
              <w:spacing w:after="0"/>
              <w:rPr>
                <w:sz w:val="20"/>
                <w:szCs w:val="20"/>
                <w:color w:val="auto"/>
              </w:rPr>
            </w:pPr>
            <w:r>
              <w:rPr>
                <w:rFonts w:ascii="Arial" w:cs="Arial" w:eastAsia="Arial" w:hAnsi="Arial"/>
                <w:sz w:val="18"/>
                <w:szCs w:val="18"/>
                <w:color w:val="auto"/>
              </w:rPr>
              <w:t>Section 11.3.</w:t>
            </w:r>
          </w:p>
        </w:tc>
        <w:tc>
          <w:tcPr>
            <w:tcW w:w="6900" w:type="dxa"/>
            <w:vAlign w:val="bottom"/>
          </w:tcPr>
          <w:p>
            <w:pPr>
              <w:ind w:left="80"/>
              <w:spacing w:after="0"/>
              <w:rPr>
                <w:sz w:val="20"/>
                <w:szCs w:val="20"/>
                <w:color w:val="auto"/>
              </w:rPr>
            </w:pPr>
            <w:r>
              <w:rPr>
                <w:rFonts w:ascii="Arial" w:cs="Arial" w:eastAsia="Arial" w:hAnsi="Arial"/>
                <w:sz w:val="18"/>
                <w:szCs w:val="18"/>
                <w:color w:val="auto"/>
              </w:rPr>
              <w:t>Redemption of Securities for Sinking Fund</w:t>
            </w: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6" w:name="page97"/>
    <w:bookmarkEnd w:id="96"/>
    <w:tbl>
      <w:tblPr>
        <w:tblLayout w:type="fixed"/>
        <w:tblInd w:w="15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6180" w:type="dxa"/>
            <w:vAlign w:val="bottom"/>
          </w:tcPr>
          <w:p>
            <w:pPr>
              <w:jc w:val="center"/>
              <w:ind w:right="450"/>
              <w:spacing w:after="0"/>
              <w:rPr>
                <w:sz w:val="20"/>
                <w:szCs w:val="20"/>
                <w:color w:val="auto"/>
              </w:rPr>
            </w:pPr>
            <w:r>
              <w:rPr>
                <w:rFonts w:ascii="Arial" w:cs="Arial" w:eastAsia="Arial" w:hAnsi="Arial"/>
                <w:sz w:val="18"/>
                <w:szCs w:val="18"/>
                <w:b w:val="1"/>
                <w:bCs w:val="1"/>
                <w:color w:val="auto"/>
                <w:w w:val="98"/>
              </w:rPr>
              <w:t>SELECTA BIOSCIENCES, INC.</w:t>
            </w:r>
          </w:p>
        </w:tc>
      </w:tr>
      <w:tr>
        <w:trPr>
          <w:trHeight w:val="418"/>
        </w:trPr>
        <w:tc>
          <w:tcPr>
            <w:tcW w:w="1300" w:type="dxa"/>
            <w:vAlign w:val="bottom"/>
          </w:tcPr>
          <w:p>
            <w:pPr>
              <w:spacing w:after="0"/>
              <w:rPr>
                <w:sz w:val="24"/>
                <w:szCs w:val="24"/>
                <w:color w:val="auto"/>
              </w:rPr>
            </w:pPr>
          </w:p>
        </w:tc>
        <w:tc>
          <w:tcPr>
            <w:tcW w:w="6180" w:type="dxa"/>
            <w:vAlign w:val="bottom"/>
          </w:tcPr>
          <w:p>
            <w:pPr>
              <w:jc w:val="center"/>
              <w:ind w:right="430"/>
              <w:spacing w:after="0"/>
              <w:rPr>
                <w:sz w:val="20"/>
                <w:szCs w:val="20"/>
                <w:color w:val="auto"/>
              </w:rPr>
            </w:pPr>
            <w:r>
              <w:rPr>
                <w:rFonts w:ascii="Arial" w:cs="Arial" w:eastAsia="Arial" w:hAnsi="Arial"/>
                <w:sz w:val="18"/>
                <w:szCs w:val="18"/>
                <w:color w:val="auto"/>
                <w:w w:val="91"/>
              </w:rPr>
              <w:t>Reconciliation and tie between Trust Indenture Act of 1939 and</w:t>
            </w:r>
          </w:p>
        </w:tc>
      </w:tr>
      <w:tr>
        <w:trPr>
          <w:trHeight w:val="230"/>
        </w:trPr>
        <w:tc>
          <w:tcPr>
            <w:tcW w:w="1300" w:type="dxa"/>
            <w:vAlign w:val="bottom"/>
          </w:tcPr>
          <w:p>
            <w:pPr>
              <w:spacing w:after="0"/>
              <w:rPr>
                <w:sz w:val="20"/>
                <w:szCs w:val="20"/>
                <w:color w:val="auto"/>
              </w:rPr>
            </w:pPr>
          </w:p>
        </w:tc>
        <w:tc>
          <w:tcPr>
            <w:tcW w:w="6180" w:type="dxa"/>
            <w:vAlign w:val="bottom"/>
          </w:tcPr>
          <w:p>
            <w:pPr>
              <w:jc w:val="center"/>
              <w:ind w:right="430"/>
              <w:spacing w:after="0"/>
              <w:rPr>
                <w:sz w:val="20"/>
                <w:szCs w:val="20"/>
                <w:color w:val="auto"/>
              </w:rPr>
            </w:pPr>
            <w:r>
              <w:rPr>
                <w:rFonts w:ascii="Arial" w:cs="Arial" w:eastAsia="Arial" w:hAnsi="Arial"/>
                <w:sz w:val="18"/>
                <w:szCs w:val="18"/>
                <w:color w:val="auto"/>
                <w:w w:val="89"/>
              </w:rPr>
              <w:t>Indenture, dated as of ____________, 20__</w:t>
            </w:r>
          </w:p>
        </w:tc>
      </w:tr>
      <w:tr>
        <w:trPr>
          <w:trHeight w:val="418"/>
        </w:trPr>
        <w:tc>
          <w:tcPr>
            <w:tcW w:w="1300" w:type="dxa"/>
            <w:vAlign w:val="bottom"/>
          </w:tcPr>
          <w:p>
            <w:pPr>
              <w:jc w:val="right"/>
              <w:ind w:right="450"/>
              <w:spacing w:after="0"/>
              <w:rPr>
                <w:sz w:val="20"/>
                <w:szCs w:val="20"/>
                <w:color w:val="auto"/>
              </w:rPr>
            </w:pPr>
            <w:r>
              <w:rPr>
                <w:rFonts w:ascii="Arial" w:cs="Arial" w:eastAsia="Arial" w:hAnsi="Arial"/>
                <w:sz w:val="18"/>
                <w:szCs w:val="18"/>
                <w:color w:val="auto"/>
                <w:w w:val="88"/>
              </w:rPr>
              <w:t>§310(a)(1)</w:t>
            </w:r>
          </w:p>
        </w:tc>
        <w:tc>
          <w:tcPr>
            <w:tcW w:w="6180" w:type="dxa"/>
            <w:vAlign w:val="bottom"/>
          </w:tcPr>
          <w:p>
            <w:pPr>
              <w:ind w:left="5080"/>
              <w:spacing w:after="0"/>
              <w:rPr>
                <w:sz w:val="20"/>
                <w:szCs w:val="20"/>
                <w:color w:val="auto"/>
              </w:rPr>
            </w:pPr>
            <w:r>
              <w:rPr>
                <w:rFonts w:ascii="Arial" w:cs="Arial" w:eastAsia="Arial" w:hAnsi="Arial"/>
                <w:sz w:val="18"/>
                <w:szCs w:val="18"/>
                <w:color w:val="auto"/>
              </w:rPr>
              <w:t>7.10</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(a)(2)</w:t>
            </w:r>
          </w:p>
        </w:tc>
        <w:tc>
          <w:tcPr>
            <w:tcW w:w="6180" w:type="dxa"/>
            <w:vAlign w:val="bottom"/>
          </w:tcPr>
          <w:p>
            <w:pPr>
              <w:ind w:left="5080"/>
              <w:spacing w:after="0"/>
              <w:rPr>
                <w:sz w:val="20"/>
                <w:szCs w:val="20"/>
                <w:color w:val="auto"/>
              </w:rPr>
            </w:pPr>
            <w:r>
              <w:rPr>
                <w:rFonts w:ascii="Arial" w:cs="Arial" w:eastAsia="Arial" w:hAnsi="Arial"/>
                <w:sz w:val="18"/>
                <w:szCs w:val="18"/>
                <w:color w:val="auto"/>
              </w:rPr>
              <w:t>7.10</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(a)(3)</w:t>
            </w:r>
          </w:p>
        </w:tc>
        <w:tc>
          <w:tcPr>
            <w:tcW w:w="6180" w:type="dxa"/>
            <w:vAlign w:val="bottom"/>
          </w:tcPr>
          <w:p>
            <w:pPr>
              <w:ind w:left="5080"/>
              <w:spacing w:after="0"/>
              <w:rPr>
                <w:sz w:val="20"/>
                <w:szCs w:val="20"/>
                <w:color w:val="auto"/>
              </w:rPr>
            </w:pPr>
            <w:r>
              <w:rPr>
                <w:rFonts w:ascii="Arial" w:cs="Arial" w:eastAsia="Arial" w:hAnsi="Arial"/>
                <w:sz w:val="18"/>
                <w:szCs w:val="18"/>
                <w:color w:val="auto"/>
                <w:w w:val="93"/>
              </w:rPr>
              <w:t>Not Applicable</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(a)(4)</w:t>
            </w:r>
          </w:p>
        </w:tc>
        <w:tc>
          <w:tcPr>
            <w:tcW w:w="6180" w:type="dxa"/>
            <w:vAlign w:val="bottom"/>
          </w:tcPr>
          <w:p>
            <w:pPr>
              <w:ind w:left="5080"/>
              <w:spacing w:after="0"/>
              <w:rPr>
                <w:sz w:val="20"/>
                <w:szCs w:val="20"/>
                <w:color w:val="auto"/>
              </w:rPr>
            </w:pPr>
            <w:r>
              <w:rPr>
                <w:rFonts w:ascii="Arial" w:cs="Arial" w:eastAsia="Arial" w:hAnsi="Arial"/>
                <w:sz w:val="18"/>
                <w:szCs w:val="18"/>
                <w:color w:val="auto"/>
                <w:w w:val="93"/>
              </w:rPr>
              <w:t>Not Applicable</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(a)(5)</w:t>
            </w:r>
          </w:p>
        </w:tc>
        <w:tc>
          <w:tcPr>
            <w:tcW w:w="6180" w:type="dxa"/>
            <w:vAlign w:val="bottom"/>
          </w:tcPr>
          <w:p>
            <w:pPr>
              <w:ind w:left="5080"/>
              <w:spacing w:after="0"/>
              <w:rPr>
                <w:sz w:val="20"/>
                <w:szCs w:val="20"/>
                <w:color w:val="auto"/>
              </w:rPr>
            </w:pPr>
            <w:r>
              <w:rPr>
                <w:rFonts w:ascii="Arial" w:cs="Arial" w:eastAsia="Arial" w:hAnsi="Arial"/>
                <w:sz w:val="18"/>
                <w:szCs w:val="18"/>
                <w:color w:val="auto"/>
              </w:rPr>
              <w:t>7.10</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6180" w:type="dxa"/>
            <w:vAlign w:val="bottom"/>
          </w:tcPr>
          <w:p>
            <w:pPr>
              <w:ind w:left="5080"/>
              <w:spacing w:after="0"/>
              <w:rPr>
                <w:sz w:val="20"/>
                <w:szCs w:val="20"/>
                <w:color w:val="auto"/>
              </w:rPr>
            </w:pPr>
            <w:r>
              <w:rPr>
                <w:rFonts w:ascii="Arial" w:cs="Arial" w:eastAsia="Arial" w:hAnsi="Arial"/>
                <w:sz w:val="18"/>
                <w:szCs w:val="18"/>
                <w:color w:val="auto"/>
              </w:rPr>
              <w:t>7.10</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§311(a)</w:t>
            </w:r>
          </w:p>
        </w:tc>
        <w:tc>
          <w:tcPr>
            <w:tcW w:w="6180" w:type="dxa"/>
            <w:vAlign w:val="bottom"/>
          </w:tcPr>
          <w:p>
            <w:pPr>
              <w:ind w:left="5080"/>
              <w:spacing w:after="0"/>
              <w:rPr>
                <w:sz w:val="20"/>
                <w:szCs w:val="20"/>
                <w:color w:val="auto"/>
              </w:rPr>
            </w:pPr>
            <w:r>
              <w:rPr>
                <w:rFonts w:ascii="Arial" w:cs="Arial" w:eastAsia="Arial" w:hAnsi="Arial"/>
                <w:sz w:val="18"/>
                <w:szCs w:val="18"/>
                <w:color w:val="auto"/>
              </w:rPr>
              <w:t>7.11</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6180" w:type="dxa"/>
            <w:vAlign w:val="bottom"/>
          </w:tcPr>
          <w:p>
            <w:pPr>
              <w:ind w:left="5080"/>
              <w:spacing w:after="0"/>
              <w:rPr>
                <w:sz w:val="20"/>
                <w:szCs w:val="20"/>
                <w:color w:val="auto"/>
              </w:rPr>
            </w:pPr>
            <w:r>
              <w:rPr>
                <w:rFonts w:ascii="Arial" w:cs="Arial" w:eastAsia="Arial" w:hAnsi="Arial"/>
                <w:sz w:val="18"/>
                <w:szCs w:val="18"/>
                <w:color w:val="auto"/>
              </w:rPr>
              <w:t>7.11</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(c)</w:t>
            </w:r>
          </w:p>
        </w:tc>
        <w:tc>
          <w:tcPr>
            <w:tcW w:w="6180" w:type="dxa"/>
            <w:vAlign w:val="bottom"/>
          </w:tcPr>
          <w:p>
            <w:pPr>
              <w:ind w:left="5080"/>
              <w:spacing w:after="0"/>
              <w:rPr>
                <w:sz w:val="20"/>
                <w:szCs w:val="20"/>
                <w:color w:val="auto"/>
              </w:rPr>
            </w:pPr>
            <w:r>
              <w:rPr>
                <w:rFonts w:ascii="Arial" w:cs="Arial" w:eastAsia="Arial" w:hAnsi="Arial"/>
                <w:sz w:val="18"/>
                <w:szCs w:val="18"/>
                <w:color w:val="auto"/>
                <w:w w:val="93"/>
              </w:rPr>
              <w:t>Not Applicable</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§312(a)</w:t>
            </w:r>
          </w:p>
        </w:tc>
        <w:tc>
          <w:tcPr>
            <w:tcW w:w="6180" w:type="dxa"/>
            <w:vAlign w:val="bottom"/>
          </w:tcPr>
          <w:p>
            <w:pPr>
              <w:ind w:left="5080"/>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6180" w:type="dxa"/>
            <w:vAlign w:val="bottom"/>
          </w:tcPr>
          <w:p>
            <w:pPr>
              <w:ind w:left="5080"/>
              <w:spacing w:after="0"/>
              <w:rPr>
                <w:sz w:val="20"/>
                <w:szCs w:val="20"/>
                <w:color w:val="auto"/>
              </w:rPr>
            </w:pPr>
            <w:r>
              <w:rPr>
                <w:rFonts w:ascii="Arial" w:cs="Arial" w:eastAsia="Arial" w:hAnsi="Arial"/>
                <w:sz w:val="18"/>
                <w:szCs w:val="18"/>
                <w:color w:val="auto"/>
              </w:rPr>
              <w:t>10.3</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(c)</w:t>
            </w:r>
          </w:p>
        </w:tc>
        <w:tc>
          <w:tcPr>
            <w:tcW w:w="6180" w:type="dxa"/>
            <w:vAlign w:val="bottom"/>
          </w:tcPr>
          <w:p>
            <w:pPr>
              <w:ind w:left="5080"/>
              <w:spacing w:after="0"/>
              <w:rPr>
                <w:sz w:val="20"/>
                <w:szCs w:val="20"/>
                <w:color w:val="auto"/>
              </w:rPr>
            </w:pPr>
            <w:r>
              <w:rPr>
                <w:rFonts w:ascii="Arial" w:cs="Arial" w:eastAsia="Arial" w:hAnsi="Arial"/>
                <w:sz w:val="18"/>
                <w:szCs w:val="18"/>
                <w:color w:val="auto"/>
              </w:rPr>
              <w:t>10.3</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§313(a)</w:t>
            </w:r>
          </w:p>
        </w:tc>
        <w:tc>
          <w:tcPr>
            <w:tcW w:w="6180" w:type="dxa"/>
            <w:vAlign w:val="bottom"/>
          </w:tcPr>
          <w:p>
            <w:pPr>
              <w:ind w:left="5080"/>
              <w:spacing w:after="0"/>
              <w:rPr>
                <w:sz w:val="20"/>
                <w:szCs w:val="20"/>
                <w:color w:val="auto"/>
              </w:rPr>
            </w:pPr>
            <w:r>
              <w:rPr>
                <w:rFonts w:ascii="Arial" w:cs="Arial" w:eastAsia="Arial" w:hAnsi="Arial"/>
                <w:sz w:val="18"/>
                <w:szCs w:val="18"/>
                <w:color w:val="auto"/>
              </w:rPr>
              <w:t>7.6</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(b)(1)</w:t>
            </w:r>
          </w:p>
        </w:tc>
        <w:tc>
          <w:tcPr>
            <w:tcW w:w="6180" w:type="dxa"/>
            <w:vAlign w:val="bottom"/>
          </w:tcPr>
          <w:p>
            <w:pPr>
              <w:ind w:left="5080"/>
              <w:spacing w:after="0"/>
              <w:rPr>
                <w:sz w:val="20"/>
                <w:szCs w:val="20"/>
                <w:color w:val="auto"/>
              </w:rPr>
            </w:pPr>
            <w:r>
              <w:rPr>
                <w:rFonts w:ascii="Arial" w:cs="Arial" w:eastAsia="Arial" w:hAnsi="Arial"/>
                <w:sz w:val="18"/>
                <w:szCs w:val="18"/>
                <w:color w:val="auto"/>
              </w:rPr>
              <w:t>7.6</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(b)(2)</w:t>
            </w:r>
          </w:p>
        </w:tc>
        <w:tc>
          <w:tcPr>
            <w:tcW w:w="6180" w:type="dxa"/>
            <w:vAlign w:val="bottom"/>
          </w:tcPr>
          <w:p>
            <w:pPr>
              <w:ind w:left="5080"/>
              <w:spacing w:after="0"/>
              <w:rPr>
                <w:sz w:val="20"/>
                <w:szCs w:val="20"/>
                <w:color w:val="auto"/>
              </w:rPr>
            </w:pPr>
            <w:r>
              <w:rPr>
                <w:rFonts w:ascii="Arial" w:cs="Arial" w:eastAsia="Arial" w:hAnsi="Arial"/>
                <w:sz w:val="18"/>
                <w:szCs w:val="18"/>
                <w:color w:val="auto"/>
              </w:rPr>
              <w:t>7.6</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(c)(1)</w:t>
            </w:r>
          </w:p>
        </w:tc>
        <w:tc>
          <w:tcPr>
            <w:tcW w:w="6180" w:type="dxa"/>
            <w:vAlign w:val="bottom"/>
          </w:tcPr>
          <w:p>
            <w:pPr>
              <w:ind w:left="5080"/>
              <w:spacing w:after="0"/>
              <w:rPr>
                <w:sz w:val="20"/>
                <w:szCs w:val="20"/>
                <w:color w:val="auto"/>
              </w:rPr>
            </w:pPr>
            <w:r>
              <w:rPr>
                <w:rFonts w:ascii="Arial" w:cs="Arial" w:eastAsia="Arial" w:hAnsi="Arial"/>
                <w:sz w:val="18"/>
                <w:szCs w:val="18"/>
                <w:color w:val="auto"/>
              </w:rPr>
              <w:t>7.6</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(d)</w:t>
            </w:r>
          </w:p>
        </w:tc>
        <w:tc>
          <w:tcPr>
            <w:tcW w:w="6180" w:type="dxa"/>
            <w:vAlign w:val="bottom"/>
          </w:tcPr>
          <w:p>
            <w:pPr>
              <w:ind w:left="5080"/>
              <w:spacing w:after="0"/>
              <w:rPr>
                <w:sz w:val="20"/>
                <w:szCs w:val="20"/>
                <w:color w:val="auto"/>
              </w:rPr>
            </w:pPr>
            <w:r>
              <w:rPr>
                <w:rFonts w:ascii="Arial" w:cs="Arial" w:eastAsia="Arial" w:hAnsi="Arial"/>
                <w:sz w:val="18"/>
                <w:szCs w:val="18"/>
                <w:color w:val="auto"/>
              </w:rPr>
              <w:t>7.6</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§314(a)</w:t>
            </w:r>
          </w:p>
        </w:tc>
        <w:tc>
          <w:tcPr>
            <w:tcW w:w="6180" w:type="dxa"/>
            <w:vAlign w:val="bottom"/>
          </w:tcPr>
          <w:p>
            <w:pPr>
              <w:ind w:left="5080"/>
              <w:spacing w:after="0"/>
              <w:rPr>
                <w:sz w:val="20"/>
                <w:szCs w:val="20"/>
                <w:color w:val="auto"/>
              </w:rPr>
            </w:pPr>
            <w:r>
              <w:rPr>
                <w:rFonts w:ascii="Arial" w:cs="Arial" w:eastAsia="Arial" w:hAnsi="Arial"/>
                <w:sz w:val="18"/>
                <w:szCs w:val="18"/>
                <w:color w:val="auto"/>
              </w:rPr>
              <w:t>4.2, 10.5</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6180" w:type="dxa"/>
            <w:vAlign w:val="bottom"/>
          </w:tcPr>
          <w:p>
            <w:pPr>
              <w:ind w:left="5080"/>
              <w:spacing w:after="0"/>
              <w:rPr>
                <w:sz w:val="20"/>
                <w:szCs w:val="20"/>
                <w:color w:val="auto"/>
              </w:rPr>
            </w:pPr>
            <w:r>
              <w:rPr>
                <w:rFonts w:ascii="Arial" w:cs="Arial" w:eastAsia="Arial" w:hAnsi="Arial"/>
                <w:sz w:val="18"/>
                <w:szCs w:val="18"/>
                <w:color w:val="auto"/>
                <w:w w:val="93"/>
              </w:rPr>
              <w:t>Not Applicable</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(c)(1)</w:t>
            </w:r>
          </w:p>
        </w:tc>
        <w:tc>
          <w:tcPr>
            <w:tcW w:w="6180" w:type="dxa"/>
            <w:vAlign w:val="bottom"/>
          </w:tcPr>
          <w:p>
            <w:pPr>
              <w:ind w:left="5080"/>
              <w:spacing w:after="0"/>
              <w:rPr>
                <w:sz w:val="20"/>
                <w:szCs w:val="20"/>
                <w:color w:val="auto"/>
              </w:rPr>
            </w:pPr>
            <w:r>
              <w:rPr>
                <w:rFonts w:ascii="Arial" w:cs="Arial" w:eastAsia="Arial" w:hAnsi="Arial"/>
                <w:sz w:val="18"/>
                <w:szCs w:val="18"/>
                <w:color w:val="auto"/>
              </w:rPr>
              <w:t>10.4</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(c)(2)</w:t>
            </w:r>
          </w:p>
        </w:tc>
        <w:tc>
          <w:tcPr>
            <w:tcW w:w="6180" w:type="dxa"/>
            <w:vAlign w:val="bottom"/>
          </w:tcPr>
          <w:p>
            <w:pPr>
              <w:ind w:left="5080"/>
              <w:spacing w:after="0"/>
              <w:rPr>
                <w:sz w:val="20"/>
                <w:szCs w:val="20"/>
                <w:color w:val="auto"/>
              </w:rPr>
            </w:pPr>
            <w:r>
              <w:rPr>
                <w:rFonts w:ascii="Arial" w:cs="Arial" w:eastAsia="Arial" w:hAnsi="Arial"/>
                <w:sz w:val="18"/>
                <w:szCs w:val="18"/>
                <w:color w:val="auto"/>
              </w:rPr>
              <w:t>10.4</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(c)(3)</w:t>
            </w:r>
          </w:p>
        </w:tc>
        <w:tc>
          <w:tcPr>
            <w:tcW w:w="6180" w:type="dxa"/>
            <w:vAlign w:val="bottom"/>
          </w:tcPr>
          <w:p>
            <w:pPr>
              <w:ind w:left="5080"/>
              <w:spacing w:after="0"/>
              <w:rPr>
                <w:sz w:val="20"/>
                <w:szCs w:val="20"/>
                <w:color w:val="auto"/>
              </w:rPr>
            </w:pPr>
            <w:r>
              <w:rPr>
                <w:rFonts w:ascii="Arial" w:cs="Arial" w:eastAsia="Arial" w:hAnsi="Arial"/>
                <w:sz w:val="18"/>
                <w:szCs w:val="18"/>
                <w:color w:val="auto"/>
                <w:w w:val="93"/>
              </w:rPr>
              <w:t>Not Applicable</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(d)</w:t>
            </w:r>
          </w:p>
        </w:tc>
        <w:tc>
          <w:tcPr>
            <w:tcW w:w="6180" w:type="dxa"/>
            <w:vAlign w:val="bottom"/>
          </w:tcPr>
          <w:p>
            <w:pPr>
              <w:ind w:left="5080"/>
              <w:spacing w:after="0"/>
              <w:rPr>
                <w:sz w:val="20"/>
                <w:szCs w:val="20"/>
                <w:color w:val="auto"/>
              </w:rPr>
            </w:pPr>
            <w:r>
              <w:rPr>
                <w:rFonts w:ascii="Arial" w:cs="Arial" w:eastAsia="Arial" w:hAnsi="Arial"/>
                <w:sz w:val="18"/>
                <w:szCs w:val="18"/>
                <w:color w:val="auto"/>
                <w:w w:val="93"/>
              </w:rPr>
              <w:t>Not Applicable</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(e)</w:t>
            </w:r>
          </w:p>
        </w:tc>
        <w:tc>
          <w:tcPr>
            <w:tcW w:w="6180" w:type="dxa"/>
            <w:vAlign w:val="bottom"/>
          </w:tcPr>
          <w:p>
            <w:pPr>
              <w:ind w:left="5080"/>
              <w:spacing w:after="0"/>
              <w:rPr>
                <w:sz w:val="20"/>
                <w:szCs w:val="20"/>
                <w:color w:val="auto"/>
              </w:rPr>
            </w:pPr>
            <w:r>
              <w:rPr>
                <w:rFonts w:ascii="Arial" w:cs="Arial" w:eastAsia="Arial" w:hAnsi="Arial"/>
                <w:sz w:val="18"/>
                <w:szCs w:val="18"/>
                <w:color w:val="auto"/>
              </w:rPr>
              <w:t>10.5</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(f)</w:t>
            </w:r>
          </w:p>
        </w:tc>
        <w:tc>
          <w:tcPr>
            <w:tcW w:w="6180" w:type="dxa"/>
            <w:vAlign w:val="bottom"/>
          </w:tcPr>
          <w:p>
            <w:pPr>
              <w:ind w:left="5080"/>
              <w:spacing w:after="0"/>
              <w:rPr>
                <w:sz w:val="20"/>
                <w:szCs w:val="20"/>
                <w:color w:val="auto"/>
              </w:rPr>
            </w:pPr>
            <w:r>
              <w:rPr>
                <w:rFonts w:ascii="Arial" w:cs="Arial" w:eastAsia="Arial" w:hAnsi="Arial"/>
                <w:sz w:val="18"/>
                <w:szCs w:val="18"/>
                <w:color w:val="auto"/>
                <w:w w:val="93"/>
              </w:rPr>
              <w:t>Not Applicable</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§315(a)</w:t>
            </w:r>
          </w:p>
        </w:tc>
        <w:tc>
          <w:tcPr>
            <w:tcW w:w="6180" w:type="dxa"/>
            <w:vAlign w:val="bottom"/>
          </w:tcPr>
          <w:p>
            <w:pPr>
              <w:ind w:left="5080"/>
              <w:spacing w:after="0"/>
              <w:rPr>
                <w:sz w:val="20"/>
                <w:szCs w:val="20"/>
                <w:color w:val="auto"/>
              </w:rPr>
            </w:pPr>
            <w:r>
              <w:rPr>
                <w:rFonts w:ascii="Arial" w:cs="Arial" w:eastAsia="Arial" w:hAnsi="Arial"/>
                <w:sz w:val="18"/>
                <w:szCs w:val="18"/>
                <w:color w:val="auto"/>
              </w:rPr>
              <w:t>7.1</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6180" w:type="dxa"/>
            <w:vAlign w:val="bottom"/>
          </w:tcPr>
          <w:p>
            <w:pPr>
              <w:ind w:left="5080"/>
              <w:spacing w:after="0"/>
              <w:rPr>
                <w:sz w:val="20"/>
                <w:szCs w:val="20"/>
                <w:color w:val="auto"/>
              </w:rPr>
            </w:pPr>
            <w:r>
              <w:rPr>
                <w:rFonts w:ascii="Arial" w:cs="Arial" w:eastAsia="Arial" w:hAnsi="Arial"/>
                <w:sz w:val="18"/>
                <w:szCs w:val="18"/>
                <w:color w:val="auto"/>
              </w:rPr>
              <w:t>7.5</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(c)</w:t>
            </w:r>
          </w:p>
        </w:tc>
        <w:tc>
          <w:tcPr>
            <w:tcW w:w="6180" w:type="dxa"/>
            <w:vAlign w:val="bottom"/>
          </w:tcPr>
          <w:p>
            <w:pPr>
              <w:ind w:left="5080"/>
              <w:spacing w:after="0"/>
              <w:rPr>
                <w:sz w:val="20"/>
                <w:szCs w:val="20"/>
                <w:color w:val="auto"/>
              </w:rPr>
            </w:pPr>
            <w:r>
              <w:rPr>
                <w:rFonts w:ascii="Arial" w:cs="Arial" w:eastAsia="Arial" w:hAnsi="Arial"/>
                <w:sz w:val="18"/>
                <w:szCs w:val="18"/>
                <w:color w:val="auto"/>
              </w:rPr>
              <w:t>7.1</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(d)</w:t>
            </w:r>
          </w:p>
        </w:tc>
        <w:tc>
          <w:tcPr>
            <w:tcW w:w="6180" w:type="dxa"/>
            <w:vAlign w:val="bottom"/>
          </w:tcPr>
          <w:p>
            <w:pPr>
              <w:ind w:left="5080"/>
              <w:spacing w:after="0"/>
              <w:rPr>
                <w:sz w:val="20"/>
                <w:szCs w:val="20"/>
                <w:color w:val="auto"/>
              </w:rPr>
            </w:pPr>
            <w:r>
              <w:rPr>
                <w:rFonts w:ascii="Arial" w:cs="Arial" w:eastAsia="Arial" w:hAnsi="Arial"/>
                <w:sz w:val="18"/>
                <w:szCs w:val="18"/>
                <w:color w:val="auto"/>
              </w:rPr>
              <w:t>7.1</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(e)</w:t>
            </w:r>
          </w:p>
        </w:tc>
        <w:tc>
          <w:tcPr>
            <w:tcW w:w="6180" w:type="dxa"/>
            <w:vAlign w:val="bottom"/>
          </w:tcPr>
          <w:p>
            <w:pPr>
              <w:ind w:left="5080"/>
              <w:spacing w:after="0"/>
              <w:rPr>
                <w:sz w:val="20"/>
                <w:szCs w:val="20"/>
                <w:color w:val="auto"/>
              </w:rPr>
            </w:pPr>
            <w:r>
              <w:rPr>
                <w:rFonts w:ascii="Arial" w:cs="Arial" w:eastAsia="Arial" w:hAnsi="Arial"/>
                <w:sz w:val="18"/>
                <w:szCs w:val="18"/>
                <w:color w:val="auto"/>
              </w:rPr>
              <w:t>6.14</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§316(a)</w:t>
            </w:r>
          </w:p>
        </w:tc>
        <w:tc>
          <w:tcPr>
            <w:tcW w:w="6180" w:type="dxa"/>
            <w:vAlign w:val="bottom"/>
          </w:tcPr>
          <w:p>
            <w:pPr>
              <w:ind w:left="5080"/>
              <w:spacing w:after="0"/>
              <w:rPr>
                <w:sz w:val="20"/>
                <w:szCs w:val="20"/>
                <w:color w:val="auto"/>
              </w:rPr>
            </w:pPr>
            <w:r>
              <w:rPr>
                <w:rFonts w:ascii="Arial" w:cs="Arial" w:eastAsia="Arial" w:hAnsi="Arial"/>
                <w:sz w:val="18"/>
                <w:szCs w:val="18"/>
                <w:color w:val="auto"/>
              </w:rPr>
              <w:t>2.10</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(a)(1)(A)</w:t>
            </w:r>
          </w:p>
        </w:tc>
        <w:tc>
          <w:tcPr>
            <w:tcW w:w="6180" w:type="dxa"/>
            <w:vAlign w:val="bottom"/>
          </w:tcPr>
          <w:p>
            <w:pPr>
              <w:ind w:left="5080"/>
              <w:spacing w:after="0"/>
              <w:rPr>
                <w:sz w:val="20"/>
                <w:szCs w:val="20"/>
                <w:color w:val="auto"/>
              </w:rPr>
            </w:pPr>
            <w:r>
              <w:rPr>
                <w:rFonts w:ascii="Arial" w:cs="Arial" w:eastAsia="Arial" w:hAnsi="Arial"/>
                <w:sz w:val="18"/>
                <w:szCs w:val="18"/>
                <w:color w:val="auto"/>
              </w:rPr>
              <w:t>6.12</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(a)(1)(B)</w:t>
            </w:r>
          </w:p>
        </w:tc>
        <w:tc>
          <w:tcPr>
            <w:tcW w:w="6180" w:type="dxa"/>
            <w:vAlign w:val="bottom"/>
          </w:tcPr>
          <w:p>
            <w:pPr>
              <w:ind w:left="5080"/>
              <w:spacing w:after="0"/>
              <w:rPr>
                <w:sz w:val="20"/>
                <w:szCs w:val="20"/>
                <w:color w:val="auto"/>
              </w:rPr>
            </w:pPr>
            <w:r>
              <w:rPr>
                <w:rFonts w:ascii="Arial" w:cs="Arial" w:eastAsia="Arial" w:hAnsi="Arial"/>
                <w:sz w:val="18"/>
                <w:szCs w:val="18"/>
                <w:color w:val="auto"/>
              </w:rPr>
              <w:t>6.13</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6180" w:type="dxa"/>
            <w:vAlign w:val="bottom"/>
          </w:tcPr>
          <w:p>
            <w:pPr>
              <w:ind w:left="5080"/>
              <w:spacing w:after="0"/>
              <w:rPr>
                <w:sz w:val="20"/>
                <w:szCs w:val="20"/>
                <w:color w:val="auto"/>
              </w:rPr>
            </w:pPr>
            <w:r>
              <w:rPr>
                <w:rFonts w:ascii="Arial" w:cs="Arial" w:eastAsia="Arial" w:hAnsi="Arial"/>
                <w:sz w:val="18"/>
                <w:szCs w:val="18"/>
                <w:color w:val="auto"/>
              </w:rPr>
              <w:t>6.8</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w w:val="88"/>
              </w:rPr>
              <w:t>§317(a)(1)</w:t>
            </w:r>
          </w:p>
        </w:tc>
        <w:tc>
          <w:tcPr>
            <w:tcW w:w="6180" w:type="dxa"/>
            <w:vAlign w:val="bottom"/>
          </w:tcPr>
          <w:p>
            <w:pPr>
              <w:ind w:left="5080"/>
              <w:spacing w:after="0"/>
              <w:rPr>
                <w:sz w:val="20"/>
                <w:szCs w:val="20"/>
                <w:color w:val="auto"/>
              </w:rPr>
            </w:pPr>
            <w:r>
              <w:rPr>
                <w:rFonts w:ascii="Arial" w:cs="Arial" w:eastAsia="Arial" w:hAnsi="Arial"/>
                <w:sz w:val="18"/>
                <w:szCs w:val="18"/>
                <w:color w:val="auto"/>
              </w:rPr>
              <w:t>6.3</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(a)(2)</w:t>
            </w:r>
          </w:p>
        </w:tc>
        <w:tc>
          <w:tcPr>
            <w:tcW w:w="6180" w:type="dxa"/>
            <w:vAlign w:val="bottom"/>
          </w:tcPr>
          <w:p>
            <w:pPr>
              <w:ind w:left="5080"/>
              <w:spacing w:after="0"/>
              <w:rPr>
                <w:sz w:val="20"/>
                <w:szCs w:val="20"/>
                <w:color w:val="auto"/>
              </w:rPr>
            </w:pPr>
            <w:r>
              <w:rPr>
                <w:rFonts w:ascii="Arial" w:cs="Arial" w:eastAsia="Arial" w:hAnsi="Arial"/>
                <w:sz w:val="18"/>
                <w:szCs w:val="18"/>
                <w:color w:val="auto"/>
              </w:rPr>
              <w:t>6.4</w:t>
            </w:r>
          </w:p>
        </w:tc>
      </w:tr>
      <w:tr>
        <w:trPr>
          <w:trHeight w:val="216"/>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(b)</w:t>
            </w:r>
          </w:p>
        </w:tc>
        <w:tc>
          <w:tcPr>
            <w:tcW w:w="6180" w:type="dxa"/>
            <w:vAlign w:val="bottom"/>
          </w:tcPr>
          <w:p>
            <w:pPr>
              <w:ind w:left="5080"/>
              <w:spacing w:after="0"/>
              <w:rPr>
                <w:sz w:val="20"/>
                <w:szCs w:val="20"/>
                <w:color w:val="auto"/>
              </w:rPr>
            </w:pPr>
            <w:r>
              <w:rPr>
                <w:rFonts w:ascii="Arial" w:cs="Arial" w:eastAsia="Arial" w:hAnsi="Arial"/>
                <w:sz w:val="18"/>
                <w:szCs w:val="18"/>
                <w:color w:val="auto"/>
              </w:rPr>
              <w:t>2.5</w:t>
            </w:r>
          </w:p>
        </w:tc>
      </w:tr>
      <w:tr>
        <w:trPr>
          <w:trHeight w:val="230"/>
        </w:trPr>
        <w:tc>
          <w:tcPr>
            <w:tcW w:w="1300" w:type="dxa"/>
            <w:vAlign w:val="bottom"/>
          </w:tcPr>
          <w:p>
            <w:pPr>
              <w:jc w:val="right"/>
              <w:ind w:right="450"/>
              <w:spacing w:after="0"/>
              <w:rPr>
                <w:sz w:val="20"/>
                <w:szCs w:val="20"/>
                <w:color w:val="auto"/>
              </w:rPr>
            </w:pPr>
            <w:r>
              <w:rPr>
                <w:rFonts w:ascii="Arial" w:cs="Arial" w:eastAsia="Arial" w:hAnsi="Arial"/>
                <w:sz w:val="18"/>
                <w:szCs w:val="18"/>
                <w:color w:val="auto"/>
              </w:rPr>
              <w:t>§318(a)</w:t>
            </w:r>
          </w:p>
        </w:tc>
        <w:tc>
          <w:tcPr>
            <w:tcW w:w="6180" w:type="dxa"/>
            <w:vAlign w:val="bottom"/>
          </w:tcPr>
          <w:p>
            <w:pPr>
              <w:ind w:left="508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7" w:name="page98"/>
    <w:bookmarkEnd w:id="97"/>
    <w:p>
      <w:pPr>
        <w:ind w:left="1300"/>
        <w:spacing w:after="0"/>
        <w:rPr>
          <w:sz w:val="20"/>
          <w:szCs w:val="20"/>
          <w:color w:val="auto"/>
        </w:rPr>
      </w:pPr>
      <w:r>
        <w:rPr>
          <w:rFonts w:ascii="Arial" w:cs="Arial" w:eastAsia="Arial" w:hAnsi="Arial"/>
          <w:sz w:val="17"/>
          <w:szCs w:val="17"/>
          <w:color w:val="auto"/>
        </w:rPr>
        <w:t>Indenture dated as of __________, 20__ between Selecta Biosciences, Inc., a company incorporated under the laws of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and [______]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means any and all shares, interests, participations, rights or other equivalents (however designated) of corporate stock.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principally administered.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8" w:name="page99"/>
    <w:bookmarkEnd w:id="98"/>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with respect to any Discount Security which by its terms bears interest only after Maturity, means interest payable after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the Security.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340" w:type="dxa"/>
            <w:vAlign w:val="bottom"/>
            <w:gridSpan w:val="2"/>
          </w:tcPr>
          <w:p>
            <w:pPr>
              <w:ind w:left="80"/>
              <w:spacing w:after="0"/>
              <w:rPr>
                <w:sz w:val="20"/>
                <w:szCs w:val="20"/>
                <w:color w:val="auto"/>
              </w:rPr>
            </w:pPr>
            <w:r>
              <w:rPr>
                <w:rFonts w:ascii="Arial" w:cs="Arial" w:eastAsia="Arial" w:hAnsi="Arial"/>
                <w:sz w:val="18"/>
                <w:szCs w:val="18"/>
                <w:color w:val="auto"/>
              </w:rPr>
              <w:t>Section 1.2.</w:t>
            </w:r>
          </w:p>
        </w:tc>
        <w:tc>
          <w:tcPr>
            <w:tcW w:w="5240" w:type="dxa"/>
            <w:vAlign w:val="bottom"/>
            <w:gridSpan w:val="3"/>
          </w:tcPr>
          <w:p>
            <w:pPr>
              <w:spacing w:after="0"/>
              <w:rPr>
                <w:sz w:val="20"/>
                <w:szCs w:val="20"/>
                <w:color w:val="auto"/>
              </w:rPr>
            </w:pPr>
            <w:r>
              <w:rPr>
                <w:rFonts w:ascii="Arial" w:cs="Arial" w:eastAsia="Arial" w:hAnsi="Arial"/>
                <w:sz w:val="18"/>
                <w:szCs w:val="18"/>
                <w:color w:val="auto"/>
              </w:rPr>
              <w:t>Other Definitions.</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TERM</w:t>
            </w:r>
          </w:p>
        </w:tc>
        <w:tc>
          <w:tcPr>
            <w:tcW w:w="126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80" w:type="dxa"/>
            <w:vAlign w:val="bottom"/>
            <w:gridSpan w:val="3"/>
          </w:tcPr>
          <w:p>
            <w:pPr>
              <w:jc w:val="center"/>
              <w:ind w:left="1490"/>
              <w:spacing w:after="0"/>
              <w:rPr>
                <w:sz w:val="20"/>
                <w:szCs w:val="20"/>
                <w:color w:val="auto"/>
              </w:rPr>
            </w:pPr>
            <w:r>
              <w:rPr>
                <w:rFonts w:ascii="Arial" w:cs="Arial" w:eastAsia="Arial" w:hAnsi="Arial"/>
                <w:sz w:val="18"/>
                <w:szCs w:val="18"/>
                <w:color w:val="auto"/>
                <w:w w:val="97"/>
              </w:rPr>
              <w:t>DEFINED IN</w:t>
            </w:r>
          </w:p>
        </w:tc>
      </w:tr>
      <w:tr>
        <w:trPr>
          <w:trHeight w:val="196"/>
        </w:trPr>
        <w:tc>
          <w:tcPr>
            <w:tcW w:w="50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4"/>
              </w:rPr>
              <w:t>SECTION</w:t>
            </w:r>
          </w:p>
        </w:tc>
      </w:tr>
      <w:tr>
        <w:trPr>
          <w:trHeight w:val="438"/>
        </w:trPr>
        <w:tc>
          <w:tcPr>
            <w:tcW w:w="6580" w:type="dxa"/>
            <w:vAlign w:val="bottom"/>
            <w:gridSpan w:val="5"/>
          </w:tcPr>
          <w:p>
            <w:pPr>
              <w:spacing w:after="0"/>
              <w:rPr>
                <w:sz w:val="20"/>
                <w:szCs w:val="20"/>
                <w:color w:val="auto"/>
              </w:rPr>
            </w:pPr>
            <w:r>
              <w:rPr>
                <w:rFonts w:ascii="Arial" w:cs="Arial" w:eastAsia="Arial" w:hAnsi="Arial"/>
                <w:sz w:val="18"/>
                <w:szCs w:val="18"/>
                <w:i w:val="1"/>
                <w:iCs w:val="1"/>
                <w:color w:val="auto"/>
              </w:rPr>
              <w:t>“Bankruptcy Law”</w:t>
            </w:r>
          </w:p>
        </w:tc>
        <w:tc>
          <w:tcPr>
            <w:tcW w:w="170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6.1</w:t>
            </w:r>
          </w:p>
        </w:tc>
        <w:tc>
          <w:tcPr>
            <w:tcW w:w="120" w:type="dxa"/>
            <w:vAlign w:val="bottom"/>
          </w:tcPr>
          <w:p>
            <w:pPr>
              <w:spacing w:after="0"/>
              <w:rPr>
                <w:sz w:val="24"/>
                <w:szCs w:val="24"/>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i w:val="1"/>
                <w:iCs w:val="1"/>
                <w:color w:val="auto"/>
              </w:rPr>
              <w:t>“Custodian”</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95"/>
              </w:rPr>
              <w:t>6.1</w:t>
            </w:r>
          </w:p>
        </w:tc>
        <w:tc>
          <w:tcPr>
            <w:tcW w:w="120" w:type="dxa"/>
            <w:vAlign w:val="bottom"/>
          </w:tcPr>
          <w:p>
            <w:pPr>
              <w:spacing w:after="0"/>
              <w:rPr>
                <w:sz w:val="18"/>
                <w:szCs w:val="18"/>
                <w:color w:val="auto"/>
              </w:rPr>
            </w:pPr>
          </w:p>
        </w:tc>
      </w:tr>
      <w:tr>
        <w:trPr>
          <w:trHeight w:val="216"/>
        </w:trPr>
        <w:tc>
          <w:tcPr>
            <w:tcW w:w="6580" w:type="dxa"/>
            <w:vAlign w:val="bottom"/>
            <w:gridSpan w:val="5"/>
          </w:tcPr>
          <w:p>
            <w:pPr>
              <w:spacing w:after="0"/>
              <w:rPr>
                <w:sz w:val="20"/>
                <w:szCs w:val="20"/>
                <w:color w:val="auto"/>
              </w:rPr>
            </w:pPr>
            <w:r>
              <w:rPr>
                <w:rFonts w:ascii="Arial" w:cs="Arial" w:eastAsia="Arial" w:hAnsi="Arial"/>
                <w:sz w:val="18"/>
                <w:szCs w:val="18"/>
                <w:i w:val="1"/>
                <w:iCs w:val="1"/>
                <w:color w:val="auto"/>
              </w:rPr>
              <w:t>“Event of Default”</w:t>
            </w: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95"/>
              </w:rPr>
              <w:t>6.1</w:t>
            </w:r>
          </w:p>
        </w:tc>
        <w:tc>
          <w:tcPr>
            <w:tcW w:w="120" w:type="dxa"/>
            <w:vAlign w:val="bottom"/>
          </w:tcPr>
          <w:p>
            <w:pPr>
              <w:spacing w:after="0"/>
              <w:rPr>
                <w:sz w:val="18"/>
                <w:szCs w:val="18"/>
                <w:color w:val="auto"/>
              </w:rPr>
            </w:pPr>
          </w:p>
        </w:tc>
      </w:tr>
      <w:tr>
        <w:trPr>
          <w:trHeight w:val="216"/>
        </w:trPr>
        <w:tc>
          <w:tcPr>
            <w:tcW w:w="6580" w:type="dxa"/>
            <w:vAlign w:val="bottom"/>
            <w:gridSpan w:val="5"/>
          </w:tcPr>
          <w:p>
            <w:pPr>
              <w:spacing w:after="0"/>
              <w:rPr>
                <w:sz w:val="20"/>
                <w:szCs w:val="20"/>
                <w:color w:val="auto"/>
              </w:rPr>
            </w:pPr>
            <w:r>
              <w:rPr>
                <w:rFonts w:ascii="Arial" w:cs="Arial" w:eastAsia="Arial" w:hAnsi="Arial"/>
                <w:sz w:val="18"/>
                <w:szCs w:val="18"/>
                <w:i w:val="1"/>
                <w:iCs w:val="1"/>
                <w:color w:val="auto"/>
              </w:rPr>
              <w:t>“Judgment Currency”</w:t>
            </w: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18"/>
                <w:szCs w:val="18"/>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i w:val="1"/>
                <w:iCs w:val="1"/>
                <w:color w:val="auto"/>
              </w:rPr>
              <w:t>“Legal Holiday”</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18"/>
                <w:szCs w:val="18"/>
                <w:color w:val="auto"/>
              </w:rPr>
            </w:pPr>
          </w:p>
        </w:tc>
      </w:tr>
      <w:tr>
        <w:trPr>
          <w:trHeight w:val="216"/>
        </w:trPr>
        <w:tc>
          <w:tcPr>
            <w:tcW w:w="6580" w:type="dxa"/>
            <w:vAlign w:val="bottom"/>
            <w:gridSpan w:val="5"/>
          </w:tcPr>
          <w:p>
            <w:pPr>
              <w:spacing w:after="0"/>
              <w:rPr>
                <w:sz w:val="20"/>
                <w:szCs w:val="20"/>
                <w:color w:val="auto"/>
              </w:rPr>
            </w:pPr>
            <w:r>
              <w:rPr>
                <w:rFonts w:ascii="Arial" w:cs="Arial" w:eastAsia="Arial" w:hAnsi="Arial"/>
                <w:sz w:val="18"/>
                <w:szCs w:val="18"/>
                <w:i w:val="1"/>
                <w:iCs w:val="1"/>
                <w:color w:val="auto"/>
              </w:rPr>
              <w:t>“mandatory sinking fund payment”</w:t>
            </w: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91"/>
              </w:rPr>
              <w:t>11.1</w:t>
            </w:r>
          </w:p>
        </w:tc>
        <w:tc>
          <w:tcPr>
            <w:tcW w:w="120" w:type="dxa"/>
            <w:vAlign w:val="bottom"/>
          </w:tcPr>
          <w:p>
            <w:pPr>
              <w:spacing w:after="0"/>
              <w:rPr>
                <w:sz w:val="18"/>
                <w:szCs w:val="18"/>
                <w:color w:val="auto"/>
              </w:rPr>
            </w:pPr>
          </w:p>
        </w:tc>
      </w:tr>
      <w:tr>
        <w:trPr>
          <w:trHeight w:val="216"/>
        </w:trPr>
        <w:tc>
          <w:tcPr>
            <w:tcW w:w="6580" w:type="dxa"/>
            <w:vAlign w:val="bottom"/>
            <w:gridSpan w:val="5"/>
          </w:tcPr>
          <w:p>
            <w:pPr>
              <w:spacing w:after="0"/>
              <w:rPr>
                <w:sz w:val="20"/>
                <w:szCs w:val="20"/>
                <w:color w:val="auto"/>
              </w:rPr>
            </w:pPr>
            <w:r>
              <w:rPr>
                <w:rFonts w:ascii="Arial" w:cs="Arial" w:eastAsia="Arial" w:hAnsi="Arial"/>
                <w:sz w:val="18"/>
                <w:szCs w:val="18"/>
                <w:i w:val="1"/>
                <w:iCs w:val="1"/>
                <w:color w:val="auto"/>
              </w:rPr>
              <w:t>“New York Banking Day”</w:t>
            </w: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18"/>
                <w:szCs w:val="18"/>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i w:val="1"/>
                <w:iCs w:val="1"/>
                <w:color w:val="auto"/>
              </w:rPr>
              <w:t>“Notice Agent”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18"/>
                <w:szCs w:val="18"/>
                <w:color w:val="auto"/>
              </w:rPr>
            </w:pPr>
          </w:p>
        </w:tc>
      </w:tr>
      <w:tr>
        <w:trPr>
          <w:trHeight w:val="216"/>
        </w:trPr>
        <w:tc>
          <w:tcPr>
            <w:tcW w:w="6580" w:type="dxa"/>
            <w:vAlign w:val="bottom"/>
            <w:gridSpan w:val="5"/>
          </w:tcPr>
          <w:p>
            <w:pPr>
              <w:spacing w:after="0"/>
              <w:rPr>
                <w:sz w:val="20"/>
                <w:szCs w:val="20"/>
                <w:color w:val="auto"/>
              </w:rPr>
            </w:pPr>
            <w:r>
              <w:rPr>
                <w:rFonts w:ascii="Arial" w:cs="Arial" w:eastAsia="Arial" w:hAnsi="Arial"/>
                <w:sz w:val="18"/>
                <w:szCs w:val="18"/>
                <w:i w:val="1"/>
                <w:iCs w:val="1"/>
                <w:color w:val="auto"/>
              </w:rPr>
              <w:t>“optional sinking fund payment”</w:t>
            </w: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91"/>
              </w:rPr>
              <w:t>11.1</w:t>
            </w:r>
          </w:p>
        </w:tc>
        <w:tc>
          <w:tcPr>
            <w:tcW w:w="120" w:type="dxa"/>
            <w:vAlign w:val="bottom"/>
          </w:tcPr>
          <w:p>
            <w:pPr>
              <w:spacing w:after="0"/>
              <w:rPr>
                <w:sz w:val="18"/>
                <w:szCs w:val="18"/>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18"/>
                <w:szCs w:val="18"/>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i w:val="1"/>
                <w:iCs w:val="1"/>
                <w:color w:val="auto"/>
              </w:rPr>
              <w:t>“Registrar”</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18"/>
                <w:szCs w:val="18"/>
                <w:color w:val="auto"/>
              </w:rPr>
            </w:pPr>
          </w:p>
        </w:tc>
      </w:tr>
      <w:tr>
        <w:trPr>
          <w:trHeight w:val="216"/>
        </w:trPr>
        <w:tc>
          <w:tcPr>
            <w:tcW w:w="6580" w:type="dxa"/>
            <w:vAlign w:val="bottom"/>
            <w:gridSpan w:val="5"/>
          </w:tcPr>
          <w:p>
            <w:pPr>
              <w:spacing w:after="0"/>
              <w:rPr>
                <w:sz w:val="20"/>
                <w:szCs w:val="20"/>
                <w:color w:val="auto"/>
              </w:rPr>
            </w:pPr>
            <w:r>
              <w:rPr>
                <w:rFonts w:ascii="Arial" w:cs="Arial" w:eastAsia="Arial" w:hAnsi="Arial"/>
                <w:sz w:val="18"/>
                <w:szCs w:val="18"/>
                <w:i w:val="1"/>
                <w:iCs w:val="1"/>
                <w:color w:val="auto"/>
              </w:rPr>
              <w:t>“Required Currency”</w:t>
            </w: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18"/>
                <w:szCs w:val="18"/>
                <w:color w:val="auto"/>
              </w:rPr>
            </w:pPr>
          </w:p>
        </w:tc>
      </w:tr>
      <w:tr>
        <w:trPr>
          <w:trHeight w:val="216"/>
        </w:trPr>
        <w:tc>
          <w:tcPr>
            <w:tcW w:w="6580" w:type="dxa"/>
            <w:vAlign w:val="bottom"/>
            <w:gridSpan w:val="5"/>
          </w:tcPr>
          <w:p>
            <w:pPr>
              <w:spacing w:after="0"/>
              <w:rPr>
                <w:sz w:val="20"/>
                <w:szCs w:val="20"/>
                <w:color w:val="auto"/>
              </w:rPr>
            </w:pPr>
            <w:r>
              <w:rPr>
                <w:rFonts w:ascii="Arial" w:cs="Arial" w:eastAsia="Arial" w:hAnsi="Arial"/>
                <w:sz w:val="18"/>
                <w:szCs w:val="18"/>
                <w:i w:val="1"/>
                <w:iCs w:val="1"/>
                <w:color w:val="auto"/>
              </w:rPr>
              <w:t>“Specified Courts”</w:t>
            </w: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8"/>
                <w:szCs w:val="18"/>
                <w:color w:val="auto"/>
              </w:rPr>
            </w:pPr>
          </w:p>
        </w:tc>
      </w:tr>
      <w:tr>
        <w:trPr>
          <w:trHeight w:val="230"/>
        </w:trPr>
        <w:tc>
          <w:tcPr>
            <w:tcW w:w="6580" w:type="dxa"/>
            <w:vAlign w:val="bottom"/>
            <w:gridSpan w:val="5"/>
          </w:tcPr>
          <w:p>
            <w:pPr>
              <w:spacing w:after="0"/>
              <w:rPr>
                <w:sz w:val="20"/>
                <w:szCs w:val="20"/>
                <w:color w:val="auto"/>
              </w:rPr>
            </w:pPr>
            <w:r>
              <w:rPr>
                <w:rFonts w:ascii="Arial" w:cs="Arial" w:eastAsia="Arial" w:hAnsi="Arial"/>
                <w:sz w:val="18"/>
                <w:szCs w:val="18"/>
                <w:i w:val="1"/>
                <w:iCs w:val="1"/>
                <w:color w:val="auto"/>
              </w:rPr>
              <w:t>“successor person”</w:t>
            </w:r>
          </w:p>
        </w:tc>
        <w:tc>
          <w:tcPr>
            <w:tcW w:w="2460" w:type="dxa"/>
            <w:vAlign w:val="bottom"/>
            <w:gridSpan w:val="2"/>
          </w:tcPr>
          <w:p>
            <w:pPr>
              <w:jc w:val="center"/>
              <w:ind w:left="1610"/>
              <w:spacing w:after="0"/>
              <w:rPr>
                <w:sz w:val="20"/>
                <w:szCs w:val="20"/>
                <w:color w:val="auto"/>
              </w:rPr>
            </w:pPr>
            <w:r>
              <w:rPr>
                <w:rFonts w:ascii="Arial" w:cs="Arial" w:eastAsia="Arial" w:hAnsi="Arial"/>
                <w:sz w:val="18"/>
                <w:szCs w:val="18"/>
                <w:color w:val="auto"/>
                <w:w w:val="95"/>
              </w:rPr>
              <w:t>5.1</w:t>
            </w:r>
          </w:p>
        </w:tc>
        <w:tc>
          <w:tcPr>
            <w:tcW w:w="120" w:type="dxa"/>
            <w:vAlign w:val="bottom"/>
          </w:tcPr>
          <w:p>
            <w:pPr>
              <w:spacing w:after="0"/>
              <w:rPr>
                <w:sz w:val="20"/>
                <w:szCs w:val="20"/>
                <w:color w:val="auto"/>
              </w:rPr>
            </w:pPr>
          </w:p>
        </w:tc>
      </w:tr>
      <w:tr>
        <w:trPr>
          <w:trHeight w:val="391"/>
        </w:trPr>
        <w:tc>
          <w:tcPr>
            <w:tcW w:w="1340" w:type="dxa"/>
            <w:vAlign w:val="bottom"/>
            <w:gridSpan w:val="2"/>
          </w:tcPr>
          <w:p>
            <w:pPr>
              <w:ind w:left="80"/>
              <w:spacing w:after="0"/>
              <w:rPr>
                <w:sz w:val="20"/>
                <w:szCs w:val="20"/>
                <w:color w:val="auto"/>
              </w:rPr>
            </w:pPr>
            <w:r>
              <w:rPr>
                <w:rFonts w:ascii="Arial" w:cs="Arial" w:eastAsia="Arial" w:hAnsi="Arial"/>
                <w:sz w:val="18"/>
                <w:szCs w:val="18"/>
                <w:color w:val="auto"/>
              </w:rPr>
              <w:t>Section 1.3.</w:t>
            </w:r>
          </w:p>
        </w:tc>
        <w:tc>
          <w:tcPr>
            <w:tcW w:w="5240" w:type="dxa"/>
            <w:vAlign w:val="bottom"/>
            <w:gridSpan w:val="3"/>
          </w:tcPr>
          <w:p>
            <w:pPr>
              <w:spacing w:after="0"/>
              <w:rPr>
                <w:sz w:val="20"/>
                <w:szCs w:val="20"/>
                <w:color w:val="auto"/>
              </w:rPr>
            </w:pPr>
            <w:r>
              <w:rPr>
                <w:rFonts w:ascii="Arial" w:cs="Arial" w:eastAsia="Arial" w:hAnsi="Arial"/>
                <w:sz w:val="18"/>
                <w:szCs w:val="18"/>
                <w:color w:val="auto"/>
              </w:rPr>
              <w:t>Incorporation by Reference of Trust Indenture Act.</w:t>
            </w: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900" w:hanging="596"/>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00" w:hanging="596"/>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1900" w:hanging="596"/>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Issuable in Series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1296"/>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price or prices (expressed as a percentage of the principal amount thereof) at which the Securities of the Series will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date or dates on which the principal of the Securities of the Series is payable;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left="1300"/>
        <w:spacing w:after="0"/>
        <w:tabs>
          <w:tab w:leader="none" w:pos="222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forms of the Securities of the Series and whether the Securities will be issuable as Global Securities;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6"/>
          <w:szCs w:val="16"/>
          <w:color w:val="auto"/>
        </w:rPr>
        <w:t>the provisions, if any, relating to any security provided for the Securities of the Series;</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46"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6"/>
          <w:szCs w:val="16"/>
          <w:color w:val="auto"/>
        </w:rPr>
        <w:t>any addition to, deletion of or change in the covenants set forth in Articles IV or V which applies to Securities of the Series;</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right="20" w:firstLine="1296"/>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4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relying on: (a) the Board Resolution, supplemental indenture hereto or Officer’s Certificate establishing the form of the Securities of that Series or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within that Series and the terms of the Securities of that Series or of Securities within that Series, (b) an Officer’s Certificate complying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10.4, and (c) an Opinion of Counsel complying with Section 10.4.</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firstLine="1296"/>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 may serve as Registrar or Paying Agent.</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6" w:name="page107"/>
    <w:bookmarkEnd w:id="106"/>
    <w:p>
      <w:pPr>
        <w:ind w:left="660"/>
        <w:spacing w:after="0"/>
        <w:tabs>
          <w:tab w:leader="none" w:pos="190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Securityholder Lists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1296"/>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Security does not cease to be outstanding because the Company or an Affiliate of the Company holds the Security (but see Section 2.10 below).</w:t>
      </w:r>
    </w:p>
    <w:p>
      <w:pPr>
        <w:spacing w:after="0" w:line="22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left="660"/>
        <w:spacing w:after="0"/>
        <w:tabs>
          <w:tab w:leader="none" w:pos="18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Treasury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5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Temporary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left="660"/>
        <w:spacing w:after="0"/>
        <w:tabs>
          <w:tab w:leader="none" w:pos="180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4"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Any Global Security issued hereunder shall bear a legend in substantially the following form:</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addition, so long as the Depository Trust Company (“DTC”) is the Depositary, each Global Note registered in the name of DTC or its nominee shall bear a legend in substantially the following form:</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1296"/>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18"/>
          <w:szCs w:val="18"/>
          <w:color w:val="auto"/>
        </w:rPr>
        <w:t>2.14.5.</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 Notwithstanding the other provisions of this Indenture, unless otherwise specified as contemplated by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payment of the principal of and interest, if any, on any Global Security shall be made to the Holder thereof.</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left="660"/>
        <w:spacing w:after="0"/>
        <w:tabs>
          <w:tab w:leader="none" w:pos="190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7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2040" w:hanging="736"/>
        <w:spacing w:after="0"/>
        <w:tabs>
          <w:tab w:leader="none" w:pos="2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2165"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65" w:lineRule="exact"/>
        <w:rPr>
          <w:rFonts w:ascii="Arial" w:cs="Arial" w:eastAsia="Arial" w:hAnsi="Arial"/>
          <w:sz w:val="17"/>
          <w:szCs w:val="17"/>
          <w:color w:val="auto"/>
        </w:rPr>
      </w:pPr>
    </w:p>
    <w:p>
      <w:pPr>
        <w:ind w:left="2040" w:hanging="736"/>
        <w:spacing w:after="0"/>
        <w:tabs>
          <w:tab w:leader="none" w:pos="20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that Securities of the Series called for redemption must be surrendered to the Paying Agent to collect the redemption price;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left="660" w:firstLine="644"/>
        <w:spacing w:after="0" w:line="277" w:lineRule="auto"/>
        <w:tabs>
          <w:tab w:leader="none" w:pos="22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other information as may be required by the terms of the particular Series or the Securities of a Series being redeemed.</w:t>
      </w:r>
    </w:p>
    <w:p>
      <w:pPr>
        <w:spacing w:after="0" w:line="24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660"/>
        <w:spacing w:after="0"/>
        <w:tabs>
          <w:tab w:leader="none" w:pos="190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SEC Reports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9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When Company May Merge, Etc</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170" w:lineRule="exact"/>
        <w:rPr>
          <w:sz w:val="20"/>
          <w:szCs w:val="20"/>
          <w:color w:val="auto"/>
        </w:rPr>
      </w:pPr>
    </w:p>
    <w:p>
      <w:pPr>
        <w:jc w:val="both"/>
        <w:ind w:left="660" w:firstLine="644"/>
        <w:spacing w:after="0" w:line="263" w:lineRule="auto"/>
        <w:tabs>
          <w:tab w:leader="none" w:pos="211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or Event of Default, shall have occurred and be continuing.</w:t>
      </w:r>
    </w:p>
    <w:p>
      <w:pPr>
        <w:spacing w:after="0" w:line="237"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46"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5" w:name="page116"/>
    <w:bookmarkEnd w:id="115"/>
    <w:p>
      <w:pPr>
        <w:jc w:val="both"/>
        <w:ind w:firstLine="644"/>
        <w:spacing w:after="0" w:line="274" w:lineRule="auto"/>
        <w:tabs>
          <w:tab w:leader="none" w:pos="1387"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such period); or</w:t>
      </w:r>
    </w:p>
    <w:p>
      <w:pPr>
        <w:spacing w:after="0" w:line="51" w:lineRule="exact"/>
        <w:rPr>
          <w:rFonts w:ascii="Arial" w:cs="Arial" w:eastAsia="Arial" w:hAnsi="Arial"/>
          <w:sz w:val="18"/>
          <w:szCs w:val="18"/>
          <w:color w:val="auto"/>
        </w:rPr>
      </w:pPr>
    </w:p>
    <w:p>
      <w:pPr>
        <w:ind w:left="1400" w:hanging="756"/>
        <w:spacing w:after="0"/>
        <w:tabs>
          <w:tab w:leader="none" w:pos="1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jc w:val="both"/>
        <w:ind w:firstLine="644"/>
        <w:spacing w:after="0" w:line="255" w:lineRule="auto"/>
        <w:tabs>
          <w:tab w:leader="none" w:pos="1617"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2" w:lineRule="exact"/>
        <w:rPr>
          <w:rFonts w:ascii="Arial" w:cs="Arial" w:eastAsia="Arial" w:hAnsi="Arial"/>
          <w:sz w:val="18"/>
          <w:szCs w:val="18"/>
          <w:color w:val="auto"/>
        </w:rPr>
      </w:pPr>
    </w:p>
    <w:p>
      <w:pPr>
        <w:ind w:left="1400" w:hanging="756"/>
        <w:spacing w:after="0"/>
        <w:tabs>
          <w:tab w:leader="none" w:pos="1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040" w:hanging="748"/>
        <w:spacing w:after="0"/>
        <w:tabs>
          <w:tab w:leader="none" w:pos="2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rFonts w:ascii="Arial" w:cs="Arial" w:eastAsia="Arial" w:hAnsi="Arial"/>
          <w:sz w:val="18"/>
          <w:szCs w:val="18"/>
          <w:color w:val="auto"/>
        </w:rPr>
      </w:pPr>
    </w:p>
    <w:p>
      <w:pPr>
        <w:ind w:left="1380" w:hanging="736"/>
        <w:spacing w:after="0"/>
        <w:tabs>
          <w:tab w:leader="none" w:pos="1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225" w:lineRule="exact"/>
        <w:rPr>
          <w:sz w:val="20"/>
          <w:szCs w:val="20"/>
          <w:color w:val="auto"/>
        </w:rPr>
      </w:pPr>
    </w:p>
    <w:p>
      <w:pPr>
        <w:ind w:firstLine="644"/>
        <w:spacing w:after="0" w:line="277" w:lineRule="auto"/>
        <w:tabs>
          <w:tab w:leader="none" w:pos="15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16" w:name="page117"/>
    <w:bookmarkEnd w:id="116"/>
    <w:p>
      <w:pPr>
        <w:jc w:val="both"/>
        <w:ind w:firstLine="1296"/>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w:t>
      </w:r>
    </w:p>
    <w:p>
      <w:pPr>
        <w:spacing w:after="0" w:line="4" w:lineRule="exact"/>
        <w:rPr>
          <w:sz w:val="20"/>
          <w:szCs w:val="20"/>
          <w:color w:val="auto"/>
        </w:rPr>
      </w:pPr>
    </w:p>
    <w:p>
      <w:pPr>
        <w:ind w:firstLine="8"/>
        <w:spacing w:after="0" w:line="260" w:lineRule="auto"/>
        <w:tabs>
          <w:tab w:leader="none" w:pos="251"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shall occur, the principal amount (or specified amount) of and accrued and unpaid interest, if any, on all outstanding Securities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become and be immediately due and payable without any declaration or other act on the part of the Trustee or any Holder.</w:t>
      </w:r>
    </w:p>
    <w:p>
      <w:pPr>
        <w:spacing w:after="0" w:line="18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firstLine="644"/>
        <w:spacing w:after="0" w:line="277" w:lineRule="auto"/>
        <w:tabs>
          <w:tab w:leader="none" w:pos="21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left="2040" w:hanging="736"/>
        <w:spacing w:after="0"/>
        <w:tabs>
          <w:tab w:leader="none" w:pos="2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then, </w:t>
      </w:r>
      <w:r>
        <w:rPr>
          <w:rFonts w:ascii="Arial" w:cs="Arial" w:eastAsia="Arial" w:hAnsi="Arial"/>
          <w:sz w:val="16"/>
          <w:szCs w:val="16"/>
          <w:color w:val="auto"/>
        </w:rPr>
        <w:t>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5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jc w:val="both"/>
        <w:ind w:left="660" w:firstLine="644"/>
        <w:spacing w:after="0" w:line="259" w:lineRule="auto"/>
        <w:tabs>
          <w:tab w:leader="none" w:pos="20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86" w:lineRule="exact"/>
        <w:rPr>
          <w:rFonts w:ascii="Arial" w:cs="Arial" w:eastAsia="Arial" w:hAnsi="Arial"/>
          <w:sz w:val="18"/>
          <w:szCs w:val="18"/>
          <w:color w:val="auto"/>
        </w:rPr>
      </w:pPr>
    </w:p>
    <w:p>
      <w:pPr>
        <w:ind w:left="2060" w:hanging="756"/>
        <w:spacing w:after="0"/>
        <w:tabs>
          <w:tab w:leader="none" w:pos="2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Application of Money Collected.</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ectPr>
          <w:pgSz w:w="11900" w:h="16838" w:orient="portrait"/>
          <w:cols w:equalWidth="0" w:num="1">
            <w:col w:w="11240"/>
          </w:cols>
          <w:pgMar w:left="320" w:top="908" w:right="339" w:bottom="1440" w:gutter="0" w:footer="0" w:header="0"/>
        </w:sectPr>
      </w:pP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First: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all amounts due the Trustee under Section 7.7; and</w:t>
      </w:r>
    </w:p>
    <w:p>
      <w:pPr>
        <w:spacing w:after="0" w:line="211" w:lineRule="exact"/>
        <w:rPr>
          <w:sz w:val="20"/>
          <w:szCs w:val="20"/>
          <w:color w:val="auto"/>
        </w:rPr>
      </w:pPr>
    </w:p>
    <w:p>
      <w:pPr>
        <w:sectPr>
          <w:pgSz w:w="11900" w:h="16838" w:orient="portrait"/>
          <w:cols w:equalWidth="0" w:num="2">
            <w:col w:w="2040" w:space="720"/>
            <w:col w:w="8480"/>
          </w:cols>
          <w:pgMar w:left="320" w:top="908" w:right="339" w:bottom="1440" w:gutter="0" w:footer="0" w:header="0"/>
          <w:type w:val="continuous"/>
        </w:sectPr>
      </w:pPr>
    </w:p>
    <w:p>
      <w:pPr>
        <w:spacing w:after="0" w:line="37"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16"/>
          <w:szCs w:val="16"/>
          <w:color w:val="auto"/>
        </w:rPr>
        <w:t>Second:</w:t>
      </w:r>
      <w:r>
        <w:rPr>
          <w:sz w:val="20"/>
          <w:szCs w:val="20"/>
          <w:color w:val="auto"/>
        </w:rPr>
        <w:tab/>
      </w:r>
      <w:r>
        <w:rPr>
          <w:rFonts w:ascii="Arial" w:cs="Arial" w:eastAsia="Arial" w:hAnsi="Arial"/>
          <w:sz w:val="16"/>
          <w:szCs w:val="16"/>
          <w:color w:val="auto"/>
        </w:rPr>
        <w:t>To the payment of the amounts then due and unpaid for principal of and interest on the Securities in respect of which</w:t>
      </w:r>
    </w:p>
    <w:p>
      <w:pPr>
        <w:sectPr>
          <w:pgSz w:w="11900" w:h="16838" w:orient="portrait"/>
          <w:cols w:equalWidth="0" w:num="1">
            <w:col w:w="11240"/>
          </w:cols>
          <w:pgMar w:left="320" w:top="908" w:right="339" w:bottom="1440" w:gutter="0" w:footer="0" w:header="0"/>
          <w:type w:val="continuous"/>
        </w:sectPr>
      </w:pP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or for the benefit of which such money has been collected, ratably, without preference or priority of any kind, according to the amounts due and payable on such Securities for principal and interest, respectively; and</w:t>
      </w:r>
    </w:p>
    <w:p>
      <w:pPr>
        <w:spacing w:after="0" w:line="185"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18"/>
          <w:szCs w:val="18"/>
          <w:color w:val="auto"/>
        </w:rPr>
        <w:t>Third:</w:t>
      </w:r>
      <w:r>
        <w:rPr>
          <w:sz w:val="20"/>
          <w:szCs w:val="20"/>
          <w:color w:val="auto"/>
        </w:rPr>
        <w:tab/>
      </w: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Limitation on Suits</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2040" w:hanging="736"/>
        <w:spacing w:after="0"/>
        <w:tabs>
          <w:tab w:leader="none" w:pos="20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that Series;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9" w:name="page120"/>
    <w:bookmarkEnd w:id="119"/>
    <w:p>
      <w:pPr>
        <w:ind w:left="660" w:firstLine="644"/>
        <w:spacing w:after="0" w:line="277" w:lineRule="auto"/>
        <w:tabs>
          <w:tab w:leader="none" w:pos="22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4"/>
        <w:spacing w:after="0" w:line="277" w:lineRule="auto"/>
        <w:tabs>
          <w:tab w:leader="none" w:pos="2074"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70" w:lineRule="exact"/>
        <w:rPr>
          <w:rFonts w:ascii="Arial" w:cs="Arial" w:eastAsia="Arial" w:hAnsi="Arial"/>
          <w:sz w:val="18"/>
          <w:szCs w:val="18"/>
          <w:color w:val="auto"/>
        </w:rPr>
      </w:pPr>
    </w:p>
    <w:p>
      <w:pPr>
        <w:ind w:left="2320" w:hanging="1016"/>
        <w:spacing w:after="0"/>
        <w:tabs>
          <w:tab w:leader="none" w:pos="2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proceeding; and</w:t>
      </w:r>
    </w:p>
    <w:p>
      <w:pPr>
        <w:spacing w:after="0" w:line="210" w:lineRule="exact"/>
        <w:rPr>
          <w:rFonts w:ascii="Arial" w:cs="Arial" w:eastAsia="Arial" w:hAnsi="Arial"/>
          <w:sz w:val="17"/>
          <w:szCs w:val="17"/>
          <w:color w:val="auto"/>
        </w:rPr>
      </w:pPr>
    </w:p>
    <w:p>
      <w:pPr>
        <w:ind w:left="660" w:firstLine="644"/>
        <w:spacing w:after="0" w:line="277" w:lineRule="auto"/>
        <w:tabs>
          <w:tab w:leader="none" w:pos="2061"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Unconditional Right of Holders to Receive Principal and Interest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ind w:left="660"/>
        <w:spacing w:after="0"/>
        <w:tabs>
          <w:tab w:leader="none" w:pos="20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2040" w:hanging="736"/>
        <w:spacing w:after="0"/>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061"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0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ind w:left="660"/>
        <w:spacing w:after="0"/>
        <w:tabs>
          <w:tab w:leader="none" w:pos="204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22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25" w:lineRule="exact"/>
        <w:rPr>
          <w:rFonts w:ascii="Arial" w:cs="Arial" w:eastAsia="Arial" w:hAnsi="Arial"/>
          <w:sz w:val="18"/>
          <w:szCs w:val="18"/>
          <w:color w:val="auto"/>
        </w:rPr>
      </w:pPr>
    </w:p>
    <w:p>
      <w:pPr>
        <w:jc w:val="both"/>
        <w:ind w:left="1300" w:firstLine="652"/>
        <w:spacing w:after="0" w:line="275" w:lineRule="auto"/>
        <w:tabs>
          <w:tab w:leader="none" w:pos="2888"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7"/>
          <w:szCs w:val="17"/>
          <w:u w:val="single" w:color="auto"/>
          <w:color w:val="auto"/>
        </w:rPr>
        <w:t>however</w:t>
      </w:r>
      <w:r>
        <w:rPr>
          <w:rFonts w:ascii="Arial" w:cs="Arial" w:eastAsia="Arial" w:hAnsi="Arial"/>
          <w:sz w:val="17"/>
          <w:szCs w:val="17"/>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76" w:lineRule="exact"/>
        <w:rPr>
          <w:rFonts w:ascii="Arial" w:cs="Arial" w:eastAsia="Arial" w:hAnsi="Arial"/>
          <w:sz w:val="17"/>
          <w:szCs w:val="17"/>
          <w:color w:val="auto"/>
        </w:rPr>
      </w:pPr>
    </w:p>
    <w:p>
      <w:pPr>
        <w:ind w:left="660" w:firstLine="644"/>
        <w:spacing w:after="0" w:line="277" w:lineRule="auto"/>
        <w:tabs>
          <w:tab w:leader="none" w:pos="21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640" w:firstLine="652"/>
        <w:spacing w:after="0" w:line="277" w:lineRule="auto"/>
        <w:tabs>
          <w:tab w:leader="none" w:pos="222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jc w:val="both"/>
        <w:ind w:left="640" w:firstLine="652"/>
        <w:spacing w:after="0" w:line="257" w:lineRule="auto"/>
        <w:tabs>
          <w:tab w:leader="none" w:pos="216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87" w:lineRule="exact"/>
        <w:rPr>
          <w:rFonts w:ascii="Arial" w:cs="Arial" w:eastAsia="Arial" w:hAnsi="Arial"/>
          <w:sz w:val="18"/>
          <w:szCs w:val="18"/>
          <w:color w:val="auto"/>
        </w:rPr>
      </w:pPr>
    </w:p>
    <w:p>
      <w:pPr>
        <w:ind w:left="1400" w:hanging="756"/>
        <w:spacing w:after="0"/>
        <w:tabs>
          <w:tab w:leader="none" w:pos="14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Every provision of this Indenture that in any way relates to the Trustee is subject to paragraph (a), (b) and (c) of this Section.</w:t>
      </w:r>
    </w:p>
    <w:p>
      <w:pPr>
        <w:spacing w:after="0" w:line="248" w:lineRule="exact"/>
        <w:rPr>
          <w:rFonts w:ascii="Arial" w:cs="Arial" w:eastAsia="Arial" w:hAnsi="Arial"/>
          <w:sz w:val="16"/>
          <w:szCs w:val="16"/>
          <w:color w:val="auto"/>
        </w:rPr>
      </w:pPr>
    </w:p>
    <w:p>
      <w:pPr>
        <w:ind w:firstLine="644"/>
        <w:spacing w:after="0" w:line="308" w:lineRule="auto"/>
        <w:tabs>
          <w:tab w:leader="none" w:pos="138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46" w:lineRule="exact"/>
        <w:rPr>
          <w:rFonts w:ascii="Arial" w:cs="Arial" w:eastAsia="Arial" w:hAnsi="Arial"/>
          <w:sz w:val="17"/>
          <w:szCs w:val="17"/>
          <w:color w:val="auto"/>
        </w:rPr>
      </w:pPr>
    </w:p>
    <w:p>
      <w:pPr>
        <w:ind w:firstLine="644"/>
        <w:spacing w:after="0" w:line="277" w:lineRule="auto"/>
        <w:tabs>
          <w:tab w:leader="none" w:pos="153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5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83" w:lineRule="exact"/>
        <w:rPr>
          <w:rFonts w:ascii="Arial" w:cs="Arial" w:eastAsia="Arial" w:hAnsi="Arial"/>
          <w:sz w:val="18"/>
          <w:szCs w:val="18"/>
          <w:color w:val="auto"/>
        </w:rPr>
      </w:pPr>
    </w:p>
    <w:p>
      <w:pPr>
        <w:ind w:firstLine="644"/>
        <w:spacing w:after="0" w:line="277" w:lineRule="auto"/>
        <w:tabs>
          <w:tab w:leader="none" w:pos="139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3" w:lineRule="auto"/>
        <w:tabs>
          <w:tab w:leader="none" w:pos="14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83" w:lineRule="exact"/>
        <w:rPr>
          <w:rFonts w:ascii="Arial" w:cs="Arial" w:eastAsia="Arial" w:hAnsi="Arial"/>
          <w:sz w:val="18"/>
          <w:szCs w:val="18"/>
          <w:color w:val="auto"/>
        </w:rPr>
      </w:pPr>
    </w:p>
    <w:p>
      <w:pPr>
        <w:ind w:firstLine="644"/>
        <w:spacing w:after="0" w:line="342" w:lineRule="auto"/>
        <w:tabs>
          <w:tab w:leader="none" w:pos="147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23" w:lineRule="exact"/>
        <w:rPr>
          <w:rFonts w:ascii="Arial" w:cs="Arial" w:eastAsia="Arial" w:hAnsi="Arial"/>
          <w:sz w:val="16"/>
          <w:szCs w:val="16"/>
          <w:color w:val="auto"/>
        </w:rPr>
      </w:pPr>
    </w:p>
    <w:p>
      <w:pPr>
        <w:jc w:val="both"/>
        <w:ind w:firstLine="644"/>
        <w:spacing w:after="0" w:line="263" w:lineRule="auto"/>
        <w:tabs>
          <w:tab w:leader="none" w:pos="141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3" w:name="page124"/>
    <w:bookmarkEnd w:id="123"/>
    <w:p>
      <w:pPr>
        <w:ind w:left="660" w:firstLine="644"/>
        <w:spacing w:after="0" w:line="277" w:lineRule="auto"/>
        <w:tabs>
          <w:tab w:leader="none" w:pos="2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1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0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83" w:lineRule="exact"/>
        <w:rPr>
          <w:rFonts w:ascii="Arial" w:cs="Arial" w:eastAsia="Arial" w:hAnsi="Arial"/>
          <w:sz w:val="18"/>
          <w:szCs w:val="18"/>
          <w:color w:val="auto"/>
        </w:rPr>
      </w:pPr>
    </w:p>
    <w:p>
      <w:pPr>
        <w:jc w:val="both"/>
        <w:ind w:left="660" w:firstLine="644"/>
        <w:spacing w:after="0" w:line="311" w:lineRule="auto"/>
        <w:tabs>
          <w:tab w:leader="none" w:pos="201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48" w:lineRule="exact"/>
        <w:rPr>
          <w:rFonts w:ascii="Arial" w:cs="Arial" w:eastAsia="Arial" w:hAnsi="Arial"/>
          <w:sz w:val="16"/>
          <w:szCs w:val="16"/>
          <w:color w:val="auto"/>
        </w:rPr>
      </w:pPr>
    </w:p>
    <w:p>
      <w:pPr>
        <w:jc w:val="both"/>
        <w:ind w:left="660" w:firstLine="644"/>
        <w:spacing w:after="0" w:line="311" w:lineRule="auto"/>
        <w:tabs>
          <w:tab w:leader="none" w:pos="206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48" w:lineRule="exact"/>
        <w:rPr>
          <w:rFonts w:ascii="Arial" w:cs="Arial" w:eastAsia="Arial" w:hAnsi="Arial"/>
          <w:sz w:val="16"/>
          <w:szCs w:val="16"/>
          <w:color w:val="auto"/>
        </w:rPr>
      </w:pPr>
    </w:p>
    <w:p>
      <w:pPr>
        <w:ind w:left="660" w:firstLine="644"/>
        <w:spacing w:after="0" w:line="342" w:lineRule="auto"/>
        <w:tabs>
          <w:tab w:leader="none" w:pos="206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23" w:lineRule="exact"/>
        <w:rPr>
          <w:rFonts w:ascii="Arial" w:cs="Arial" w:eastAsia="Arial" w:hAnsi="Arial"/>
          <w:sz w:val="16"/>
          <w:szCs w:val="16"/>
          <w:color w:val="auto"/>
        </w:rPr>
      </w:pPr>
    </w:p>
    <w:p>
      <w:pPr>
        <w:ind w:left="2160" w:hanging="856"/>
        <w:spacing w:after="0"/>
        <w:tabs>
          <w:tab w:leader="none" w:pos="21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duty to do so.</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ind w:left="660"/>
        <w:spacing w:after="0"/>
        <w:tabs>
          <w:tab w:leader="none" w:pos="190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Reports by Trustee to 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Within 60 days after each [ ] commencing [ ], [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5" w:name="page126"/>
    <w:bookmarkEnd w:id="125"/>
    <w:p>
      <w:pPr>
        <w:ind w:left="1300"/>
        <w:spacing w:after="0"/>
        <w:rPr>
          <w:sz w:val="20"/>
          <w:szCs w:val="20"/>
          <w:color w:val="auto"/>
        </w:rPr>
      </w:pPr>
      <w:r>
        <w:rPr>
          <w:rFonts w:ascii="Arial" w:cs="Arial" w:eastAsia="Arial" w:hAnsi="Arial"/>
          <w:sz w:val="18"/>
          <w:szCs w:val="18"/>
          <w:color w:val="auto"/>
        </w:rPr>
        <w:t>The provisions of this Section shall survive the termination of this Indenture.</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49" w:lineRule="exact"/>
        <w:rPr>
          <w:sz w:val="20"/>
          <w:szCs w:val="20"/>
          <w:color w:val="auto"/>
        </w:rPr>
      </w:pPr>
    </w:p>
    <w:p>
      <w:pPr>
        <w:ind w:left="2040" w:hanging="736"/>
        <w:spacing w:after="0"/>
        <w:tabs>
          <w:tab w:leader="none" w:pos="2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2260" w:hanging="956"/>
        <w:spacing w:after="0"/>
        <w:tabs>
          <w:tab w:leader="none" w:pos="2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Bankruptcy Law;</w:t>
      </w:r>
    </w:p>
    <w:p>
      <w:pPr>
        <w:spacing w:after="0" w:line="210" w:lineRule="exact"/>
        <w:rPr>
          <w:rFonts w:ascii="Arial" w:cs="Arial" w:eastAsia="Arial" w:hAnsi="Arial"/>
          <w:sz w:val="17"/>
          <w:szCs w:val="17"/>
          <w:color w:val="auto"/>
        </w:rPr>
      </w:pPr>
    </w:p>
    <w:p>
      <w:pPr>
        <w:ind w:left="2040" w:hanging="736"/>
        <w:spacing w:after="0"/>
        <w:tabs>
          <w:tab w:leader="none" w:pos="2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left="660"/>
        <w:spacing w:after="0"/>
        <w:tabs>
          <w:tab w:leader="none" w:pos="190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5"/>
          <w:szCs w:val="15"/>
          <w:u w:val="single" w:color="auto"/>
          <w:color w:val="auto"/>
        </w:rPr>
        <w:t>Successor Trustee by Merger, Etc</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Company</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 DEFEASANCE</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84" w:lineRule="exact"/>
        <w:rPr>
          <w:sz w:val="20"/>
          <w:szCs w:val="20"/>
          <w:color w:val="auto"/>
        </w:rPr>
      </w:pPr>
    </w:p>
    <w:p>
      <w:pPr>
        <w:ind w:left="2040" w:hanging="736"/>
        <w:spacing w:after="0"/>
        <w:tabs>
          <w:tab w:leader="none" w:pos="2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firstLine="652"/>
        <w:spacing w:after="0" w:line="277" w:lineRule="auto"/>
        <w:tabs>
          <w:tab w:leader="none" w:pos="289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70" w:lineRule="exact"/>
        <w:rPr>
          <w:rFonts w:ascii="Arial" w:cs="Arial" w:eastAsia="Arial" w:hAnsi="Arial"/>
          <w:sz w:val="18"/>
          <w:szCs w:val="18"/>
          <w:color w:val="auto"/>
        </w:rPr>
      </w:pPr>
    </w:p>
    <w:p>
      <w:pPr>
        <w:ind w:left="2800" w:hanging="848"/>
        <w:spacing w:after="0"/>
        <w:tabs>
          <w:tab w:leader="none" w:pos="28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225" w:lineRule="exact"/>
        <w:rPr>
          <w:rFonts w:ascii="Arial" w:cs="Arial" w:eastAsia="Arial" w:hAnsi="Arial"/>
          <w:sz w:val="18"/>
          <w:szCs w:val="18"/>
          <w:color w:val="auto"/>
        </w:rPr>
      </w:pPr>
    </w:p>
    <w:p>
      <w:pPr>
        <w:ind w:left="3120" w:hanging="520"/>
        <w:spacing w:after="0"/>
        <w:tabs>
          <w:tab w:leader="none" w:pos="312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225" w:lineRule="exact"/>
        <w:rPr>
          <w:rFonts w:ascii="Arial" w:cs="Arial" w:eastAsia="Arial" w:hAnsi="Arial"/>
          <w:sz w:val="18"/>
          <w:szCs w:val="18"/>
          <w:color w:val="auto"/>
        </w:rPr>
      </w:pPr>
    </w:p>
    <w:p>
      <w:pPr>
        <w:ind w:left="3120" w:hanging="520"/>
        <w:spacing w:after="0"/>
        <w:tabs>
          <w:tab w:leader="none" w:pos="312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jc w:val="both"/>
        <w:ind w:left="1960" w:firstLine="640"/>
        <w:spacing w:after="0" w:line="263" w:lineRule="auto"/>
        <w:tabs>
          <w:tab w:leader="none" w:pos="3346" w:val="left"/>
        </w:tabs>
        <w:numPr>
          <w:ilvl w:val="2"/>
          <w:numId w:val="106"/>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83" w:lineRule="exact"/>
        <w:rPr>
          <w:rFonts w:ascii="Arial" w:cs="Arial" w:eastAsia="Arial" w:hAnsi="Arial"/>
          <w:sz w:val="18"/>
          <w:szCs w:val="18"/>
          <w:color w:val="auto"/>
        </w:rPr>
      </w:pPr>
    </w:p>
    <w:p>
      <w:pPr>
        <w:ind w:left="3120" w:hanging="520"/>
        <w:spacing w:after="0"/>
        <w:tabs>
          <w:tab w:leader="none" w:pos="312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left="2060" w:hanging="756"/>
        <w:spacing w:after="0"/>
        <w:tabs>
          <w:tab w:leader="none" w:pos="2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firstLine="644"/>
        <w:spacing w:after="0" w:line="308" w:lineRule="auto"/>
        <w:tabs>
          <w:tab w:leader="none" w:pos="225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46" w:lineRule="exact"/>
        <w:rPr>
          <w:sz w:val="20"/>
          <w:szCs w:val="20"/>
          <w:color w:val="auto"/>
        </w:rPr>
      </w:pPr>
    </w:p>
    <w:p>
      <w:pPr>
        <w:ind w:right="20" w:firstLine="1296"/>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Application of Trust Funds; Indemnification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4" w:lineRule="auto"/>
        <w:tabs>
          <w:tab w:leader="none" w:pos="222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21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207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7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Legal Defeasance of Securities of any Series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88" w:lineRule="exact"/>
        <w:rPr>
          <w:sz w:val="20"/>
          <w:szCs w:val="20"/>
          <w:color w:val="auto"/>
        </w:rPr>
      </w:pPr>
    </w:p>
    <w:p>
      <w:pPr>
        <w:jc w:val="both"/>
        <w:ind w:left="660" w:firstLine="644"/>
        <w:spacing w:after="0" w:line="301" w:lineRule="auto"/>
        <w:tabs>
          <w:tab w:leader="none" w:pos="222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57" w:lineRule="exact"/>
        <w:rPr>
          <w:rFonts w:ascii="Arial" w:cs="Arial" w:eastAsia="Arial" w:hAnsi="Arial"/>
          <w:sz w:val="16"/>
          <w:szCs w:val="16"/>
          <w:color w:val="auto"/>
        </w:rPr>
      </w:pPr>
    </w:p>
    <w:p>
      <w:pPr>
        <w:ind w:left="2060" w:hanging="756"/>
        <w:spacing w:after="0"/>
        <w:tabs>
          <w:tab w:leader="none" w:pos="2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225" w:lineRule="exact"/>
        <w:rPr>
          <w:rFonts w:ascii="Arial" w:cs="Arial" w:eastAsia="Arial" w:hAnsi="Arial"/>
          <w:sz w:val="18"/>
          <w:szCs w:val="18"/>
          <w:color w:val="auto"/>
        </w:rPr>
      </w:pPr>
    </w:p>
    <w:p>
      <w:pPr>
        <w:ind w:right="400" w:firstLine="1304"/>
        <w:spacing w:after="0" w:line="527" w:lineRule="auto"/>
        <w:tabs>
          <w:tab w:leader="none" w:pos="20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 provided that, the following conditions shall have been satisfied: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left="660" w:firstLine="644"/>
        <w:spacing w:after="0" w:line="289" w:lineRule="auto"/>
        <w:tabs>
          <w:tab w:leader="none" w:pos="205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66" w:lineRule="exact"/>
        <w:rPr>
          <w:rFonts w:ascii="Arial" w:cs="Arial" w:eastAsia="Arial" w:hAnsi="Arial"/>
          <w:sz w:val="16"/>
          <w:szCs w:val="16"/>
          <w:color w:val="auto"/>
        </w:rPr>
      </w:pPr>
    </w:p>
    <w:p>
      <w:pPr>
        <w:ind w:left="660" w:firstLine="644"/>
        <w:spacing w:after="0" w:line="277" w:lineRule="auto"/>
        <w:tabs>
          <w:tab w:leader="none" w:pos="21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660" w:firstLine="644"/>
        <w:spacing w:after="0" w:line="277" w:lineRule="auto"/>
        <w:tabs>
          <w:tab w:leader="none" w:pos="212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jc w:val="both"/>
        <w:ind w:left="660" w:firstLine="644"/>
        <w:spacing w:after="0" w:line="273" w:lineRule="auto"/>
        <w:tabs>
          <w:tab w:leader="none" w:pos="216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77" w:lineRule="exact"/>
        <w:rPr>
          <w:rFonts w:ascii="Arial" w:cs="Arial" w:eastAsia="Arial" w:hAnsi="Arial"/>
          <w:sz w:val="17"/>
          <w:szCs w:val="17"/>
          <w:color w:val="auto"/>
        </w:rPr>
      </w:pPr>
    </w:p>
    <w:p>
      <w:pPr>
        <w:ind w:left="660" w:right="20" w:firstLine="644"/>
        <w:spacing w:after="0" w:line="277" w:lineRule="auto"/>
        <w:tabs>
          <w:tab w:leader="none" w:pos="207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left="660" w:firstLine="644"/>
        <w:spacing w:after="0" w:line="277" w:lineRule="auto"/>
        <w:tabs>
          <w:tab w:leader="none" w:pos="23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78" w:lineRule="exact"/>
        <w:rPr>
          <w:sz w:val="20"/>
          <w:szCs w:val="20"/>
          <w:color w:val="auto"/>
        </w:rPr>
      </w:pPr>
    </w:p>
    <w:p>
      <w:pPr>
        <w:jc w:val="both"/>
        <w:ind w:left="660" w:firstLine="644"/>
        <w:spacing w:after="0" w:line="269" w:lineRule="auto"/>
        <w:tabs>
          <w:tab w:leader="none" w:pos="218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left="660" w:firstLine="644"/>
        <w:spacing w:after="0" w:line="277" w:lineRule="auto"/>
        <w:tabs>
          <w:tab w:leader="none" w:pos="21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2040" w:hanging="736"/>
        <w:spacing w:after="0"/>
        <w:tabs>
          <w:tab w:leader="none" w:pos="20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deposit;</w:t>
      </w:r>
    </w:p>
    <w:p>
      <w:pPr>
        <w:spacing w:after="0" w:line="210" w:lineRule="exact"/>
        <w:rPr>
          <w:rFonts w:ascii="Arial" w:cs="Arial" w:eastAsia="Arial" w:hAnsi="Arial"/>
          <w:sz w:val="16"/>
          <w:szCs w:val="16"/>
          <w:color w:val="auto"/>
        </w:rPr>
      </w:pPr>
    </w:p>
    <w:p>
      <w:pPr>
        <w:jc w:val="both"/>
        <w:ind w:left="660" w:firstLine="644"/>
        <w:spacing w:after="0" w:line="259" w:lineRule="auto"/>
        <w:tabs>
          <w:tab w:leader="none" w:pos="22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86" w:lineRule="exact"/>
        <w:rPr>
          <w:rFonts w:ascii="Arial" w:cs="Arial" w:eastAsia="Arial" w:hAnsi="Arial"/>
          <w:sz w:val="18"/>
          <w:szCs w:val="18"/>
          <w:color w:val="auto"/>
        </w:rPr>
      </w:pPr>
    </w:p>
    <w:p>
      <w:pPr>
        <w:ind w:left="660" w:firstLine="644"/>
        <w:spacing w:after="0" w:line="277" w:lineRule="auto"/>
        <w:tabs>
          <w:tab w:leader="none" w:pos="216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left="660" w:firstLine="644"/>
        <w:spacing w:after="0" w:line="308" w:lineRule="auto"/>
        <w:tabs>
          <w:tab w:leader="none" w:pos="224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Repayment to Company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Company and the Trustee may amend or supplement this Indenture or the Securities of one or more Series without the consent of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211" w:lineRule="exact"/>
        <w:rPr>
          <w:sz w:val="20"/>
          <w:szCs w:val="20"/>
          <w:color w:val="auto"/>
        </w:rPr>
      </w:pPr>
    </w:p>
    <w:p>
      <w:pPr>
        <w:ind w:left="2040" w:hanging="736"/>
        <w:spacing w:after="0"/>
        <w:tabs>
          <w:tab w:leader="none" w:pos="20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left="2040" w:hanging="736"/>
        <w:spacing w:after="0"/>
        <w:tabs>
          <w:tab w:leader="none" w:pos="20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225" w:lineRule="exact"/>
        <w:rPr>
          <w:rFonts w:ascii="Arial" w:cs="Arial" w:eastAsia="Arial" w:hAnsi="Arial"/>
          <w:sz w:val="18"/>
          <w:szCs w:val="18"/>
          <w:color w:val="auto"/>
        </w:rPr>
      </w:pPr>
    </w:p>
    <w:p>
      <w:pPr>
        <w:ind w:left="2140" w:hanging="836"/>
        <w:spacing w:after="0"/>
        <w:tabs>
          <w:tab w:leader="none" w:pos="21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jc w:val="both"/>
        <w:ind w:left="660" w:firstLine="644"/>
        <w:spacing w:after="0" w:line="263" w:lineRule="auto"/>
        <w:tabs>
          <w:tab w:leader="none" w:pos="21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this Indenture under the TIA.</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9.2.</w:t>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225" w:lineRule="exact"/>
        <w:rPr>
          <w:sz w:val="20"/>
          <w:szCs w:val="20"/>
          <w:color w:val="auto"/>
        </w:rPr>
      </w:pPr>
    </w:p>
    <w:p>
      <w:pPr>
        <w:ind w:left="2040" w:hanging="736"/>
        <w:spacing w:after="0"/>
        <w:tabs>
          <w:tab w:leader="none" w:pos="20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10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0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left="2060" w:hanging="756"/>
        <w:spacing w:after="0"/>
        <w:tabs>
          <w:tab w:leader="none" w:pos="2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make the principal of or interest, if any, on any Security payable in any currency other than that stated in the Security;</w:t>
      </w:r>
    </w:p>
    <w:p>
      <w:pPr>
        <w:spacing w:after="0" w:line="236" w:lineRule="exact"/>
        <w:rPr>
          <w:rFonts w:ascii="Arial" w:cs="Arial" w:eastAsia="Arial" w:hAnsi="Arial"/>
          <w:sz w:val="17"/>
          <w:szCs w:val="17"/>
          <w:color w:val="auto"/>
        </w:rPr>
      </w:pPr>
    </w:p>
    <w:p>
      <w:pPr>
        <w:ind w:left="2060" w:hanging="756"/>
        <w:spacing w:after="0"/>
        <w:tabs>
          <w:tab w:leader="none" w:pos="2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waive a redemption payment with respect to any Security, provided that such redemption is made at the Company’s option.</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9.4.</w:t>
      </w:r>
      <w:r>
        <w:rPr>
          <w:rFonts w:ascii="Arial" w:cs="Arial" w:eastAsia="Arial" w:hAnsi="Arial"/>
          <w:sz w:val="16"/>
          <w:szCs w:val="16"/>
          <w:u w:val="single" w:color="auto"/>
          <w:color w:val="auto"/>
        </w:rPr>
        <w:t>Compliance with Trust Indenture Act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Notation on or Exchange of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left="660"/>
        <w:spacing w:after="0"/>
        <w:tabs>
          <w:tab w:leader="none" w:pos="180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5"/>
          <w:szCs w:val="15"/>
          <w:u w:val="single" w:color="auto"/>
          <w:color w:val="auto"/>
        </w:rPr>
        <w:t>Trustee Protected</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Trust Indenture Act Controls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 Clarendon Street, 27th Floor</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Peter N. Handrinos, Esq. and Wesley C. Holmes,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[_____]</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[____]</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Telephone: [____]</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[_____]</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[____]</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Telephone: [____]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1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the Company sends a notice or communication to Securityholders, it shall send a copy to the Trustee and each Agent at the same time.</w:t>
      </w:r>
    </w:p>
    <w:p>
      <w:pPr>
        <w:spacing w:after="0" w:line="2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Communication by Holders with Other 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Upon any request or application by the Company to the Trustee to take any action under this Indenture, the Company shall furnish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firstLine="644"/>
        <w:spacing w:after="0" w:line="277" w:lineRule="auto"/>
        <w:tabs>
          <w:tab w:leader="none" w:pos="189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 Opinion of Counsel stating that, in the opinion of such counsel, all such conditions precedent have been complied with.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left="660"/>
        <w:spacing w:after="0"/>
        <w:tabs>
          <w:tab w:leader="none" w:pos="180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1820" w:hanging="516"/>
        <w:spacing w:after="0"/>
        <w:tabs>
          <w:tab w:leader="none" w:pos="1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firstLine="644"/>
        <w:spacing w:after="0" w:line="277" w:lineRule="auto"/>
        <w:tabs>
          <w:tab w:leader="none" w:pos="183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4"/>
        <w:spacing w:after="0" w:line="277" w:lineRule="auto"/>
        <w:tabs>
          <w:tab w:leader="none" w:pos="18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Indenture may not be used to interpret another indenture, loan or debt agreement of the Company or a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left="66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7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SINKING FUNDS</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 sinking</w:t>
      </w:r>
      <w:r>
        <w:rPr>
          <w:rFonts w:ascii="Arial" w:cs="Arial" w:eastAsia="Arial" w:hAnsi="Arial"/>
          <w:sz w:val="18"/>
          <w:szCs w:val="18"/>
          <w:color w:val="auto"/>
        </w:rPr>
        <w:t xml:space="preserve"> </w:t>
      </w:r>
      <w:r>
        <w:rPr>
          <w:rFonts w:ascii="Arial" w:cs="Arial" w:eastAsia="Arial" w:hAnsi="Arial"/>
          <w:sz w:val="18"/>
          <w:szCs w:val="18"/>
          <w:i w:val="1"/>
          <w:iCs w:val="1"/>
          <w:color w:val="auto"/>
        </w:rPr>
        <w:t>fund payment</w:t>
      </w:r>
      <w:r>
        <w:rPr>
          <w:rFonts w:ascii="Arial" w:cs="Arial" w:eastAsia="Arial" w:hAnsi="Arial"/>
          <w:sz w:val="18"/>
          <w:szCs w:val="18"/>
          <w:color w:val="auto"/>
        </w:rPr>
        <w:t>.” If provided for by the terms of Securities of any Series, the cash amount of any sinking fund payment may be subject to reduction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Section 11.2. Each sinking fund payment shall be applied to the redemption of Securities of any Series as provided for by the terms of the Securities of such Series.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ind w:left="660"/>
        <w:spacing w:after="0"/>
        <w:tabs>
          <w:tab w:leader="none" w:pos="180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180"/>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[_____], as Trustee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60"/>
          </w:cols>
          <w:pgMar w:left="1440" w:top="908" w:right="5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200 Clarendon Street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 +1.617.948.6000 Fax: +1.617.948.6001</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9994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2099945" cy="20574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w w:val="97"/>
              </w:rPr>
              <w:t>FIRM / AFFILIATE OFFICES</w:t>
            </w:r>
          </w:p>
        </w:tc>
        <w:tc>
          <w:tcPr>
            <w:tcW w:w="13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Beijing</w:t>
            </w:r>
          </w:p>
        </w:tc>
        <w:tc>
          <w:tcPr>
            <w:tcW w:w="1320" w:type="dxa"/>
            <w:vAlign w:val="bottom"/>
          </w:tcPr>
          <w:p>
            <w:pPr>
              <w:ind w:left="20"/>
              <w:spacing w:after="0"/>
              <w:rPr>
                <w:sz w:val="20"/>
                <w:szCs w:val="20"/>
                <w:color w:val="auto"/>
              </w:rPr>
            </w:pPr>
            <w:r>
              <w:rPr>
                <w:rFonts w:ascii="Arial" w:cs="Arial" w:eastAsia="Arial" w:hAnsi="Arial"/>
                <w:sz w:val="18"/>
                <w:szCs w:val="18"/>
                <w:color w:val="auto"/>
              </w:rPr>
              <w:t>Moscow</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Boston</w:t>
            </w:r>
          </w:p>
        </w:tc>
        <w:tc>
          <w:tcPr>
            <w:tcW w:w="1320" w:type="dxa"/>
            <w:vAlign w:val="bottom"/>
          </w:tcPr>
          <w:p>
            <w:pPr>
              <w:ind w:left="20"/>
              <w:spacing w:after="0"/>
              <w:rPr>
                <w:sz w:val="20"/>
                <w:szCs w:val="20"/>
                <w:color w:val="auto"/>
              </w:rPr>
            </w:pPr>
            <w:r>
              <w:rPr>
                <w:rFonts w:ascii="Arial" w:cs="Arial" w:eastAsia="Arial" w:hAnsi="Arial"/>
                <w:sz w:val="18"/>
                <w:szCs w:val="18"/>
                <w:color w:val="auto"/>
              </w:rPr>
              <w:t>Munich</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Brussels</w:t>
            </w:r>
          </w:p>
        </w:tc>
        <w:tc>
          <w:tcPr>
            <w:tcW w:w="132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Century City</w:t>
            </w:r>
          </w:p>
        </w:tc>
        <w:tc>
          <w:tcPr>
            <w:tcW w:w="1320" w:type="dxa"/>
            <w:vAlign w:val="bottom"/>
          </w:tcPr>
          <w:p>
            <w:pPr>
              <w:ind w:left="20"/>
              <w:spacing w:after="0"/>
              <w:rPr>
                <w:sz w:val="20"/>
                <w:szCs w:val="20"/>
                <w:color w:val="auto"/>
              </w:rPr>
            </w:pPr>
            <w:r>
              <w:rPr>
                <w:rFonts w:ascii="Arial" w:cs="Arial" w:eastAsia="Arial" w:hAnsi="Arial"/>
                <w:sz w:val="18"/>
                <w:szCs w:val="18"/>
                <w:color w:val="auto"/>
              </w:rPr>
              <w:t>Orange County</w:t>
            </w: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August 6, 2020</w:t>
            </w:r>
          </w:p>
        </w:tc>
        <w:tc>
          <w:tcPr>
            <w:tcW w:w="3580" w:type="dxa"/>
            <w:vAlign w:val="bottom"/>
          </w:tcPr>
          <w:p>
            <w:pPr>
              <w:ind w:left="1300"/>
              <w:spacing w:after="0"/>
              <w:rPr>
                <w:sz w:val="20"/>
                <w:szCs w:val="20"/>
                <w:color w:val="auto"/>
              </w:rPr>
            </w:pPr>
            <w:r>
              <w:rPr>
                <w:rFonts w:ascii="Arial" w:cs="Arial" w:eastAsia="Arial" w:hAnsi="Arial"/>
                <w:sz w:val="18"/>
                <w:szCs w:val="18"/>
                <w:color w:val="auto"/>
              </w:rPr>
              <w:t>Chicago</w:t>
            </w:r>
          </w:p>
        </w:tc>
        <w:tc>
          <w:tcPr>
            <w:tcW w:w="1320" w:type="dxa"/>
            <w:vAlign w:val="bottom"/>
          </w:tcPr>
          <w:p>
            <w:pPr>
              <w:ind w:left="20"/>
              <w:spacing w:after="0"/>
              <w:rPr>
                <w:sz w:val="20"/>
                <w:szCs w:val="20"/>
                <w:color w:val="auto"/>
              </w:rPr>
            </w:pPr>
            <w:r>
              <w:rPr>
                <w:rFonts w:ascii="Arial" w:cs="Arial" w:eastAsia="Arial" w:hAnsi="Arial"/>
                <w:sz w:val="18"/>
                <w:szCs w:val="18"/>
                <w:color w:val="auto"/>
              </w:rPr>
              <w:t>Paris</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Dubai</w:t>
            </w:r>
          </w:p>
        </w:tc>
        <w:tc>
          <w:tcPr>
            <w:tcW w:w="1320" w:type="dxa"/>
            <w:vAlign w:val="bottom"/>
          </w:tcPr>
          <w:p>
            <w:pPr>
              <w:ind w:left="20"/>
              <w:spacing w:after="0"/>
              <w:rPr>
                <w:sz w:val="20"/>
                <w:szCs w:val="20"/>
                <w:color w:val="auto"/>
              </w:rPr>
            </w:pPr>
            <w:r>
              <w:rPr>
                <w:rFonts w:ascii="Arial" w:cs="Arial" w:eastAsia="Arial" w:hAnsi="Arial"/>
                <w:sz w:val="18"/>
                <w:szCs w:val="18"/>
                <w:color w:val="auto"/>
              </w:rPr>
              <w:t>Riyadh</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Düsseldorf</w:t>
            </w:r>
          </w:p>
        </w:tc>
        <w:tc>
          <w:tcPr>
            <w:tcW w:w="1320" w:type="dxa"/>
            <w:vAlign w:val="bottom"/>
          </w:tcPr>
          <w:p>
            <w:pPr>
              <w:ind w:left="20"/>
              <w:spacing w:after="0"/>
              <w:rPr>
                <w:sz w:val="20"/>
                <w:szCs w:val="20"/>
                <w:color w:val="auto"/>
              </w:rPr>
            </w:pPr>
            <w:r>
              <w:rPr>
                <w:rFonts w:ascii="Arial" w:cs="Arial" w:eastAsia="Arial" w:hAnsi="Arial"/>
                <w:sz w:val="18"/>
                <w:szCs w:val="18"/>
                <w:color w:val="auto"/>
              </w:rPr>
              <w:t>San Diego</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Frankfurt</w:t>
            </w:r>
          </w:p>
        </w:tc>
        <w:tc>
          <w:tcPr>
            <w:tcW w:w="1320" w:type="dxa"/>
            <w:vAlign w:val="bottom"/>
          </w:tcPr>
          <w:p>
            <w:pPr>
              <w:ind w:left="20"/>
              <w:spacing w:after="0"/>
              <w:rPr>
                <w:sz w:val="20"/>
                <w:szCs w:val="20"/>
                <w:color w:val="auto"/>
              </w:rPr>
            </w:pPr>
            <w:r>
              <w:rPr>
                <w:rFonts w:ascii="Arial" w:cs="Arial" w:eastAsia="Arial" w:hAnsi="Arial"/>
                <w:sz w:val="18"/>
                <w:szCs w:val="18"/>
                <w:color w:val="auto"/>
              </w:rPr>
              <w:t>San Francisco</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Hamburg</w:t>
            </w:r>
          </w:p>
        </w:tc>
        <w:tc>
          <w:tcPr>
            <w:tcW w:w="1320" w:type="dxa"/>
            <w:vAlign w:val="bottom"/>
          </w:tcPr>
          <w:p>
            <w:pPr>
              <w:ind w:left="20"/>
              <w:spacing w:after="0"/>
              <w:rPr>
                <w:sz w:val="20"/>
                <w:szCs w:val="20"/>
                <w:color w:val="auto"/>
              </w:rPr>
            </w:pPr>
            <w:r>
              <w:rPr>
                <w:rFonts w:ascii="Arial" w:cs="Arial" w:eastAsia="Arial" w:hAnsi="Arial"/>
                <w:sz w:val="18"/>
                <w:szCs w:val="18"/>
                <w:color w:val="auto"/>
              </w:rPr>
              <w:t>Seoul</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Hong Kong</w:t>
            </w:r>
          </w:p>
        </w:tc>
        <w:tc>
          <w:tcPr>
            <w:tcW w:w="1320" w:type="dxa"/>
            <w:vAlign w:val="bottom"/>
          </w:tcPr>
          <w:p>
            <w:pPr>
              <w:ind w:left="20"/>
              <w:spacing w:after="0"/>
              <w:rPr>
                <w:sz w:val="20"/>
                <w:szCs w:val="20"/>
                <w:color w:val="auto"/>
              </w:rPr>
            </w:pPr>
            <w:r>
              <w:rPr>
                <w:rFonts w:ascii="Arial" w:cs="Arial" w:eastAsia="Arial" w:hAnsi="Arial"/>
                <w:sz w:val="18"/>
                <w:szCs w:val="18"/>
                <w:color w:val="auto"/>
              </w:rPr>
              <w:t>Shanghai</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Houston</w:t>
            </w:r>
          </w:p>
        </w:tc>
        <w:tc>
          <w:tcPr>
            <w:tcW w:w="1320" w:type="dxa"/>
            <w:vAlign w:val="bottom"/>
          </w:tcPr>
          <w:p>
            <w:pPr>
              <w:ind w:left="20"/>
              <w:spacing w:after="0"/>
              <w:rPr>
                <w:sz w:val="20"/>
                <w:szCs w:val="20"/>
                <w:color w:val="auto"/>
              </w:rPr>
            </w:pPr>
            <w:r>
              <w:rPr>
                <w:rFonts w:ascii="Arial" w:cs="Arial" w:eastAsia="Arial" w:hAnsi="Arial"/>
                <w:sz w:val="18"/>
                <w:szCs w:val="18"/>
                <w:color w:val="auto"/>
              </w:rPr>
              <w:t>Silicon Valley</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London</w:t>
            </w:r>
          </w:p>
        </w:tc>
        <w:tc>
          <w:tcPr>
            <w:tcW w:w="13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Los Angeles</w:t>
            </w:r>
          </w:p>
        </w:tc>
        <w:tc>
          <w:tcPr>
            <w:tcW w:w="1320" w:type="dxa"/>
            <w:vAlign w:val="bottom"/>
          </w:tcPr>
          <w:p>
            <w:pPr>
              <w:ind w:left="20"/>
              <w:spacing w:after="0"/>
              <w:rPr>
                <w:sz w:val="20"/>
                <w:szCs w:val="20"/>
                <w:color w:val="auto"/>
              </w:rPr>
            </w:pPr>
            <w:r>
              <w:rPr>
                <w:rFonts w:ascii="Arial" w:cs="Arial" w:eastAsia="Arial" w:hAnsi="Arial"/>
                <w:sz w:val="18"/>
                <w:szCs w:val="18"/>
                <w:color w:val="auto"/>
              </w:rPr>
              <w:t>Tokyo</w:t>
            </w:r>
          </w:p>
        </w:tc>
      </w:tr>
      <w:tr>
        <w:trPr>
          <w:trHeight w:val="216"/>
        </w:trPr>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Madrid</w:t>
            </w:r>
          </w:p>
        </w:tc>
        <w:tc>
          <w:tcPr>
            <w:tcW w:w="1320" w:type="dxa"/>
            <w:vAlign w:val="bottom"/>
          </w:tcPr>
          <w:p>
            <w:pPr>
              <w:ind w:left="20"/>
              <w:spacing w:after="0"/>
              <w:rPr>
                <w:sz w:val="20"/>
                <w:szCs w:val="20"/>
                <w:color w:val="auto"/>
              </w:rPr>
            </w:pPr>
            <w:r>
              <w:rPr>
                <w:rFonts w:ascii="Arial" w:cs="Arial" w:eastAsia="Arial" w:hAnsi="Arial"/>
                <w:sz w:val="18"/>
                <w:szCs w:val="18"/>
                <w:color w:val="auto"/>
                <w:w w:val="90"/>
              </w:rPr>
              <w:t>Washington, D.C.</w:t>
            </w:r>
          </w:p>
        </w:tc>
      </w:tr>
      <w:tr>
        <w:trPr>
          <w:trHeight w:val="230"/>
        </w:trPr>
        <w:tc>
          <w:tcPr>
            <w:tcW w:w="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ind w:left="1300"/>
              <w:spacing w:after="0"/>
              <w:rPr>
                <w:sz w:val="20"/>
                <w:szCs w:val="20"/>
                <w:color w:val="auto"/>
              </w:rPr>
            </w:pPr>
            <w:r>
              <w:rPr>
                <w:rFonts w:ascii="Arial" w:cs="Arial" w:eastAsia="Arial" w:hAnsi="Arial"/>
                <w:sz w:val="18"/>
                <w:szCs w:val="18"/>
                <w:color w:val="auto"/>
              </w:rPr>
              <w:t>Milan</w:t>
            </w:r>
          </w:p>
        </w:tc>
        <w:tc>
          <w:tcPr>
            <w:tcW w:w="1320" w:type="dxa"/>
            <w:vAlign w:val="bottom"/>
          </w:tcPr>
          <w:p>
            <w:pPr>
              <w:spacing w:after="0"/>
              <w:rPr>
                <w:sz w:val="20"/>
                <w:szCs w:val="20"/>
                <w:color w:val="auto"/>
              </w:rPr>
            </w:pPr>
          </w:p>
        </w:tc>
      </w:tr>
      <w:tr>
        <w:trPr>
          <w:trHeight w:val="418"/>
        </w:trPr>
        <w:tc>
          <w:tcPr>
            <w:tcW w:w="4420" w:type="dxa"/>
            <w:vAlign w:val="bottom"/>
            <w:gridSpan w:val="3"/>
          </w:tcPr>
          <w:p>
            <w:pPr>
              <w:spacing w:after="0"/>
              <w:rPr>
                <w:sz w:val="20"/>
                <w:szCs w:val="20"/>
                <w:color w:val="auto"/>
              </w:rPr>
            </w:pPr>
            <w:r>
              <w:rPr>
                <w:rFonts w:ascii="Arial" w:cs="Arial" w:eastAsia="Arial" w:hAnsi="Arial"/>
                <w:sz w:val="18"/>
                <w:szCs w:val="18"/>
                <w:color w:val="auto"/>
              </w:rPr>
              <w:t>Selecta Biosciences, Inc.</w:t>
            </w:r>
          </w:p>
        </w:tc>
        <w:tc>
          <w:tcPr>
            <w:tcW w:w="3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65 Grove Street</w:t>
            </w:r>
          </w:p>
        </w:tc>
        <w:tc>
          <w:tcPr>
            <w:tcW w:w="3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Watertown, MA 02472</w:t>
            </w:r>
          </w:p>
        </w:tc>
        <w:tc>
          <w:tcPr>
            <w:tcW w:w="35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4420" w:type="dxa"/>
            <w:vAlign w:val="bottom"/>
            <w:gridSpan w:val="3"/>
          </w:tcPr>
          <w:p>
            <w:pPr>
              <w:spacing w:after="0"/>
              <w:rPr>
                <w:sz w:val="20"/>
                <w:szCs w:val="20"/>
                <w:color w:val="auto"/>
              </w:rPr>
            </w:pPr>
            <w:r>
              <w:rPr>
                <w:rFonts w:ascii="Arial" w:cs="Arial" w:eastAsia="Arial" w:hAnsi="Arial"/>
                <w:sz w:val="18"/>
                <w:szCs w:val="18"/>
                <w:color w:val="auto"/>
              </w:rPr>
              <w:t>Re:   Registration Statement on Form S-3</w:t>
            </w:r>
          </w:p>
        </w:tc>
        <w:tc>
          <w:tcPr>
            <w:tcW w:w="3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53"/>
        </w:trPr>
        <w:tc>
          <w:tcPr>
            <w:tcW w:w="4420" w:type="dxa"/>
            <w:vAlign w:val="bottom"/>
            <w:gridSpan w:val="3"/>
          </w:tcPr>
          <w:p>
            <w:pPr>
              <w:spacing w:after="0"/>
              <w:rPr>
                <w:sz w:val="20"/>
                <w:szCs w:val="20"/>
                <w:color w:val="auto"/>
              </w:rPr>
            </w:pPr>
            <w:r>
              <w:rPr>
                <w:rFonts w:ascii="Arial" w:cs="Arial" w:eastAsia="Arial" w:hAnsi="Arial"/>
                <w:sz w:val="18"/>
                <w:szCs w:val="18"/>
                <w:color w:val="auto"/>
              </w:rPr>
              <w:t>Ladies and Gentlemen:</w:t>
            </w:r>
          </w:p>
        </w:tc>
        <w:tc>
          <w:tcPr>
            <w:tcW w:w="35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acted as special counsel to Selecta Biosciences,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its filing on the date hereof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of a registration statement on Form S-3 (as amended,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including a base prospectus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which provides that it will be supplemented by one or more prospectus supplements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such prospectus supplement, together with the Base Prospectus, a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relating to the registration for issue and sale by the Company of up to $200 million aggregate offering amount of (i) shares of the Company’s common stock, $0.0001 par value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(ii) shares of one or more series of the Company’s preferred stock, $0.0001 par value per share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(iii) one or more series of the Company’s debt securities (collectively, “</w:t>
      </w: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to be issued under an indenture to be entered into between the Company, as issuer, and a trustee (a form of which is included as Exhibit 4.2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Arial" w:cs="Arial" w:eastAsia="Arial" w:hAnsi="Arial"/>
          <w:sz w:val="17"/>
          <w:szCs w:val="17"/>
          <w:b w:val="1"/>
          <w:bCs w:val="1"/>
          <w:i w:val="1"/>
          <w:iCs w:val="1"/>
          <w:color w:val="auto"/>
        </w:rPr>
        <w:t>Applicable Indenture</w:t>
      </w:r>
      <w:r>
        <w:rPr>
          <w:rFonts w:ascii="Arial" w:cs="Arial" w:eastAsia="Arial" w:hAnsi="Arial"/>
          <w:sz w:val="17"/>
          <w:szCs w:val="17"/>
          <w:color w:val="auto"/>
        </w:rPr>
        <w:t>”), (iv) warrants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(v) units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The Common Stock, Preferred Stock, Debt Securities, Warrants, and Units, plus any additional Common Stock, Preferred Stock, Debt Securities, 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August 6,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9994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20999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jc w:val="both"/>
        <w:ind w:firstLine="656"/>
        <w:spacing w:after="0" w:line="293" w:lineRule="auto"/>
        <w:tabs>
          <w:tab w:leader="none" w:pos="119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64" w:lineRule="exact"/>
        <w:rPr>
          <w:rFonts w:ascii="Arial" w:cs="Arial" w:eastAsia="Arial" w:hAnsi="Arial"/>
          <w:sz w:val="16"/>
          <w:szCs w:val="16"/>
          <w:color w:val="auto"/>
        </w:rPr>
      </w:pPr>
    </w:p>
    <w:p>
      <w:pPr>
        <w:jc w:val="both"/>
        <w:ind w:firstLine="656"/>
        <w:spacing w:after="0" w:line="272" w:lineRule="auto"/>
        <w:tabs>
          <w:tab w:leader="none" w:pos="115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77" w:lineRule="exact"/>
        <w:rPr>
          <w:rFonts w:ascii="Arial" w:cs="Arial" w:eastAsia="Arial" w:hAnsi="Arial"/>
          <w:sz w:val="17"/>
          <w:szCs w:val="17"/>
          <w:color w:val="auto"/>
        </w:rPr>
      </w:pPr>
    </w:p>
    <w:p>
      <w:pPr>
        <w:jc w:val="both"/>
        <w:ind w:firstLine="656"/>
        <w:spacing w:after="0" w:line="255" w:lineRule="auto"/>
        <w:tabs>
          <w:tab w:leader="none" w:pos="12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August 6,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9994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20999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56"/>
        <w:spacing w:after="0" w:line="254" w:lineRule="auto"/>
        <w:tabs>
          <w:tab w:leader="none" w:pos="137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94" w:lineRule="exact"/>
        <w:rPr>
          <w:rFonts w:ascii="Arial" w:cs="Arial" w:eastAsia="Arial" w:hAnsi="Arial"/>
          <w:sz w:val="18"/>
          <w:szCs w:val="18"/>
          <w:color w:val="auto"/>
        </w:rPr>
      </w:pPr>
    </w:p>
    <w:p>
      <w:pPr>
        <w:jc w:val="both"/>
        <w:ind w:firstLine="656"/>
        <w:spacing w:after="0" w:line="293" w:lineRule="auto"/>
        <w:tabs>
          <w:tab w:leader="none" w:pos="121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16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w:t>
      </w:r>
    </w:p>
    <w:p>
      <w:pPr>
        <w:spacing w:after="0" w:line="1" w:lineRule="exact"/>
        <w:rPr>
          <w:sz w:val="20"/>
          <w:szCs w:val="20"/>
          <w:color w:val="auto"/>
        </w:rPr>
      </w:pPr>
    </w:p>
    <w:p>
      <w:pPr>
        <w:jc w:val="both"/>
        <w:ind w:firstLine="8"/>
        <w:spacing w:after="0" w:line="255" w:lineRule="auto"/>
        <w:tabs>
          <w:tab w:leader="none" w:pos="26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August 6,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9994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20999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With your consent, we have assumed (a) that each of the Debt Securities, Warrants and Units and the Applicable Indenture, warrant agreements, and unit agreements governing such Securities (collectively, the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200 Clarendon Street</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Tel: +1.617.948.6000 Fax: +1.617.948.6001</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5715</wp:posOffset>
            </wp:positionV>
            <wp:extent cx="2134235" cy="1974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2134235" cy="19748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w w:val="96"/>
              </w:rPr>
              <w:t>FIRM / AFFILIATE OFFICES</w:t>
            </w:r>
          </w:p>
        </w:tc>
        <w:tc>
          <w:tcPr>
            <w:tcW w:w="31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Beijing</w:t>
            </w:r>
          </w:p>
        </w:tc>
        <w:tc>
          <w:tcPr>
            <w:tcW w:w="3180" w:type="dxa"/>
            <w:vAlign w:val="bottom"/>
          </w:tcPr>
          <w:p>
            <w:pPr>
              <w:ind w:left="20"/>
              <w:spacing w:after="0"/>
              <w:rPr>
                <w:sz w:val="20"/>
                <w:szCs w:val="20"/>
                <w:color w:val="auto"/>
              </w:rPr>
            </w:pPr>
            <w:r>
              <w:rPr>
                <w:rFonts w:ascii="Arial" w:cs="Arial" w:eastAsia="Arial" w:hAnsi="Arial"/>
                <w:sz w:val="18"/>
                <w:szCs w:val="18"/>
                <w:color w:val="auto"/>
              </w:rPr>
              <w:t>Moscow</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Boston</w:t>
            </w:r>
          </w:p>
        </w:tc>
        <w:tc>
          <w:tcPr>
            <w:tcW w:w="3180" w:type="dxa"/>
            <w:vAlign w:val="bottom"/>
          </w:tcPr>
          <w:p>
            <w:pPr>
              <w:ind w:left="20"/>
              <w:spacing w:after="0"/>
              <w:rPr>
                <w:sz w:val="20"/>
                <w:szCs w:val="20"/>
                <w:color w:val="auto"/>
              </w:rPr>
            </w:pPr>
            <w:r>
              <w:rPr>
                <w:rFonts w:ascii="Arial" w:cs="Arial" w:eastAsia="Arial" w:hAnsi="Arial"/>
                <w:sz w:val="18"/>
                <w:szCs w:val="18"/>
                <w:color w:val="auto"/>
              </w:rPr>
              <w:t>Munich</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Brussels</w:t>
            </w:r>
          </w:p>
        </w:tc>
        <w:tc>
          <w:tcPr>
            <w:tcW w:w="31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Century City</w:t>
            </w:r>
          </w:p>
        </w:tc>
        <w:tc>
          <w:tcPr>
            <w:tcW w:w="3180" w:type="dxa"/>
            <w:vAlign w:val="bottom"/>
          </w:tcPr>
          <w:p>
            <w:pPr>
              <w:ind w:left="20"/>
              <w:spacing w:after="0"/>
              <w:rPr>
                <w:sz w:val="20"/>
                <w:szCs w:val="20"/>
                <w:color w:val="auto"/>
              </w:rPr>
            </w:pPr>
            <w:r>
              <w:rPr>
                <w:rFonts w:ascii="Arial" w:cs="Arial" w:eastAsia="Arial" w:hAnsi="Arial"/>
                <w:sz w:val="18"/>
                <w:szCs w:val="18"/>
                <w:color w:val="auto"/>
              </w:rPr>
              <w:t>Orange County</w:t>
            </w: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August 6, 2020</w:t>
            </w:r>
          </w:p>
        </w:tc>
        <w:tc>
          <w:tcPr>
            <w:tcW w:w="4260" w:type="dxa"/>
            <w:vAlign w:val="bottom"/>
          </w:tcPr>
          <w:p>
            <w:pPr>
              <w:ind w:left="2020"/>
              <w:spacing w:after="0"/>
              <w:rPr>
                <w:sz w:val="20"/>
                <w:szCs w:val="20"/>
                <w:color w:val="auto"/>
              </w:rPr>
            </w:pPr>
            <w:r>
              <w:rPr>
                <w:rFonts w:ascii="Arial" w:cs="Arial" w:eastAsia="Arial" w:hAnsi="Arial"/>
                <w:sz w:val="18"/>
                <w:szCs w:val="18"/>
                <w:color w:val="auto"/>
              </w:rPr>
              <w:t>Chicago</w:t>
            </w:r>
          </w:p>
        </w:tc>
        <w:tc>
          <w:tcPr>
            <w:tcW w:w="3180" w:type="dxa"/>
            <w:vAlign w:val="bottom"/>
          </w:tcPr>
          <w:p>
            <w:pPr>
              <w:ind w:left="20"/>
              <w:spacing w:after="0"/>
              <w:rPr>
                <w:sz w:val="20"/>
                <w:szCs w:val="20"/>
                <w:color w:val="auto"/>
              </w:rPr>
            </w:pPr>
            <w:r>
              <w:rPr>
                <w:rFonts w:ascii="Arial" w:cs="Arial" w:eastAsia="Arial" w:hAnsi="Arial"/>
                <w:sz w:val="18"/>
                <w:szCs w:val="18"/>
                <w:color w:val="auto"/>
              </w:rPr>
              <w:t>Paris</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Dubai</w:t>
            </w:r>
          </w:p>
        </w:tc>
        <w:tc>
          <w:tcPr>
            <w:tcW w:w="3180" w:type="dxa"/>
            <w:vAlign w:val="bottom"/>
          </w:tcPr>
          <w:p>
            <w:pPr>
              <w:ind w:left="20"/>
              <w:spacing w:after="0"/>
              <w:rPr>
                <w:sz w:val="20"/>
                <w:szCs w:val="20"/>
                <w:color w:val="auto"/>
              </w:rPr>
            </w:pPr>
            <w:r>
              <w:rPr>
                <w:rFonts w:ascii="Arial" w:cs="Arial" w:eastAsia="Arial" w:hAnsi="Arial"/>
                <w:sz w:val="18"/>
                <w:szCs w:val="18"/>
                <w:color w:val="auto"/>
              </w:rPr>
              <w:t>Riyadh</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Düsseldorf</w:t>
            </w:r>
          </w:p>
        </w:tc>
        <w:tc>
          <w:tcPr>
            <w:tcW w:w="3180" w:type="dxa"/>
            <w:vAlign w:val="bottom"/>
          </w:tcPr>
          <w:p>
            <w:pPr>
              <w:ind w:left="20"/>
              <w:spacing w:after="0"/>
              <w:rPr>
                <w:sz w:val="20"/>
                <w:szCs w:val="20"/>
                <w:color w:val="auto"/>
              </w:rPr>
            </w:pPr>
            <w:r>
              <w:rPr>
                <w:rFonts w:ascii="Arial" w:cs="Arial" w:eastAsia="Arial" w:hAnsi="Arial"/>
                <w:sz w:val="18"/>
                <w:szCs w:val="18"/>
                <w:color w:val="auto"/>
              </w:rPr>
              <w:t>San Diego</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Frankfurt</w:t>
            </w:r>
          </w:p>
        </w:tc>
        <w:tc>
          <w:tcPr>
            <w:tcW w:w="3180" w:type="dxa"/>
            <w:vAlign w:val="bottom"/>
          </w:tcPr>
          <w:p>
            <w:pPr>
              <w:ind w:left="20"/>
              <w:spacing w:after="0"/>
              <w:rPr>
                <w:sz w:val="20"/>
                <w:szCs w:val="20"/>
                <w:color w:val="auto"/>
              </w:rPr>
            </w:pPr>
            <w:r>
              <w:rPr>
                <w:rFonts w:ascii="Arial" w:cs="Arial" w:eastAsia="Arial" w:hAnsi="Arial"/>
                <w:sz w:val="18"/>
                <w:szCs w:val="18"/>
                <w:color w:val="auto"/>
              </w:rPr>
              <w:t>San Francisco</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Hamburg</w:t>
            </w:r>
          </w:p>
        </w:tc>
        <w:tc>
          <w:tcPr>
            <w:tcW w:w="3180" w:type="dxa"/>
            <w:vAlign w:val="bottom"/>
          </w:tcPr>
          <w:p>
            <w:pPr>
              <w:ind w:left="20"/>
              <w:spacing w:after="0"/>
              <w:rPr>
                <w:sz w:val="20"/>
                <w:szCs w:val="20"/>
                <w:color w:val="auto"/>
              </w:rPr>
            </w:pPr>
            <w:r>
              <w:rPr>
                <w:rFonts w:ascii="Arial" w:cs="Arial" w:eastAsia="Arial" w:hAnsi="Arial"/>
                <w:sz w:val="18"/>
                <w:szCs w:val="18"/>
                <w:color w:val="auto"/>
              </w:rPr>
              <w:t>Seoul</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Hong Kong</w:t>
            </w:r>
          </w:p>
        </w:tc>
        <w:tc>
          <w:tcPr>
            <w:tcW w:w="3180" w:type="dxa"/>
            <w:vAlign w:val="bottom"/>
          </w:tcPr>
          <w:p>
            <w:pPr>
              <w:ind w:left="20"/>
              <w:spacing w:after="0"/>
              <w:rPr>
                <w:sz w:val="20"/>
                <w:szCs w:val="20"/>
                <w:color w:val="auto"/>
              </w:rPr>
            </w:pPr>
            <w:r>
              <w:rPr>
                <w:rFonts w:ascii="Arial" w:cs="Arial" w:eastAsia="Arial" w:hAnsi="Arial"/>
                <w:sz w:val="18"/>
                <w:szCs w:val="18"/>
                <w:color w:val="auto"/>
              </w:rPr>
              <w:t>Shanghai</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Houston</w:t>
            </w:r>
          </w:p>
        </w:tc>
        <w:tc>
          <w:tcPr>
            <w:tcW w:w="3180" w:type="dxa"/>
            <w:vAlign w:val="bottom"/>
          </w:tcPr>
          <w:p>
            <w:pPr>
              <w:ind w:left="20"/>
              <w:spacing w:after="0"/>
              <w:rPr>
                <w:sz w:val="20"/>
                <w:szCs w:val="20"/>
                <w:color w:val="auto"/>
              </w:rPr>
            </w:pPr>
            <w:r>
              <w:rPr>
                <w:rFonts w:ascii="Arial" w:cs="Arial" w:eastAsia="Arial" w:hAnsi="Arial"/>
                <w:sz w:val="18"/>
                <w:szCs w:val="18"/>
                <w:color w:val="auto"/>
              </w:rPr>
              <w:t>Silicon Valley</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London</w:t>
            </w:r>
          </w:p>
        </w:tc>
        <w:tc>
          <w:tcPr>
            <w:tcW w:w="318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Los Angeles</w:t>
            </w:r>
          </w:p>
        </w:tc>
        <w:tc>
          <w:tcPr>
            <w:tcW w:w="3180" w:type="dxa"/>
            <w:vAlign w:val="bottom"/>
          </w:tcPr>
          <w:p>
            <w:pPr>
              <w:ind w:left="20"/>
              <w:spacing w:after="0"/>
              <w:rPr>
                <w:sz w:val="20"/>
                <w:szCs w:val="20"/>
                <w:color w:val="auto"/>
              </w:rPr>
            </w:pPr>
            <w:r>
              <w:rPr>
                <w:rFonts w:ascii="Arial" w:cs="Arial" w:eastAsia="Arial" w:hAnsi="Arial"/>
                <w:sz w:val="18"/>
                <w:szCs w:val="18"/>
                <w:color w:val="auto"/>
              </w:rPr>
              <w:t>Tokyo</w:t>
            </w:r>
          </w:p>
        </w:tc>
      </w:tr>
      <w:tr>
        <w:trPr>
          <w:trHeight w:val="216"/>
        </w:trPr>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Madrid</w:t>
            </w:r>
          </w:p>
        </w:tc>
        <w:tc>
          <w:tcPr>
            <w:tcW w:w="3180" w:type="dxa"/>
            <w:vAlign w:val="bottom"/>
          </w:tcPr>
          <w:p>
            <w:pPr>
              <w:ind w:left="20"/>
              <w:spacing w:after="0"/>
              <w:rPr>
                <w:sz w:val="20"/>
                <w:szCs w:val="20"/>
                <w:color w:val="auto"/>
              </w:rPr>
            </w:pPr>
            <w:r>
              <w:rPr>
                <w:rFonts w:ascii="Arial" w:cs="Arial" w:eastAsia="Arial" w:hAnsi="Arial"/>
                <w:sz w:val="18"/>
                <w:szCs w:val="18"/>
                <w:color w:val="auto"/>
              </w:rPr>
              <w:t>Washington, D.C.</w:t>
            </w:r>
          </w:p>
        </w:tc>
      </w:tr>
      <w:tr>
        <w:trPr>
          <w:trHeight w:val="230"/>
        </w:trPr>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260" w:type="dxa"/>
            <w:vAlign w:val="bottom"/>
          </w:tcPr>
          <w:p>
            <w:pPr>
              <w:ind w:left="2020"/>
              <w:spacing w:after="0"/>
              <w:rPr>
                <w:sz w:val="20"/>
                <w:szCs w:val="20"/>
                <w:color w:val="auto"/>
              </w:rPr>
            </w:pPr>
            <w:r>
              <w:rPr>
                <w:rFonts w:ascii="Arial" w:cs="Arial" w:eastAsia="Arial" w:hAnsi="Arial"/>
                <w:sz w:val="18"/>
                <w:szCs w:val="18"/>
                <w:color w:val="auto"/>
              </w:rPr>
              <w:t>Milan</w:t>
            </w:r>
          </w:p>
        </w:tc>
        <w:tc>
          <w:tcPr>
            <w:tcW w:w="3180" w:type="dxa"/>
            <w:vAlign w:val="bottom"/>
          </w:tcPr>
          <w:p>
            <w:pPr>
              <w:spacing w:after="0"/>
              <w:rPr>
                <w:sz w:val="20"/>
                <w:szCs w:val="20"/>
                <w:color w:val="auto"/>
              </w:rPr>
            </w:pPr>
          </w:p>
        </w:tc>
      </w:tr>
      <w:tr>
        <w:trPr>
          <w:trHeight w:val="418"/>
        </w:trPr>
        <w:tc>
          <w:tcPr>
            <w:tcW w:w="3800" w:type="dxa"/>
            <w:vAlign w:val="bottom"/>
            <w:gridSpan w:val="3"/>
          </w:tcPr>
          <w:p>
            <w:pPr>
              <w:spacing w:after="0"/>
              <w:rPr>
                <w:sz w:val="20"/>
                <w:szCs w:val="20"/>
                <w:color w:val="auto"/>
              </w:rPr>
            </w:pPr>
            <w:r>
              <w:rPr>
                <w:rFonts w:ascii="Arial" w:cs="Arial" w:eastAsia="Arial" w:hAnsi="Arial"/>
                <w:sz w:val="18"/>
                <w:szCs w:val="18"/>
                <w:color w:val="auto"/>
              </w:rPr>
              <w:t>Selecta Biosciences, Inc.</w:t>
            </w:r>
          </w:p>
        </w:tc>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65 Grove Street</w:t>
            </w:r>
          </w:p>
        </w:tc>
        <w:tc>
          <w:tcPr>
            <w:tcW w:w="42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800" w:type="dxa"/>
            <w:vAlign w:val="bottom"/>
            <w:gridSpan w:val="3"/>
          </w:tcPr>
          <w:p>
            <w:pPr>
              <w:spacing w:after="0"/>
              <w:rPr>
                <w:sz w:val="20"/>
                <w:szCs w:val="20"/>
                <w:color w:val="auto"/>
              </w:rPr>
            </w:pPr>
            <w:r>
              <w:rPr>
                <w:rFonts w:ascii="Arial" w:cs="Arial" w:eastAsia="Arial" w:hAnsi="Arial"/>
                <w:sz w:val="18"/>
                <w:szCs w:val="18"/>
                <w:color w:val="auto"/>
              </w:rPr>
              <w:t>Watertown, MA 02472</w:t>
            </w:r>
          </w:p>
        </w:tc>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Re:</w:t>
            </w:r>
          </w:p>
        </w:tc>
        <w:tc>
          <w:tcPr>
            <w:tcW w:w="10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 xml:space="preserve">Registration Statement on Form S-3; Shares of Common Stock, </w:t>
            </w: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0.0001 par value per share, having an aggregate offering price of up to </w:t>
            </w:r>
            <w:r>
              <w:rPr>
                <w:rFonts w:ascii="Arial" w:cs="Arial" w:eastAsia="Arial" w:hAnsi="Arial"/>
                <w:sz w:val="18"/>
                <w:szCs w:val="18"/>
                <w:u w:val="single" w:color="auto"/>
                <w:color w:val="auto"/>
                <w:w w:val="92"/>
              </w:rPr>
              <w:t>$</w:t>
            </w:r>
            <w:r>
              <w:rPr>
                <w:rFonts w:ascii="Arial" w:cs="Arial" w:eastAsia="Arial" w:hAnsi="Arial"/>
                <w:sz w:val="18"/>
                <w:szCs w:val="18"/>
                <w:color w:val="auto"/>
                <w:w w:val="92"/>
              </w:rPr>
              <w:t>50.0</w:t>
            </w:r>
          </w:p>
        </w:tc>
      </w:tr>
      <w:tr>
        <w:trPr>
          <w:trHeight w:val="196"/>
        </w:trPr>
        <w:tc>
          <w:tcPr>
            <w:tcW w:w="660" w:type="dxa"/>
            <w:vAlign w:val="bottom"/>
          </w:tcPr>
          <w:p>
            <w:pPr>
              <w:spacing w:after="0"/>
              <w:rPr>
                <w:sz w:val="17"/>
                <w:szCs w:val="17"/>
                <w:color w:val="auto"/>
              </w:rPr>
            </w:pPr>
          </w:p>
        </w:tc>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7"/>
              </w:rPr>
              <w:t>million</w:t>
            </w:r>
          </w:p>
        </w:tc>
        <w:tc>
          <w:tcPr>
            <w:tcW w:w="26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180" w:type="dxa"/>
            <w:vAlign w:val="bottom"/>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acted as special counsel to Selecta Biosciences,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sale through Jefferies LLC, as sales agent (the “</w:t>
      </w:r>
      <w:r>
        <w:rPr>
          <w:rFonts w:ascii="Arial" w:cs="Arial" w:eastAsia="Arial" w:hAnsi="Arial"/>
          <w:sz w:val="16"/>
          <w:szCs w:val="16"/>
          <w:b w:val="1"/>
          <w:bCs w:val="1"/>
          <w:i w:val="1"/>
          <w:iCs w:val="1"/>
          <w:color w:val="auto"/>
        </w:rPr>
        <w:t>Sales Agent</w:t>
      </w:r>
      <w:r>
        <w:rPr>
          <w:rFonts w:ascii="Arial" w:cs="Arial" w:eastAsia="Arial" w:hAnsi="Arial"/>
          <w:sz w:val="16"/>
          <w:szCs w:val="16"/>
          <w:color w:val="auto"/>
        </w:rPr>
        <w:t>”), from time to time by the Company of shares of common stock, $0.0001 par value per share, having an aggregate offering price of up to $50.0 million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pursuant to (i) a registration statement on Form S-3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August 6, 2020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(ii) a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related prospectus supplement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(iii) that certain</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Open Market Sale Agreement</w:t>
      </w:r>
      <w:r>
        <w:rPr>
          <w:rFonts w:ascii="Arial" w:cs="Arial" w:eastAsia="Arial" w:hAnsi="Arial"/>
          <w:sz w:val="26"/>
          <w:szCs w:val="26"/>
          <w:color w:val="auto"/>
          <w:vertAlign w:val="superscript"/>
        </w:rPr>
        <w:t>SM</w:t>
      </w:r>
      <w:r>
        <w:rPr>
          <w:rFonts w:ascii="Arial" w:cs="Arial" w:eastAsia="Arial" w:hAnsi="Arial"/>
          <w:sz w:val="16"/>
          <w:szCs w:val="16"/>
          <w:color w:val="auto"/>
        </w:rPr>
        <w:t>, dated as of August 6, 2020, by and between the Company and the Sales Agent (the “</w:t>
      </w:r>
      <w:r>
        <w:rPr>
          <w:rFonts w:ascii="Arial" w:cs="Arial" w:eastAsia="Arial" w:hAnsi="Arial"/>
          <w:sz w:val="16"/>
          <w:szCs w:val="16"/>
          <w:b w:val="1"/>
          <w:bCs w:val="1"/>
          <w:i w:val="1"/>
          <w:iCs w:val="1"/>
          <w:color w:val="auto"/>
        </w:rPr>
        <w:t>Sales Agreement</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19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August 6,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34235" cy="1974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21342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Subject to the foregoing and the other matters set forth herein, it is our opinion that, upon the completion of all Corporate Proceedings (as defined below) relating to the Shares, when the Shares shall have been duly registered on the books of the transfer agent and registrar therefor in the name or on behalf of the purchasers, upon issuance, delivery and payment therefor in an amount not less than the par value thereof in accordance with the Corporate Proceedings and the terms of the Sales Agreement, the Shares to be issued and sold by the Company pursuant to the Sales Agreement will be duly authorized by all necessary corporate action of the Company and such Shares will be validly issued, fully paid and nonassessable. In rendering the foregoing opinion, we have assumed that (i) the Company will comply with all applicable notice requirements regarding uncertificated shares provided in the DGCL, (ii) upon the issuance of any of the Shares, the total number of shares of Common Stock issued and outstanding will not exceed the total number of shares of Common Stock that the Company is then authorized to issue under its certificate of incorporation, and (iii) certain terms of the Shares to be issued by the Company from time to time will be authorized and approved by the board of directors of the Company or one or more committees thereof established by the board of directors of the Company with the authority to issue and sell Shares pursuant to the Sales Agreement in accordance with the DGCL, the Company’s certificate of incorporation, the by-laws of the Company and certain resolutions of the board of directors of the Company and one or more committees thereof (with such approvals referred to herein as the “</w:t>
      </w:r>
      <w:r>
        <w:rPr>
          <w:rFonts w:ascii="Arial" w:cs="Arial" w:eastAsia="Arial" w:hAnsi="Arial"/>
          <w:sz w:val="16"/>
          <w:szCs w:val="16"/>
          <w:b w:val="1"/>
          <w:bCs w:val="1"/>
          <w:i w:val="1"/>
          <w:iCs w:val="1"/>
          <w:color w:val="auto"/>
        </w:rPr>
        <w:t>Corporate Proceedings</w:t>
      </w:r>
      <w:r>
        <w:rPr>
          <w:rFonts w:ascii="Arial" w:cs="Arial" w:eastAsia="Arial" w:hAnsi="Arial"/>
          <w:sz w:val="16"/>
          <w:szCs w:val="16"/>
          <w:color w:val="auto"/>
        </w:rPr>
        <w:t>”) prior to issuance thereof.</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Registration Statement and to the reference to our firm contained in the Registration Statement and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Selecta Biosciences, Inc. for the registration of up to $200,000,000 of its common stock, preferred stock, debt securities, warrants, and units and of up to $50,000,000 of its common stock related to the Open Market Sale Agreement, and to the incorporation by reference therein of our report dated March 12, 2020, with respect to the consolidated financial statements of Selecta Biosciences, Inc. included in its Annual Report (Form 10-K) for the year ended December 31, 2019, filed with the Securities and Exchange Commission.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amp;"/>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1)"/>
      <w:numFmt w:val="decimal"/>
      <w:start w:val="1"/>
    </w:lvl>
  </w:abstractNum>
  <w:abstractNum w:abstractNumId="23">
    <w:nsid w:val="168E121F"/>
    <w:multiLevelType w:val="hybridMultilevel"/>
    <w:lvl w:ilvl="0">
      <w:lvlJc w:val="left"/>
      <w:lvlText w:val="(%1)"/>
      <w:numFmt w:val="lowerLetter"/>
      <w:start w:val="2"/>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540A471C"/>
    <w:multiLevelType w:val="hybridMultilevel"/>
    <w:lvl w:ilvl="0">
      <w:lvlJc w:val="left"/>
      <w:lvlText w:val="(%1)"/>
      <w:numFmt w:val="lowerRoman"/>
      <w:start w:val="3"/>
    </w:lvl>
  </w:abstractNum>
  <w:abstractNum w:abstractNumId="28">
    <w:nsid w:val="7BD3EE7B"/>
    <w:multiLevelType w:val="hybridMultilevel"/>
    <w:lvl w:ilvl="0">
      <w:lvlJc w:val="left"/>
      <w:lvlText w:val="(%1)"/>
      <w:numFmt w:val="decimal"/>
      <w:start w:val="2"/>
    </w:lvl>
  </w:abstractNum>
  <w:abstractNum w:abstractNumId="29">
    <w:nsid w:val="51D9C564"/>
    <w:multiLevelType w:val="hybridMultilevel"/>
    <w:lvl w:ilvl="0">
      <w:lvlJc w:val="left"/>
      <w:lvlText w:val="(%1)"/>
      <w:numFmt w:val="decimal"/>
      <w:start w:val="5"/>
    </w:lvl>
    <w:lvl w:ilvl="1">
      <w:lvlJc w:val="left"/>
      <w:lvlText w:val="(%2)"/>
      <w:numFmt w:val="upperLetter"/>
      <w:start w:val="1"/>
    </w:lvl>
  </w:abstractNum>
  <w:abstractNum w:abstractNumId="30">
    <w:nsid w:val="613EFDC5"/>
    <w:multiLevelType w:val="hybridMultilevel"/>
    <w:lvl w:ilvl="0">
      <w:lvlJc w:val="left"/>
      <w:lvlText w:val="(%1)"/>
      <w:numFmt w:val="lowerRoman"/>
      <w:start w:val="1"/>
    </w:lvl>
  </w:abstractNum>
  <w:abstractNum w:abstractNumId="31">
    <w:nsid w:val="BF72B14"/>
    <w:multiLevelType w:val="hybridMultilevel"/>
    <w:lvl w:ilvl="0">
      <w:lvlJc w:val="left"/>
      <w:lvlText w:val="%1"/>
      <w:numFmt w:val="lowerLetter"/>
      <w:start w:val="1"/>
    </w:lvl>
    <w:lvl w:ilvl="1">
      <w:lvlJc w:val="left"/>
      <w:lvlText w:val="(%2)"/>
      <w:numFmt w:val="lowerRoman"/>
      <w:start w:val="3"/>
    </w:lvl>
  </w:abstractNum>
  <w:abstractNum w:abstractNumId="32">
    <w:nsid w:val="11447B73"/>
    <w:multiLevelType w:val="hybridMultilevel"/>
    <w:lvl w:ilvl="0">
      <w:lvlJc w:val="left"/>
      <w:lvlText w:val="(%1)"/>
      <w:numFmt w:val="lowerLetter"/>
      <w:start w:val="2"/>
    </w:lvl>
    <w:lvl w:ilvl="1">
      <w:lvlJc w:val="left"/>
      <w:lvlText w:val="%2"/>
      <w:numFmt w:val="lowerRoman"/>
      <w:start w:val="1"/>
    </w:lvl>
  </w:abstractNum>
  <w:abstractNum w:abstractNumId="33">
    <w:nsid w:val="42963E5A"/>
    <w:multiLevelType w:val="hybridMultilevel"/>
    <w:lvl w:ilvl="0">
      <w:lvlJc w:val="left"/>
      <w:lvlText w:val="(%1)"/>
      <w:numFmt w:val="lowerLetter"/>
      <w:start w:val="8"/>
    </w:lvl>
  </w:abstractNum>
  <w:abstractNum w:abstractNumId="34">
    <w:nsid w:val="A0382C5"/>
    <w:multiLevelType w:val="hybridMultilevel"/>
    <w:lvl w:ilvl="0">
      <w:lvlJc w:val="left"/>
      <w:lvlText w:val="(%1)"/>
      <w:numFmt w:val="lowerLetter"/>
      <w:start w:val="10"/>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1)"/>
      <w:numFmt w:val="decimal"/>
      <w:start w:val="5"/>
    </w:lvl>
    <w:lvl w:ilvl="1">
      <w:lvlJc w:val="left"/>
      <w:lvlText w:val="(%2)"/>
      <w:numFmt w:val="lowerLetter"/>
      <w:start w:val="1"/>
    </w:lvl>
  </w:abstractNum>
  <w:abstractNum w:abstractNumId="37">
    <w:nsid w:val="3B0FD379"/>
    <w:multiLevelType w:val="hybridMultilevel"/>
    <w:lvl w:ilvl="0">
      <w:lvlJc w:val="left"/>
      <w:lvlText w:val="(%1)"/>
      <w:numFmt w:val="lowerLetter"/>
      <w:start w:val="2"/>
    </w:lvl>
  </w:abstractNum>
  <w:abstractNum w:abstractNumId="38">
    <w:nsid w:val="68EB2F63"/>
    <w:multiLevelType w:val="hybridMultilevel"/>
    <w:lvl w:ilvl="0">
      <w:lvlJc w:val="left"/>
      <w:lvlText w:val="(%1)"/>
      <w:numFmt w:val="lowerLetter"/>
      <w:start w:val="3"/>
    </w:lvl>
  </w:abstractNum>
  <w:abstractNum w:abstractNumId="39">
    <w:nsid w:val="4962813B"/>
    <w:multiLevelType w:val="hybridMultilevel"/>
    <w:lvl w:ilvl="0">
      <w:lvlJc w:val="left"/>
      <w:lvlText w:val="(%1)"/>
      <w:numFmt w:val="lowerLetter"/>
      <w:start w:val="6"/>
    </w:lvl>
  </w:abstractNum>
  <w:abstractNum w:abstractNumId="40">
    <w:nsid w:val="60B6DF70"/>
    <w:multiLevelType w:val="hybridMultilevel"/>
    <w:lvl w:ilvl="0">
      <w:lvlJc w:val="left"/>
      <w:lvlText w:val="(%1)"/>
      <w:numFmt w:val="lowerLetter"/>
      <w:start w:val="7"/>
    </w:lvl>
  </w:abstractNum>
  <w:abstractNum w:abstractNumId="41">
    <w:nsid w:val="6A5EE64"/>
    <w:multiLevelType w:val="hybridMultilevel"/>
    <w:lvl w:ilvl="0">
      <w:lvlJc w:val="left"/>
      <w:lvlText w:val="(%1)"/>
      <w:numFmt w:val="lowerLetter"/>
      <w:start w:val="11"/>
    </w:lvl>
  </w:abstractNum>
  <w:abstractNum w:abstractNumId="42">
    <w:nsid w:val="14330624"/>
    <w:multiLevelType w:val="hybridMultilevel"/>
    <w:lvl w:ilvl="0">
      <w:lvlJc w:val="left"/>
      <w:lvlText w:val="%1"/>
      <w:numFmt w:val="lowerRoman"/>
      <w:start w:val="1"/>
    </w:lvl>
    <w:lvl w:ilvl="1">
      <w:lvlJc w:val="left"/>
      <w:lvlText w:val="(%2)"/>
      <w:numFmt w:val="lowerLetter"/>
      <w:start w:val="14"/>
    </w:lvl>
  </w:abstractNum>
  <w:abstractNum w:abstractNumId="43">
    <w:nsid w:val="7FFFCA11"/>
    <w:multiLevelType w:val="hybridMultilevel"/>
    <w:lvl w:ilvl="0">
      <w:lvlJc w:val="left"/>
      <w:lvlText w:val="(%1)"/>
      <w:numFmt w:val="lowerRoman"/>
      <w:start w:val="4"/>
    </w:lvl>
    <w:lvl w:ilvl="1">
      <w:lvlJc w:val="left"/>
      <w:lvlText w:val="(%2)"/>
      <w:numFmt w:val="lowerLetter"/>
      <w:start w:val="15"/>
    </w:lvl>
  </w:abstractNum>
  <w:abstractNum w:abstractNumId="44">
    <w:nsid w:val="1A27709E"/>
    <w:multiLevelType w:val="hybridMultilevel"/>
    <w:lvl w:ilvl="0">
      <w:lvlJc w:val="left"/>
      <w:lvlText w:val="(%1)"/>
      <w:numFmt w:val="lowerLetter"/>
      <w:start w:val="16"/>
    </w:lvl>
  </w:abstractNum>
  <w:abstractNum w:abstractNumId="45">
    <w:nsid w:val="71EA1109"/>
    <w:multiLevelType w:val="hybridMultilevel"/>
    <w:lvl w:ilvl="0">
      <w:lvlJc w:val="left"/>
      <w:lvlText w:val="(%1)"/>
      <w:numFmt w:val="lowerLetter"/>
      <w:start w:val="20"/>
    </w:lvl>
  </w:abstractNum>
  <w:abstractNum w:abstractNumId="46">
    <w:nsid w:val="100F59DC"/>
    <w:multiLevelType w:val="hybridMultilevel"/>
    <w:lvl w:ilvl="0">
      <w:lvlJc w:val="left"/>
      <w:lvlText w:val="(%1)"/>
      <w:numFmt w:val="lowerLetter"/>
      <w:start w:val="22"/>
    </w:lvl>
  </w:abstractNum>
  <w:abstractNum w:abstractNumId="47">
    <w:nsid w:val="7FB7E0AA"/>
    <w:multiLevelType w:val="hybridMultilevel"/>
    <w:lvl w:ilvl="0">
      <w:lvlJc w:val="left"/>
      <w:lvlText w:val="(%1)"/>
      <w:numFmt w:val="lowerLetter"/>
      <w:start w:val="25"/>
    </w:lvl>
  </w:abstractNum>
  <w:abstractNum w:abstractNumId="48">
    <w:nsid w:val="6EB5BD4"/>
    <w:multiLevelType w:val="hybridMultilevel"/>
    <w:lvl w:ilvl="0">
      <w:lvlJc w:val="left"/>
      <w:lvlText w:val="%1"/>
      <w:numFmt w:val="lowerLetter"/>
      <w:start w:val="1"/>
    </w:lvl>
    <w:lvl w:ilvl="1">
      <w:lvlJc w:val="left"/>
      <w:lvlText w:val="(%2)"/>
      <w:numFmt w:val="lowerLetter"/>
      <w:start w:val="27"/>
    </w:lvl>
  </w:abstractNum>
  <w:abstractNum w:abstractNumId="49">
    <w:nsid w:val="6F6DD9AC"/>
    <w:multiLevelType w:val="hybridMultilevel"/>
    <w:lvl w:ilvl="0">
      <w:lvlJc w:val="left"/>
      <w:lvlText w:val="(%1)"/>
      <w:numFmt w:val="lowerLetter"/>
      <w:start w:val="9"/>
    </w:lvl>
    <w:lvl w:ilvl="1">
      <w:lvlJc w:val="left"/>
      <w:lvlText w:val="%2"/>
      <w:numFmt w:val="lowerLetter"/>
      <w:start w:val="1"/>
    </w:lvl>
  </w:abstractNum>
  <w:abstractNum w:abstractNumId="50">
    <w:nsid w:val="94211F2"/>
    <w:multiLevelType w:val="hybridMultilevel"/>
    <w:lvl w:ilvl="0">
      <w:lvlJc w:val="left"/>
      <w:lvlText w:val="(%1)"/>
      <w:numFmt w:val="lowerLetter"/>
      <w:start w:val="31"/>
    </w:lvl>
  </w:abstractNum>
  <w:abstractNum w:abstractNumId="51">
    <w:nsid w:val="885E1B"/>
    <w:multiLevelType w:val="hybridMultilevel"/>
    <w:lvl w:ilvl="0">
      <w:lvlJc w:val="left"/>
      <w:lvlText w:val="%1"/>
      <w:numFmt w:val="decimal"/>
      <w:start w:val="1"/>
    </w:lvl>
    <w:lvl w:ilvl="1">
      <w:lvlJc w:val="left"/>
      <w:lvlText w:val="(%2)"/>
      <w:numFmt w:val="lowerLetter"/>
      <w:start w:val="34"/>
    </w:lvl>
  </w:abstractNum>
  <w:abstractNum w:abstractNumId="52">
    <w:nsid w:val="76272110"/>
    <w:multiLevelType w:val="hybridMultilevel"/>
    <w:lvl w:ilvl="0">
      <w:lvlJc w:val="left"/>
      <w:lvlText w:val="(%1)"/>
      <w:numFmt w:val="decimal"/>
      <w:start w:val="5"/>
    </w:lvl>
    <w:lvl w:ilvl="1">
      <w:lvlJc w:val="left"/>
      <w:lvlText w:val="%2"/>
      <w:numFmt w:val="lowerLetter"/>
      <w:start w:val="1"/>
    </w:lvl>
  </w:abstractNum>
  <w:abstractNum w:abstractNumId="53">
    <w:nsid w:val="4C04A8AF"/>
    <w:multiLevelType w:val="hybridMultilevel"/>
    <w:lvl w:ilvl="0">
      <w:lvlJc w:val="left"/>
      <w:lvlText w:val="(%1)"/>
      <w:numFmt w:val="lowerLetter"/>
      <w:start w:val="38"/>
    </w:lvl>
  </w:abstractNum>
  <w:abstractNum w:abstractNumId="54">
    <w:nsid w:val="1716703B"/>
    <w:multiLevelType w:val="hybridMultilevel"/>
    <w:lvl w:ilvl="0">
      <w:lvlJc w:val="left"/>
      <w:lvlText w:val="(%1)"/>
      <w:numFmt w:val="lowerLetter"/>
      <w:start w:val="42"/>
    </w:lvl>
  </w:abstractNum>
  <w:abstractNum w:abstractNumId="55">
    <w:nsid w:val="14E17E33"/>
    <w:multiLevelType w:val="hybridMultilevel"/>
    <w:lvl w:ilvl="0">
      <w:lvlJc w:val="left"/>
      <w:lvlText w:val="(%1)"/>
      <w:numFmt w:val="lowerLetter"/>
      <w:start w:val="43"/>
    </w:lvl>
  </w:abstractNum>
  <w:abstractNum w:abstractNumId="56">
    <w:nsid w:val="3222E7CD"/>
    <w:multiLevelType w:val="hybridMultilevel"/>
    <w:lvl w:ilvl="0">
      <w:lvlJc w:val="left"/>
      <w:lvlText w:val="(%1)"/>
      <w:numFmt w:val="lowerLetter"/>
      <w:start w:val="48"/>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2"/>
    </w:lvl>
    <w:lvl w:ilvl="1">
      <w:lvlJc w:val="left"/>
      <w:lvlText w:val="(%2)"/>
      <w:numFmt w:val="lowerRoman"/>
      <w:start w:val="1"/>
    </w:lvl>
  </w:abstractNum>
  <w:abstractNum w:abstractNumId="59">
    <w:nsid w:val="2DF6D648"/>
    <w:multiLevelType w:val="hybridMultilevel"/>
    <w:lvl w:ilvl="0">
      <w:lvlJc w:val="left"/>
      <w:lvlText w:val="%1"/>
      <w:numFmt w:val="lowerRoman"/>
      <w:start w:val="1"/>
    </w:lvl>
    <w:lvl w:ilvl="1">
      <w:lvlJc w:val="left"/>
      <w:lvlText w:val="(%2)"/>
      <w:numFmt w:val="lowerRoman"/>
      <w:start w:val="5"/>
    </w:lvl>
  </w:abstractNum>
  <w:abstractNum w:abstractNumId="60">
    <w:nsid w:val="46B7D447"/>
    <w:multiLevelType w:val="hybridMultilevel"/>
    <w:lvl w:ilvl="0">
      <w:lvlJc w:val="left"/>
      <w:lvlText w:val="(%1)"/>
      <w:numFmt w:val="lowerRoman"/>
      <w:start w:val="5"/>
    </w:lvl>
    <w:lvl w:ilvl="1">
      <w:lvlJc w:val="left"/>
      <w:lvlText w:val="(%2)"/>
      <w:numFmt w:val="lowerRoman"/>
      <w:start w:val="7"/>
    </w:lvl>
  </w:abstractNum>
  <w:abstractNum w:abstractNumId="61">
    <w:nsid w:val="4A2AC315"/>
    <w:multiLevelType w:val="hybridMultilevel"/>
    <w:lvl w:ilvl="0">
      <w:lvlJc w:val="left"/>
      <w:lvlText w:val="(%1)"/>
      <w:numFmt w:val="lowerLetter"/>
      <w:start w:val="3"/>
    </w:lvl>
  </w:abstractNum>
  <w:abstractNum w:abstractNumId="62">
    <w:nsid w:val="39EE015C"/>
    <w:multiLevelType w:val="hybridMultilevel"/>
    <w:lvl w:ilvl="0">
      <w:lvlJc w:val="left"/>
      <w:lvlText w:val="%1"/>
      <w:numFmt w:val="lowerRoman"/>
      <w:start w:val="1"/>
    </w:lvl>
    <w:lvl w:ilvl="1">
      <w:lvlJc w:val="left"/>
      <w:lvlText w:val="(%2)"/>
      <w:numFmt w:val="lowerLetter"/>
      <w:start w:val="4"/>
    </w:lvl>
  </w:abstractNum>
  <w:abstractNum w:abstractNumId="63">
    <w:nsid w:val="57FC4FBB"/>
    <w:multiLevelType w:val="hybridMultilevel"/>
    <w:lvl w:ilvl="0">
      <w:lvlJc w:val="left"/>
      <w:lvlText w:val="(%1)"/>
      <w:numFmt w:val="lowerRoman"/>
      <w:start w:val="7"/>
    </w:lvl>
    <w:lvl w:ilvl="1">
      <w:lvlJc w:val="left"/>
      <w:lvlText w:val="%2"/>
      <w:numFmt w:val="lowerLetter"/>
      <w:start w:val="1"/>
    </w:lvl>
  </w:abstractNum>
  <w:abstractNum w:abstractNumId="64">
    <w:nsid w:val="CC1016F"/>
    <w:multiLevelType w:val="hybridMultilevel"/>
    <w:lvl w:ilvl="0">
      <w:lvlJc w:val="left"/>
      <w:lvlText w:val="%1"/>
      <w:numFmt w:val="decimal"/>
      <w:start w:val="1"/>
    </w:lvl>
    <w:lvl w:ilvl="1">
      <w:lvlJc w:val="left"/>
      <w:lvlText w:val="(%2)"/>
      <w:numFmt w:val="lowerLetter"/>
      <w:start w:val="1"/>
    </w:lvl>
  </w:abstractNum>
  <w:abstractNum w:abstractNumId="65">
    <w:nsid w:val="43F18422"/>
    <w:multiLevelType w:val="hybridMultilevel"/>
    <w:lvl w:ilvl="0">
      <w:lvlJc w:val="left"/>
      <w:lvlText w:val="(%1)"/>
      <w:numFmt w:val="decimal"/>
      <w:start w:val="1"/>
    </w:lvl>
    <w:lvl w:ilvl="1">
      <w:lvlJc w:val="left"/>
      <w:lvlText w:val="%2"/>
      <w:numFmt w:val="lowerLetter"/>
      <w:start w:val="1"/>
    </w:lvl>
  </w:abstractNum>
  <w:abstractNum w:abstractNumId="66">
    <w:nsid w:val="60EF0119"/>
    <w:multiLevelType w:val="hybridMultilevel"/>
    <w:lvl w:ilvl="0">
      <w:lvlJc w:val="left"/>
      <w:lvlText w:val="(%1)"/>
      <w:numFmt w:val="lowerLetter"/>
      <w:start w:val="2"/>
    </w:lvl>
  </w:abstractNum>
  <w:abstractNum w:abstractNumId="67">
    <w:nsid w:val="26F324BA"/>
    <w:multiLevelType w:val="hybridMultilevel"/>
    <w:lvl w:ilvl="0">
      <w:lvlJc w:val="left"/>
      <w:lvlText w:val="(%1)"/>
      <w:numFmt w:val="lowerLetter"/>
      <w:start w:val="5"/>
    </w:lvl>
  </w:abstractNum>
  <w:abstractNum w:abstractNumId="68">
    <w:nsid w:val="7F01579B"/>
    <w:multiLevelType w:val="hybridMultilevel"/>
    <w:lvl w:ilvl="0">
      <w:lvlJc w:val="left"/>
      <w:lvlText w:val="(%1)"/>
      <w:numFmt w:val="lowerLetter"/>
      <w:start w:val="8"/>
    </w:lvl>
  </w:abstractNum>
  <w:abstractNum w:abstractNumId="69">
    <w:nsid w:val="49DA307D"/>
    <w:multiLevelType w:val="hybridMultilevel"/>
    <w:lvl w:ilvl="0">
      <w:lvlJc w:val="left"/>
      <w:lvlText w:val="(%1)"/>
      <w:numFmt w:val="lowerLetter"/>
      <w:start w:val="12"/>
    </w:lvl>
    <w:lvl w:ilvl="1">
      <w:lvlJc w:val="left"/>
      <w:lvlText w:val="(%2)"/>
      <w:numFmt w:val="upperLetter"/>
      <w:start w:val="1"/>
    </w:lvl>
  </w:abstractNum>
  <w:abstractNum w:abstractNumId="70">
    <w:nsid w:val="7055A5F5"/>
    <w:multiLevelType w:val="hybridMultilevel"/>
    <w:lvl w:ilvl="0">
      <w:lvlJc w:val="left"/>
      <w:lvlText w:val="%1"/>
      <w:numFmt w:val="lowerLetter"/>
      <w:start w:val="1"/>
    </w:lvl>
    <w:lvl w:ilvl="1">
      <w:lvlJc w:val="left"/>
      <w:lvlText w:val="(%2)"/>
      <w:numFmt w:val="upperLetter"/>
      <w:start w:val="3"/>
    </w:lvl>
  </w:abstractNum>
  <w:abstractNum w:abstractNumId="71">
    <w:nsid w:val="5FB8370B"/>
    <w:multiLevelType w:val="hybridMultilevel"/>
    <w:lvl w:ilvl="0">
      <w:lvlJc w:val="left"/>
      <w:lvlText w:val="(%1)"/>
      <w:numFmt w:val="lowerLetter"/>
      <w:start w:val="16"/>
    </w:lvl>
    <w:lvl w:ilvl="1">
      <w:lvlJc w:val="left"/>
      <w:lvlText w:val="%2"/>
      <w:numFmt w:val="upperLetter"/>
      <w:start w:val="1"/>
    </w:lvl>
  </w:abstractNum>
  <w:abstractNum w:abstractNumId="72">
    <w:nsid w:val="50801EE1"/>
    <w:multiLevelType w:val="hybridMultilevel"/>
    <w:lvl w:ilvl="0">
      <w:lvlJc w:val="left"/>
      <w:lvlText w:val="(%1)"/>
      <w:numFmt w:val="lowerLetter"/>
      <w:start w:val="17"/>
    </w:lvl>
  </w:abstractNum>
  <w:abstractNum w:abstractNumId="73">
    <w:nsid w:val="488AC1A"/>
    <w:multiLevelType w:val="hybridMultilevel"/>
    <w:lvl w:ilvl="0">
      <w:lvlJc w:val="left"/>
      <w:lvlText w:val="(%1)"/>
      <w:numFmt w:val="lowerRoman"/>
      <w:start w:val="5"/>
    </w:lvl>
  </w:abstractNum>
  <w:abstractNum w:abstractNumId="74">
    <w:nsid w:val="5FB8011C"/>
    <w:multiLevelType w:val="hybridMultilevel"/>
    <w:lvl w:ilvl="0">
      <w:lvlJc w:val="left"/>
      <w:lvlText w:val="(%1)"/>
      <w:numFmt w:val="lowerLetter"/>
      <w:start w:val="1"/>
    </w:lvl>
    <w:lvl w:ilvl="1">
      <w:lvlJc w:val="left"/>
      <w:lvlText w:val="(%2)"/>
      <w:numFmt w:val="lowerLetter"/>
      <w:start w:val="9"/>
    </w:lvl>
  </w:abstractNum>
  <w:abstractNum w:abstractNumId="75">
    <w:nsid w:val="6AA78F7F"/>
    <w:multiLevelType w:val="hybridMultilevel"/>
    <w:lvl w:ilvl="0">
      <w:lvlJc w:val="left"/>
      <w:lvlText w:val="(%1)"/>
      <w:numFmt w:val="lowerRoman"/>
      <w:start w:val="2"/>
    </w:lvl>
  </w:abstractNum>
  <w:abstractNum w:abstractNumId="76">
    <w:nsid w:val="7672BD23"/>
    <w:multiLevelType w:val="hybridMultilevel"/>
    <w:lvl w:ilvl="0">
      <w:lvlJc w:val="left"/>
      <w:lvlText w:val="(%1)"/>
      <w:numFmt w:val="lowerLetter"/>
      <w:start w:val="2"/>
    </w:lvl>
  </w:abstractNum>
  <w:abstractNum w:abstractNumId="77">
    <w:nsid w:val="6FC75AF8"/>
    <w:multiLevelType w:val="hybridMultilevel"/>
    <w:lvl w:ilvl="0">
      <w:lvlJc w:val="left"/>
      <w:lvlText w:val="(%1)"/>
      <w:numFmt w:val="lowerLetter"/>
      <w:start w:val="1"/>
    </w:lvl>
  </w:abstractNum>
  <w:abstractNum w:abstractNumId="78">
    <w:nsid w:val="6A5F7029"/>
    <w:multiLevelType w:val="hybridMultilevel"/>
    <w:lvl w:ilvl="0">
      <w:lvlJc w:val="left"/>
      <w:lvlText w:val="%1"/>
      <w:numFmt w:val="lowerLetter"/>
      <w:start w:val="1"/>
    </w:lvl>
    <w:lvl w:ilvl="1">
      <w:lvlJc w:val="left"/>
      <w:lvlText w:val="(%2)"/>
      <w:numFmt w:val="lowerLetter"/>
      <w:start w:val="2"/>
    </w:lvl>
  </w:abstractNum>
  <w:abstractNum w:abstractNumId="79">
    <w:nsid w:val="7D5E18F8"/>
    <w:multiLevelType w:val="hybridMultilevel"/>
    <w:lvl w:ilvl="0">
      <w:lvlJc w:val="left"/>
      <w:lvlText w:val="(%1)"/>
      <w:numFmt w:val="lowerLetter"/>
      <w:start w:val="61"/>
    </w:lvl>
    <w:lvl w:ilvl="1">
      <w:lvlJc w:val="left"/>
      <w:lvlText w:val="%2"/>
      <w:numFmt w:val="lowerLetter"/>
      <w:start w:val="1"/>
    </w:lvl>
  </w:abstractNum>
  <w:abstractNum w:abstractNumId="80">
    <w:nsid w:val="5F3534A4"/>
    <w:multiLevelType w:val="hybridMultilevel"/>
    <w:lvl w:ilvl="0">
      <w:lvlJc w:val="left"/>
      <w:lvlText w:val="(%1)"/>
      <w:numFmt w:val="lowerLetter"/>
      <w:start w:val="4"/>
    </w:lvl>
  </w:abstractNum>
  <w:abstractNum w:abstractNumId="81">
    <w:nsid w:val="73A1821B"/>
    <w:multiLevelType w:val="hybridMultilevel"/>
    <w:lvl w:ilvl="0">
      <w:lvlJc w:val="left"/>
      <w:lvlText w:val="(%1)"/>
      <w:numFmt w:val="lowerLetter"/>
      <w:start w:val="1"/>
    </w:lvl>
    <w:lvl w:ilvl="1">
      <w:lvlJc w:val="left"/>
      <w:lvlText w:val="(%2)"/>
      <w:numFmt w:val="lowerLetter"/>
      <w:start w:val="35"/>
    </w:lvl>
  </w:abstractNum>
  <w:abstractNum w:abstractNumId="82">
    <w:nsid w:val="7DE67713"/>
    <w:multiLevelType w:val="hybridMultilevel"/>
    <w:lvl w:ilvl="0">
      <w:lvlJc w:val="left"/>
      <w:lvlText w:val="(%1)"/>
      <w:numFmt w:val="lowerLetter"/>
      <w:start w:val="1"/>
    </w:lvl>
  </w:abstractNum>
  <w:abstractNum w:abstractNumId="83">
    <w:nsid w:val="555C55B5"/>
    <w:multiLevelType w:val="hybridMultilevel"/>
    <w:lvl w:ilvl="0">
      <w:lvlJc w:val="left"/>
      <w:lvlText w:val="(%1)"/>
      <w:numFmt w:val="lowerLetter"/>
      <w:start w:val="2"/>
    </w:lvl>
  </w:abstractNum>
  <w:abstractNum w:abstractNumId="84">
    <w:nsid w:val="3FA62ACA"/>
    <w:multiLevelType w:val="hybridMultilevel"/>
    <w:lvl w:ilvl="0">
      <w:lvlJc w:val="left"/>
      <w:lvlText w:val="%1"/>
      <w:numFmt w:val="decimal"/>
      <w:start w:val="520"/>
    </w:lvl>
  </w:abstractNum>
  <w:abstractNum w:abstractNumId="85">
    <w:nsid w:val="14FCE74E"/>
    <w:multiLevelType w:val="hybridMultilevel"/>
    <w:lvl w:ilvl="0">
      <w:lvlJc w:val="left"/>
      <w:lvlText w:val="(%1)"/>
      <w:numFmt w:val="lowerLetter"/>
      <w:start w:val="5"/>
    </w:lvl>
  </w:abstractNum>
  <w:abstractNum w:abstractNumId="86">
    <w:nsid w:val="6A3DD3E8"/>
    <w:multiLevelType w:val="hybridMultilevel"/>
    <w:lvl w:ilvl="0">
      <w:lvlJc w:val="left"/>
      <w:lvlText w:val="(%1)"/>
      <w:numFmt w:val="lowerLetter"/>
      <w:start w:val="1"/>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6"/>
    </w:lvl>
  </w:abstractNum>
  <w:abstractNum w:abstractNumId="89">
    <w:nsid w:val="53299938"/>
    <w:multiLevelType w:val="hybridMultilevel"/>
    <w:lvl w:ilvl="0">
      <w:lvlJc w:val="left"/>
      <w:lvlText w:val="(%1)"/>
      <w:numFmt w:val="lowerLetter"/>
      <w:start w:val="1"/>
    </w:lvl>
  </w:abstractNum>
  <w:abstractNum w:abstractNumId="90">
    <w:nsid w:val="1FBFE8E0"/>
    <w:multiLevelType w:val="hybridMultilevel"/>
    <w:lvl w:ilvl="0">
      <w:lvlJc w:val="left"/>
      <w:lvlText w:val="(%1)"/>
      <w:numFmt w:val="lowerLetter"/>
      <w:start w:val="1"/>
    </w:lvl>
    <w:lvl w:ilvl="1">
      <w:lvlJc w:val="left"/>
      <w:lvlText w:val="(%2)"/>
      <w:numFmt w:val="lowerRoman"/>
      <w:start w:val="1"/>
    </w:lvl>
  </w:abstractNum>
  <w:abstractNum w:abstractNumId="91">
    <w:nsid w:val="5092CA79"/>
    <w:multiLevelType w:val="hybridMultilevel"/>
    <w:lvl w:ilvl="0">
      <w:lvlJc w:val="left"/>
      <w:lvlText w:val="(%1)"/>
      <w:numFmt w:val="lowerLetter"/>
      <w:start w:val="6"/>
    </w:lvl>
  </w:abstractNum>
  <w:abstractNum w:abstractNumId="92">
    <w:nsid w:val="1D545C4D"/>
    <w:multiLevelType w:val="hybridMultilevel"/>
    <w:lvl w:ilvl="0">
      <w:lvlJc w:val="left"/>
      <w:lvlText w:val="(%1)"/>
      <w:numFmt w:val="lowerLetter"/>
      <w:start w:val="5"/>
    </w:lvl>
  </w:abstractNum>
  <w:abstractNum w:abstractNumId="93">
    <w:nsid w:val="59ADEA3D"/>
    <w:multiLevelType w:val="hybridMultilevel"/>
    <w:lvl w:ilvl="0">
      <w:lvlJc w:val="left"/>
      <w:lvlText w:val="(%1)"/>
      <w:numFmt w:val="lowerLetter"/>
      <w:start w:val="1"/>
    </w:lvl>
  </w:abstractNum>
  <w:abstractNum w:abstractNumId="94">
    <w:nsid w:val="288F1A34"/>
    <w:multiLevelType w:val="hybridMultilevel"/>
    <w:lvl w:ilvl="0">
      <w:lvlJc w:val="left"/>
      <w:lvlText w:val="(%1)"/>
      <w:numFmt w:val="lowerLetter"/>
      <w:start w:val="3"/>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lowerLetter"/>
      <w:start w:val="1"/>
    </w:lvl>
  </w:abstractNum>
  <w:abstractNum w:abstractNumId="97">
    <w:nsid w:val="97E1B4E"/>
    <w:multiLevelType w:val="hybridMultilevel"/>
    <w:lvl w:ilvl="0">
      <w:lvlJc w:val="left"/>
      <w:lvlText w:val="(%1)"/>
      <w:numFmt w:val="lowerLetter"/>
      <w:start w:val="2"/>
    </w:lvl>
  </w:abstractNum>
  <w:abstractNum w:abstractNumId="98">
    <w:nsid w:val="51088277"/>
    <w:multiLevelType w:val="hybridMultilevel"/>
    <w:lvl w:ilvl="0">
      <w:lvlJc w:val="left"/>
      <w:lvlText w:val="(%1)"/>
      <w:numFmt w:val="lowerLetter"/>
      <w:start w:val="1"/>
    </w:lvl>
  </w:abstractNum>
  <w:abstractNum w:abstractNumId="99">
    <w:nsid w:val="1CA0C5FA"/>
    <w:multiLevelType w:val="hybridMultilevel"/>
    <w:lvl w:ilvl="0">
      <w:lvlJc w:val="left"/>
      <w:lvlText w:val="(%1)"/>
      <w:numFmt w:val="lowerLetter"/>
      <w:start w:val="1"/>
    </w:lvl>
    <w:lvl w:ilvl="1">
      <w:lvlJc w:val="left"/>
      <w:lvlText w:val="(%2)"/>
      <w:numFmt w:val="lowerRoman"/>
      <w:start w:val="1"/>
    </w:lvl>
  </w:abstractNum>
  <w:abstractNum w:abstractNumId="100">
    <w:nsid w:val="53584BCB"/>
    <w:multiLevelType w:val="hybridMultilevel"/>
    <w:lvl w:ilvl="0">
      <w:lvlJc w:val="left"/>
      <w:lvlText w:val="%1"/>
      <w:numFmt w:val="lowerLetter"/>
      <w:start w:val="1"/>
    </w:lvl>
    <w:lvl w:ilvl="1">
      <w:lvlJc w:val="left"/>
      <w:lvlText w:val="(%2)"/>
      <w:numFmt w:val="lowerRoman"/>
      <w:start w:val="2"/>
    </w:lvl>
  </w:abstractNum>
  <w:abstractNum w:abstractNumId="101">
    <w:nsid w:val="415E286C"/>
    <w:multiLevelType w:val="hybridMultilevel"/>
    <w:lvl w:ilvl="0">
      <w:lvlJc w:val="left"/>
      <w:lvlText w:val="(%1)"/>
      <w:numFmt w:val="lowerLetter"/>
      <w:start w:val="4"/>
    </w:lvl>
    <w:lvl w:ilvl="1">
      <w:lvlJc w:val="left"/>
      <w:lvlText w:val="%2"/>
      <w:numFmt w:val="lowerRoman"/>
      <w:start w:val="1"/>
    </w:lvl>
  </w:abstractNum>
  <w:abstractNum w:abstractNumId="102">
    <w:nsid w:val="7C58FD05"/>
    <w:multiLevelType w:val="hybridMultilevel"/>
    <w:lvl w:ilvl="0">
      <w:lvlJc w:val="left"/>
      <w:lvlText w:val="(%1)"/>
      <w:numFmt w:val="lowerLetter"/>
      <w:start w:val="1"/>
    </w:lvl>
  </w:abstractNum>
  <w:abstractNum w:abstractNumId="103">
    <w:nsid w:val="23D86AAC"/>
    <w:multiLevelType w:val="hybridMultilevel"/>
    <w:lvl w:ilvl="0">
      <w:lvlJc w:val="left"/>
      <w:lvlText w:val="(%1)"/>
      <w:numFmt w:val="lowerLetter"/>
      <w:start w:val="4"/>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6">
    <w:nsid w:val="E7FFA2B"/>
    <w:multiLevelType w:val="hybridMultilevel"/>
    <w:lvl w:ilvl="0">
      <w:lvlJc w:val="left"/>
      <w:lvlText w:val="(%1)"/>
      <w:numFmt w:val="lowerLetter"/>
      <w:start w:val="2"/>
    </w:lvl>
  </w:abstractNum>
  <w:abstractNum w:abstractNumId="107">
    <w:nsid w:val="3C5991AA"/>
    <w:multiLevelType w:val="hybridMultilevel"/>
    <w:lvl w:ilvl="0">
      <w:lvlJc w:val="left"/>
      <w:lvlText w:val="(%1)"/>
      <w:numFmt w:val="lowerLetter"/>
      <w:start w:val="1"/>
    </w:lvl>
  </w:abstractNum>
  <w:abstractNum w:abstractNumId="108">
    <w:nsid w:val="4BD8591A"/>
    <w:multiLevelType w:val="hybridMultilevel"/>
    <w:lvl w:ilvl="0">
      <w:lvlJc w:val="left"/>
      <w:lvlText w:val="(%1)"/>
      <w:numFmt w:val="lowerLetter"/>
      <w:start w:val="1"/>
    </w:lvl>
  </w:abstractNum>
  <w:abstractNum w:abstractNumId="109">
    <w:nsid w:val="78DF6A55"/>
    <w:multiLevelType w:val="hybridMultilevel"/>
    <w:lvl w:ilvl="0">
      <w:lvlJc w:val="left"/>
      <w:lvlText w:val="(%1)"/>
      <w:numFmt w:val="lowerLetter"/>
      <w:start w:val="4"/>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2"/>
    </w:lvl>
  </w:abstractNum>
  <w:abstractNum w:abstractNumId="112">
    <w:nsid w:val="6C80EC70"/>
    <w:multiLevelType w:val="hybridMultilevel"/>
    <w:lvl w:ilvl="0">
      <w:lvlJc w:val="left"/>
      <w:lvlText w:val="(%1)"/>
      <w:numFmt w:val="lowerLetter"/>
      <w:start w:val="1"/>
    </w:lvl>
  </w:abstractNum>
  <w:abstractNum w:abstractNumId="113">
    <w:nsid w:val="379E21B5"/>
    <w:multiLevelType w:val="hybridMultilevel"/>
    <w:lvl w:ilvl="0">
      <w:lvlJc w:val="left"/>
      <w:lvlText w:val="(%1)"/>
      <w:numFmt w:val="lowerLetter"/>
      <w:start w:val="5"/>
    </w:lvl>
  </w:abstractNum>
  <w:abstractNum w:abstractNumId="114">
    <w:nsid w:val="69E373"/>
    <w:multiLevelType w:val="hybridMultilevel"/>
    <w:lvl w:ilvl="0">
      <w:lvlJc w:val="left"/>
      <w:lvlText w:val="(%1)"/>
      <w:numFmt w:val="lowerLetter"/>
      <w:start w:val="1"/>
    </w:lvl>
  </w:abstractNum>
  <w:abstractNum w:abstractNumId="115">
    <w:nsid w:val="2C27173B"/>
    <w:multiLevelType w:val="hybridMultilevel"/>
    <w:lvl w:ilvl="0">
      <w:lvlJc w:val="left"/>
      <w:lvlText w:val="(%1)"/>
      <w:numFmt w:val="lowerLetter"/>
      <w:start w:val="6"/>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4"/>
    </w:lvl>
  </w:abstractNum>
  <w:abstractNum w:abstractNumId="120">
    <w:nsid w:val="3DD15094"/>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jpe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jpe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jpeg"/><Relationship Id="rId209" Type="http://schemas.openxmlformats.org/officeDocument/2006/relationships/image" Target="media/image187.png"/><Relationship Id="rId210" Type="http://schemas.openxmlformats.org/officeDocument/2006/relationships/image" Target="media/image188.jpeg"/><Relationship Id="rId211" Type="http://schemas.openxmlformats.org/officeDocument/2006/relationships/image" Target="media/image189.png"/><Relationship Id="rId212" Type="http://schemas.openxmlformats.org/officeDocument/2006/relationships/image" Target="media/image190.jpeg"/><Relationship Id="rId213" Type="http://schemas.openxmlformats.org/officeDocument/2006/relationships/image" Target="media/image191.png"/><Relationship Id="rId214" Type="http://schemas.openxmlformats.org/officeDocument/2006/relationships/image" Target="media/image192.jpeg"/><Relationship Id="rId215" Type="http://schemas.openxmlformats.org/officeDocument/2006/relationships/image" Target="media/image193.png"/><Relationship Id="rId216" Type="http://schemas.openxmlformats.org/officeDocument/2006/relationships/image" Target="media/image194.jpeg"/><Relationship Id="rId217" Type="http://schemas.openxmlformats.org/officeDocument/2006/relationships/image" Target="media/image195.png"/><Relationship Id="rId218" Type="http://schemas.openxmlformats.org/officeDocument/2006/relationships/image" Target="media/image196.jpeg"/><Relationship Id="rId219" Type="http://schemas.openxmlformats.org/officeDocument/2006/relationships/image" Target="media/image197.png"/><Relationship Id="rId220" Type="http://schemas.openxmlformats.org/officeDocument/2006/relationships/image" Target="media/image198.png"/><Relationship Id="rId23" Type="http://schemas.openxmlformats.org/officeDocument/2006/relationships/hyperlink" Target="http://www.sec.gov/Archives/edgar/data/1453687/000145368720000028/selectabiosciences10-k.htm" TargetMode="External"/><Relationship Id="rId24" Type="http://schemas.openxmlformats.org/officeDocument/2006/relationships/hyperlink" Target="http://www.sec.gov/Archives/edgar/data/1453687/000145368720000040/selectabiosciencesdef14a_2.htm" TargetMode="External"/><Relationship Id="rId25" Type="http://schemas.openxmlformats.org/officeDocument/2006/relationships/hyperlink" Target="http://www.sec.gov/Archives/edgar/data/1453687/000145368720000052/selectabiosciences10-q.htm" TargetMode="External"/><Relationship Id="rId26" Type="http://schemas.openxmlformats.org/officeDocument/2006/relationships/hyperlink" Target="http://www.sec.gov/ix?doc=/Archives/edgar/data/1453687/000145368720000096/selectabiosciences10-q.htm" TargetMode="External"/><Relationship Id="rId27" Type="http://schemas.openxmlformats.org/officeDocument/2006/relationships/hyperlink" Target="http://www.sec.gov/Archives/edgar/data/1453687/000145368720000063/selectabiosciences8-ks.htm" TargetMode="External"/><Relationship Id="rId28" Type="http://schemas.openxmlformats.org/officeDocument/2006/relationships/hyperlink" Target="http://www.sec.gov/Archives/edgar/data/1453687/000145368720000066/selectabiosciences8-kl.htm" TargetMode="External"/><Relationship Id="rId29" Type="http://schemas.openxmlformats.org/officeDocument/2006/relationships/hyperlink" Target="http://www.sec.gov/Archives/edgar/data/1453687/000145368720000070/selectabiosciences8-ka.htm" TargetMode="External"/><Relationship Id="rId30" Type="http://schemas.openxmlformats.org/officeDocument/2006/relationships/hyperlink" Target="http://www.sec.gov/Archives/edgar/data/1453687/000110465920076882/tm2023457-1_8k.htm" TargetMode="External"/><Relationship Id="rId31" Type="http://schemas.openxmlformats.org/officeDocument/2006/relationships/hyperlink" Target="http://www.sec.gov/Archives/edgar/data/1453687/000110465916126207/a15-22910_88a12b.htm" TargetMode="External"/><Relationship Id="rId56" Type="http://schemas.openxmlformats.org/officeDocument/2006/relationships/hyperlink" Target="http://www.sec.gov/ix?doc=/Archives/edgar/data/1453687/000145368720000028/selectabiosciences10-k.htm" TargetMode="External"/><Relationship Id="rId65" Type="http://schemas.openxmlformats.org/officeDocument/2006/relationships/hyperlink" Target="http://www.sec.gov/Archives/edgar/data/1453687/000145368720000033/selectabiosciences8-k_0331.htm" TargetMode="External"/><Relationship Id="rId66" Type="http://schemas.openxmlformats.org/officeDocument/2006/relationships/hyperlink" Target="http://www.sec.gov/Archives/edgar/data/1453687/000145368720000038/selectabiosciences8-k_0427.htm" TargetMode="External"/><Relationship Id="rId92" Type="http://schemas.openxmlformats.org/officeDocument/2006/relationships/hyperlink" Target="http://www.sec.gov/Archives/edgar/data/1453687/000110465916129891/a16-14002_1ex3d1.htm" TargetMode="External"/><Relationship Id="rId93" Type="http://schemas.openxmlformats.org/officeDocument/2006/relationships/hyperlink" Target="http://www.sec.gov/Archives/edgar/data/1453687/000110465916129891/a16-14002_1ex3d2.htm" TargetMode="External"/><Relationship Id="rId94" Type="http://schemas.openxmlformats.org/officeDocument/2006/relationships/hyperlink" Target="http://www.sec.gov/Archives/edgar/data/1453687/000104746916013398/a2228672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2020-08-06T16:20:11Z</dcterms:created>
  <dcterms:modified xsi:type="dcterms:W3CDTF">2020-08-06T16:20:11Z</dcterms:modified>
</cp:coreProperties>
</file>