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1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54" w:lineRule="exact"/>
        <w:rPr>
          <w:sz w:val="24"/>
          <w:szCs w:val="24"/>
          <w:color w:val="auto"/>
        </w:rPr>
      </w:pPr>
    </w:p>
    <w:p>
      <w:pPr>
        <w:ind w:left="20"/>
        <w:spacing w:after="0" w:line="207" w:lineRule="exact"/>
        <w:tabs>
          <w:tab w:leader="none" w:pos="200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32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6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9" w:lineRule="exact"/>
        <w:rPr>
          <w:rFonts w:ascii="MS PGothic" w:cs="MS PGothic" w:eastAsia="MS PGothic" w:hAnsi="MS PGothic"/>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637540</wp:posOffset>
            </wp:positionV>
            <wp:extent cx="2339975"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3997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Gaithersburg, Maryland 20878</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(the “Annual Meeting”) of Stockholders of Cartesian Therapeutics, Inc. (the “Company”) to be held on Friday, June 14, 2024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www.virtualshareholdermeeting.com/RNAC2024</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2024 Annual Meeting?” on page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Cartesian Therapeutics, Inc.</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April 26, 2024 and is first being mailed to stockholders on or about April 26,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Notice of 2024 Annual Meeting of Stockholders</w:t>
            </w:r>
          </w:p>
        </w:tc>
        <w:tc>
          <w:tcPr>
            <w:tcW w:w="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380" w:type="dxa"/>
            <w:vAlign w:val="bottom"/>
            <w:gridSpan w:val="8"/>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Questions and Answers About the 2024 Annual Meeting of Stockholders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7"/>
          </w:tcPr>
          <w:p>
            <w:pPr>
              <w:spacing w:after="0"/>
              <w:rPr>
                <w:sz w:val="18"/>
                <w:szCs w:val="18"/>
                <w:color w:val="auto"/>
              </w:rPr>
            </w:pPr>
          </w:p>
        </w:tc>
        <w:tc>
          <w:tcPr>
            <w:tcW w:w="5600" w:type="dxa"/>
            <w:vAlign w:val="bottom"/>
            <w:gridSpan w:val="5"/>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Proposal No. 3 Approval of Cartesian Therapeutics, Inc. Amended and Restated 2016 Incentive Award Plan</w:t>
            </w:r>
          </w:p>
        </w:tc>
        <w:tc>
          <w:tcPr>
            <w:tcW w:w="30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4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w:t>
            </w:r>
          </w:p>
        </w:tc>
        <w:tc>
          <w:tcPr>
            <w:tcW w:w="7660" w:type="dxa"/>
            <w:vAlign w:val="bottom"/>
            <w:gridSpan w:val="9"/>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2"/>
          </w:tcPr>
          <w:p>
            <w:pPr>
              <w:spacing w:after="0"/>
              <w:rPr>
                <w:sz w:val="18"/>
                <w:szCs w:val="18"/>
                <w:color w:val="auto"/>
              </w:rPr>
            </w:pPr>
          </w:p>
        </w:tc>
        <w:tc>
          <w:tcPr>
            <w:tcW w:w="5600" w:type="dxa"/>
            <w:vAlign w:val="bottom"/>
            <w:gridSpan w:val="5"/>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4"/>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10"/>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11"/>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Certain Relationships</w:t>
            </w:r>
          </w:p>
        </w:tc>
        <w:tc>
          <w:tcPr>
            <w:tcW w:w="3320" w:type="dxa"/>
            <w:vAlign w:val="bottom"/>
            <w:tcBorders>
              <w:top w:val="single" w:sz="8" w:color="0000FF"/>
            </w:tcBorders>
            <w:gridSpan w:val="10"/>
          </w:tcPr>
          <w:p>
            <w:pPr>
              <w:spacing w:after="0"/>
              <w:rPr>
                <w:sz w:val="18"/>
                <w:szCs w:val="18"/>
                <w:color w:val="auto"/>
              </w:rPr>
            </w:pPr>
          </w:p>
        </w:tc>
        <w:tc>
          <w:tcPr>
            <w:tcW w:w="5980" w:type="dxa"/>
            <w:vAlign w:val="bottom"/>
            <w:gridSpan w:val="6"/>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6"/>
          </w:tcPr>
          <w:p>
            <w:pPr>
              <w:spacing w:after="0"/>
              <w:rPr>
                <w:sz w:val="18"/>
                <w:szCs w:val="18"/>
                <w:color w:val="auto"/>
              </w:rPr>
            </w:pPr>
          </w:p>
        </w:tc>
        <w:tc>
          <w:tcPr>
            <w:tcW w:w="9120" w:type="dxa"/>
            <w:vAlign w:val="bottom"/>
            <w:gridSpan w:val="13"/>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5"/>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Cartesian Therapeutics, Inc.’s Annual Report on Form 10-K</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Appendix A: Cartesian Therapeutics, Inc. Amended and Restated 2016 Incentive Award Plan</w:t>
            </w:r>
          </w:p>
        </w:tc>
        <w:tc>
          <w:tcPr>
            <w:tcW w:w="6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2"/>
              </w:rPr>
              <w:t>A-1</w:t>
            </w:r>
          </w:p>
        </w:tc>
      </w:tr>
      <w:tr>
        <w:trPr>
          <w:trHeight w:val="986"/>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582930</wp:posOffset>
            </wp:positionV>
            <wp:extent cx="2339975"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997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Gaithersburg, Maryland 20878</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14, 2024</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The Annual Meeting of Stockholders (the “Annual Meeting”) of Cartesian Therapeutics, Inc., a Delaware corporation (the “Company”), will be held at</w:t>
      </w:r>
    </w:p>
    <w:p>
      <w:pPr>
        <w:spacing w:after="0" w:line="39"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14, 2024, by virtual meeting online at </w:t>
      </w:r>
      <w:r>
        <w:rPr>
          <w:rFonts w:ascii="Times New Roman" w:cs="Times New Roman" w:eastAsia="Times New Roman" w:hAnsi="Times New Roman"/>
          <w:sz w:val="18"/>
          <w:szCs w:val="18"/>
          <w:i w:val="1"/>
          <w:iCs w:val="1"/>
          <w:color w:val="auto"/>
        </w:rPr>
        <w:t>www.virtualshareholdermeeting.com/RNAC2024</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Carrie S. Cox and Murat Kalayoglu, M.D., Ph.D. as Class II Directors to serve until the 2027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Cartesian Therapeutics, Inc. Amended and Restated 2016 Incentive Award Plan, which is an amendment and restatement of the Selecta Biosciences, Inc. 2016 Incentive Award Plan;</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2024; and</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Holders of record of our common stock as of the close of business on April 18, 2024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StockholderRequests@cartesiantx.com, stating the purpose of the request and providing proof of ownership of our common stock. The Annual Meeting may be continued or adjourned from time to time without notice other than by announcement at the Annual Meeting.</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We encourage stockholders to submit their proxies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April 26, 2024</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582930</wp:posOffset>
            </wp:positionV>
            <wp:extent cx="233997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997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704 Quince Orchard Road</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Gaithersburg, Maryland 20878</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Cartesian Therapeutics, Inc. (the “Company”) of proxies to be voted at our Annual Meeting of Stockholders to be held on Friday, June 14, 2024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www.virtualshareholdermeeting.com/RNAC2024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18, 2024 (the “Record Date”), will be entitled to notice of and to vote at the Annual Meeting and any continuation, postponement, or adjournment of the Annual Meeting. As of the Record Date, there were 17,796,053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2023, (the “2023 Annual Report”) will be released on or about April 26, 2024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“Cartesian”, “Company”, “we”, “us”, and “our” refer to Cartesian Therapeutics,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14, 2024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the 2023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Carrie S. Cox and Murat Kalayoglu, M.D., Ph.D. as Class II Directors to serve until the 2027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Cartesian Therapeutics, Inc. Amended and Restated 2016 Incentive Award Plan, which is an amendment and restatement of the Selecta Biosciences, Inc. 2016 Incentive Award Plan;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2024; and</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w:t>
      </w:r>
    </w:p>
    <w:p>
      <w:pPr>
        <w:sectPr>
          <w:pgSz w:w="11900" w:h="16838" w:orient="portrait"/>
          <w:cols w:equalWidth="0" w:num="1">
            <w:col w:w="11160"/>
          </w:cols>
          <w:pgMar w:left="320" w:top="229" w:right="419"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Carrie S. Cox and Murat Kalayoglu, M.D., Ph.D. as Class 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Cartesian Therapeutics, Inc. Amended and Restated 2016 Incentive Award Plan;</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2024.</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Cartesian’s Board is soliciting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Cartesian is making this proxy statement and the 2023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stockholders electronically via the Internet. On or about April 26, 2024, we mailed to our stockholders an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2024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18, 2024.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17,796,053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2024 Annual Meeting?</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Cartesian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www.virtualshareholdermeeting.com/RNAC2024</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Chairman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can vote at the Annual Meeting by visiting </w:t>
      </w:r>
      <w:r>
        <w:rPr>
          <w:rFonts w:ascii="Times New Roman" w:cs="Times New Roman" w:eastAsia="Times New Roman" w:hAnsi="Times New Roman"/>
          <w:sz w:val="18"/>
          <w:szCs w:val="18"/>
          <w:i w:val="1"/>
          <w:iCs w:val="1"/>
          <w:color w:val="auto"/>
        </w:rPr>
        <w:t>www.virtualshareholdermeeting.com/RNAC2024</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14, 2024.</w:t>
      </w:r>
    </w:p>
    <w:p>
      <w:pPr>
        <w:spacing w:after="0" w:line="6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13, 2024.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We encourage stockholders to submit their proxies via the Internet or telephone. If you submit your proxy, you may still decide to attend the Annual Meeting and vote your shares electronically.</w:t>
      </w:r>
    </w:p>
    <w:p>
      <w:pPr>
        <w:spacing w:after="0" w:line="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www.virtualshareholdermeeting.com/RNAC2024</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of the Company before your proxy is voted or you vote electronically at the virtual Annual Meeting.</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of this proxy statement, as well as with the description of each proposal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Effect of Votes</w:t>
            </w:r>
          </w:p>
        </w:tc>
        <w:tc>
          <w:tcPr>
            <w:tcW w:w="0" w:type="dxa"/>
            <w:vAlign w:val="bottom"/>
          </w:tcPr>
          <w:p>
            <w:pPr>
              <w:spacing w:after="0"/>
              <w:rPr>
                <w:sz w:val="1"/>
                <w:szCs w:val="1"/>
                <w:color w:val="auto"/>
              </w:rPr>
            </w:pPr>
          </w:p>
        </w:tc>
      </w:tr>
      <w:tr>
        <w:trPr>
          <w:trHeight w:val="18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4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300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Withheld/Abstentions and</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vMerge w:val="continue"/>
          </w:tcPr>
          <w:p>
            <w:pPr>
              <w:spacing w:after="0"/>
              <w:rPr>
                <w:sz w:val="20"/>
                <w:szCs w:val="20"/>
                <w:color w:val="auto"/>
              </w:rPr>
            </w:pPr>
          </w:p>
        </w:tc>
        <w:tc>
          <w:tcPr>
            <w:tcW w:w="454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169"/>
        </w:trPr>
        <w:tc>
          <w:tcPr>
            <w:tcW w:w="37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Proposal 1: Election of Directors</w:t>
            </w:r>
          </w:p>
        </w:tc>
        <w:tc>
          <w:tcPr>
            <w:tcW w:w="454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The plurality of the votes cast. This means that the two</w:t>
            </w:r>
          </w:p>
        </w:tc>
        <w:tc>
          <w:tcPr>
            <w:tcW w:w="30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Votes withheld and broker non-votes</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45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nominees receiving the</w:t>
            </w:r>
          </w:p>
        </w:tc>
        <w:tc>
          <w:tcPr>
            <w:tcW w:w="30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will have no effect.</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45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highest number of affirmative “FOR” votes will be elected as</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II Directors.</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 Approval of Compensation of Named</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affirmative vote of the holders of a majority in voting</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of the votes cast.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no effect.</w:t>
            </w:r>
          </w:p>
        </w:tc>
        <w:tc>
          <w:tcPr>
            <w:tcW w:w="0" w:type="dxa"/>
            <w:vAlign w:val="bottom"/>
          </w:tcPr>
          <w:p>
            <w:pPr>
              <w:spacing w:after="0"/>
              <w:rPr>
                <w:sz w:val="1"/>
                <w:szCs w:val="1"/>
                <w:color w:val="auto"/>
              </w:rPr>
            </w:pPr>
          </w:p>
        </w:tc>
      </w:tr>
      <w:tr>
        <w:trPr>
          <w:trHeight w:val="60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3: Approval of Cartesian Therapeutics,</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affirmative vote of the holders of a majority in voting</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Inc. Amended and Restated 2016 Incentive Award</w:t>
            </w:r>
          </w:p>
        </w:tc>
        <w:tc>
          <w:tcPr>
            <w:tcW w:w="45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power of the votes cast.</w:t>
            </w:r>
          </w:p>
        </w:tc>
        <w:tc>
          <w:tcPr>
            <w:tcW w:w="30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have no effect.</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4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4: Ratification of Appointment</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affirmative vote of the holders of a majority</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0" w:type="dxa"/>
            <w:vAlign w:val="bottom"/>
          </w:tcPr>
          <w:p>
            <w:pPr>
              <w:spacing w:after="0"/>
              <w:rPr>
                <w:sz w:val="1"/>
                <w:szCs w:val="1"/>
                <w:color w:val="auto"/>
              </w:rPr>
            </w:pP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Independent Registered Public Accounting Firm in voting power of the votes cast.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no effect.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second, third and fourth proposals,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second, third, and fourth proposals.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approval of the Cartesian Therapeutics, Inc. Amended and Restated 2016 Incentive Award Plan. Broker non-votes count for purposes of determining whether a quorum is present.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two Class II Directors have been nominated to be elected to hold office until the Annual Meeting of Stockholders to be held in 2027 and until such director’s successor is elected and qualified or until such director’s earlier death, resignation or removal.</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currently have eight directors on our Board, including two Class II Directors. Our current Class II Directors are Carrie S. Cox, who has served on our Board since 2019, and Murat Kalayoglu, M.D., Ph.D., who has served on our Board since 2023. Carrie S. Cox and Murat Kalayoglu, M.D., Ph.D. were each nominated for election as a Class II Director at the Annual Meeting.</w:t>
      </w:r>
    </w:p>
    <w:p>
      <w:pPr>
        <w:spacing w:after="0" w:line="6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as amended (the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2026 Annual Meeting and whose subsequent term will expire at the 2029 Annual Meeting of Stockholders; Class II, whose current term expires at the Annual Meeting, and whose subsequent term will expire at the 2027 Annual Meeting of Stockholders; and Class III, whose term will expire at the 2025 Annual Meeting of Stockholders and whose subsequent term will expire at the 2028 Annual Meeting of Stockholders. The current Class I Directors are Michael Singer, M.D., Ph.D., Timothy A. Springer, Ph.D. and Patrick Zenner; the current Class II Directors are Carrie S. Cox and Murat Kalayoglu, M.D., Ph.D.; and the current Class III Directors are Timothy C. Barabe, Carsten Brunn, Ph.D. and Nishan de Silva, M.D., M.B.A.</w:t>
      </w:r>
    </w:p>
    <w:p>
      <w:pPr>
        <w:spacing w:after="0" w:line="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Charter and amended and restated by-laws (the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each of the below Class 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 Directors (</w:t>
      </w:r>
      <w:r>
        <w:rPr>
          <w:rFonts w:ascii="Times New Roman" w:cs="Times New Roman" w:eastAsia="Times New Roman" w:hAnsi="Times New Roman"/>
          <w:sz w:val="18"/>
          <w:szCs w:val="18"/>
          <w:b w:val="1"/>
          <w:bCs w:val="1"/>
          <w:i w:val="1"/>
          <w:iCs w:val="1"/>
          <w:color w:val="auto"/>
        </w:rPr>
        <w:t>Terms to Expire at 2027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have been nominated by the Board for election as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18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Murat Kalayoglu, M.D.,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5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66</w:t>
      </w:r>
    </w:p>
    <w:p>
      <w:pPr>
        <w:spacing w:after="0" w:line="13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MURAT KALAYOGLU, M.D.,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Dr. Kalayoglu co-founded and served as Chief Executive Officer of the private company then known as Cartesian Therapeutics, Inc. (“Old Cartesian”) 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2026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Singer, M.D., Ph.D.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MICHAEL SINGER, M.D., PH.D.</w:t>
      </w:r>
      <w:r>
        <w:rPr>
          <w:sz w:val="20"/>
          <w:szCs w:val="20"/>
          <w:color w:val="auto"/>
        </w:rPr>
        <w:tab/>
      </w:r>
      <w:r>
        <w:rPr>
          <w:rFonts w:ascii="Times New Roman" w:cs="Times New Roman" w:eastAsia="Times New Roman" w:hAnsi="Times New Roman"/>
          <w:sz w:val="17"/>
          <w:szCs w:val="17"/>
          <w:i w:val="1"/>
          <w:iCs w:val="1"/>
          <w:color w:val="auto"/>
        </w:rPr>
        <w:t>Age 50</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Dr. Singer co-founded and served as Chief Scientific Officer, later Chief Strategy Officer, and Chairman of the Board of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 Dr. Singer received his B.S. in biology, M.Phil and Ph.D. in neuroscience, and M.D. from Yale University and completed internship and residency at Harvard. He is a registered U.S. patent agent. Dr. Singer’s extensive knowledge of our business and our product candidates contributed to the Board’s conclusion that he should serve as a director of our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05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76</w:t>
      </w:r>
    </w:p>
    <w:p>
      <w:pPr>
        <w:spacing w:after="0" w:line="135"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9"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w:t>
      </w:r>
      <w:r>
        <w:rPr>
          <w:sz w:val="20"/>
          <w:szCs w:val="20"/>
          <w:color w:val="auto"/>
        </w:rPr>
        <w:tab/>
      </w:r>
      <w:r>
        <w:rPr>
          <w:rFonts w:ascii="Times New Roman" w:cs="Times New Roman" w:eastAsia="Times New Roman" w:hAnsi="Times New Roman"/>
          <w:sz w:val="17"/>
          <w:szCs w:val="17"/>
          <w:i w:val="1"/>
          <w:iCs w:val="1"/>
          <w:color w:val="auto"/>
        </w:rPr>
        <w:t>Age 77</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b w:val="1"/>
          <w:bCs w:val="1"/>
          <w:i w:val="1"/>
          <w:iCs w:val="1"/>
          <w:color w:val="auto"/>
        </w:rPr>
        <w:t>(Terms Expire at 2025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53</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w:t>
      </w:r>
      <w:r>
        <w:rPr>
          <w:sz w:val="20"/>
          <w:szCs w:val="20"/>
          <w:color w:val="auto"/>
        </w:rPr>
        <w:tab/>
      </w:r>
      <w:r>
        <w:rPr>
          <w:rFonts w:ascii="Times New Roman" w:cs="Times New Roman" w:eastAsia="Times New Roman" w:hAnsi="Times New Roman"/>
          <w:sz w:val="17"/>
          <w:szCs w:val="17"/>
          <w:i w:val="1"/>
          <w:iCs w:val="1"/>
          <w:color w:val="auto"/>
        </w:rPr>
        <w:t>Age 71</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53</w:t>
      </w:r>
    </w:p>
    <w:p>
      <w:pPr>
        <w:spacing w:after="0" w:line="13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Dr. Brunn previously served as a member of the Board of Directors of Surface Oncology, Inc., a public oncology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Nishan de Silva, M.D., M.B.A. has served as a member of our Board 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200" w:lineRule="exact"/>
        <w:rPr>
          <w:sz w:val="20"/>
          <w:szCs w:val="20"/>
          <w:color w:val="auto"/>
        </w:rPr>
      </w:pPr>
    </w:p>
    <w:p>
      <w:pPr>
        <w:spacing w:after="0" w:line="27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 as required pursuant to Section 14A of the Securities Exchange Act of 1934, as amended (the “Exchange Act”).</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mRNA cell therapies for the treatment of autoimmune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jc w:val="both"/>
        <w:ind w:right="100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Approval of the Cartesian Therapeutics, Inc. Amended and Restated 2016 Incentive Award Plan</w:t>
      </w:r>
    </w:p>
    <w:p>
      <w:pPr>
        <w:spacing w:after="0" w:line="200" w:lineRule="exact"/>
        <w:rPr>
          <w:sz w:val="20"/>
          <w:szCs w:val="20"/>
          <w:color w:val="auto"/>
        </w:rPr>
      </w:pPr>
    </w:p>
    <w:p>
      <w:pPr>
        <w:spacing w:after="0" w:line="2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stockholders are being asked to approve the Cartesian Therapeutics, Inc. Amended and Restated 2016 Incentive Award Plan (the “Plan”), which is an amendment and restatement of the Selecta Biosciences, Inc. 2016 Incentive Award Plan (as in effect as of the date hereof, the “2016 Plan”). The amendment and restatement of the Plan was adopted by our Board, subject to stockholder approval, on April 25, 2024. If approved by stockholders, the amendment and restatement of the Plan will become effective as of June 14, 2024, the date of the Annual Meeting. Stockholder approval of the amendment and restatement of the Plan requires the affirmative vote of the holders of a majority of the votes cast on this proposal.</w:t>
      </w:r>
    </w:p>
    <w:p>
      <w:pPr>
        <w:spacing w:after="0" w:line="71"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8"/>
          <w:szCs w:val="18"/>
          <w:b w:val="1"/>
          <w:bCs w:val="1"/>
          <w:color w:val="auto"/>
        </w:rPr>
        <w:t>Summary of Changes to the Plan</w:t>
      </w:r>
    </w:p>
    <w:p>
      <w:pPr>
        <w:spacing w:after="0" w:line="121" w:lineRule="exact"/>
        <w:rPr>
          <w:sz w:val="20"/>
          <w:szCs w:val="20"/>
          <w:color w:val="auto"/>
        </w:rPr>
      </w:pPr>
    </w:p>
    <w:p>
      <w:pPr>
        <w:jc w:val="right"/>
        <w:ind w:right="8760"/>
        <w:spacing w:after="0"/>
        <w:rPr>
          <w:sz w:val="20"/>
          <w:szCs w:val="20"/>
          <w:color w:val="auto"/>
        </w:rPr>
      </w:pPr>
      <w:r>
        <w:rPr>
          <w:rFonts w:ascii="Times New Roman" w:cs="Times New Roman" w:eastAsia="Times New Roman" w:hAnsi="Times New Roman"/>
          <w:sz w:val="18"/>
          <w:szCs w:val="18"/>
          <w:color w:val="auto"/>
        </w:rPr>
        <w:t>The Plan includes changes to:</w:t>
      </w:r>
    </w:p>
    <w:p>
      <w:pPr>
        <w:spacing w:after="0" w:line="117" w:lineRule="exact"/>
        <w:rPr>
          <w:sz w:val="20"/>
          <w:szCs w:val="20"/>
          <w:color w:val="auto"/>
        </w:rPr>
      </w:pPr>
    </w:p>
    <w:p>
      <w:pPr>
        <w:ind w:left="660" w:right="3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Rename the “Selecta Biosciences, Inc. 2016 Incentive Award Plan” to the “Cartesian Therapeutics, Inc. Amended and Restated 2016 Incentive Award Plan”;</w:t>
      </w:r>
    </w:p>
    <w:p>
      <w:pPr>
        <w:spacing w:after="0" w:line="5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shares of Common Stock that may be issued under the Plan from 1,004,930 to 4,471,474, and provide for an automatic increase in such authorized number of shares on January 1 of each year, commencing on January 1, 2025 and ending on January 1, 2034, in an amount equal to 4% of the total number of shares of our Common Stock outstanding on December 31 of the preceding year, unless the Board acts prior to January 1 of a given year to provide that the increase for such year will be a lesser number;</w:t>
      </w:r>
    </w:p>
    <w:p>
      <w:pPr>
        <w:spacing w:after="0" w:line="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of Common Stock that may be issued pursuant to the exercise of incentive stock options (“ISOs”) from 271,111 to 44,714,740;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the Plan to April 25, 2034;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and update certain terms and provisions of the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Amendment and Restatement of the Plan</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Equity-based compensation is a vital part of our compensation program for our employees, consultants and directors, and we believe that the issuance of awards under the Plan is a critical factor in our ability to attract and retain outstanding and highly skilled individuals in the extremely competitive labor markets in which we operate. Awards to be issued under the Plan will motivate recipients to offer their maximum effort to the Company and help focus them on the creation of long-term value consistent with the interests of our stockholders.</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the amendment and restatement of the Plan is not approved by our stockholders, we will have remaining only 23,371 shares of Common Stock available for future grant under the 2016 Plan (plus any shares of Common Stock that might be returned to the 2016 Plan and any shares of Common Stock added to the 2016 Plan pursuant to automatic annual increases through January 1, 2026), based on awards outstanding as of the Record Date, and we will have limited ability to grant additional equity incentives under the 2016 Plan. Since the closing of the Merger (defined below), we have been working diligently to integrate and advance our clinical and development pipeline of mRNA cell therapies for the treatment of autoimmune diseases. Among other activities, we continue to focus on ensuring readiness in our clinical and manufacturing operations for our planned Phase 3 trial of our Descartes-08 product candidate. We expect these activities to result in increases in our employee headcount. We believe our ability to recruit, retain and incentivize top talent will be adversely affected if the Plan is not approved.</w:t>
      </w:r>
    </w:p>
    <w:p>
      <w:pPr>
        <w:spacing w:after="0" w:line="84"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Upon a review of the remaining shares of Common Stock available for grant under the 2016 Plan and the anticipated need for future equity award issuances, the Board approved the amendment and restatement of the Plan and the share pool authorized for issuance thereunder to ensure that we have sufficient equity plan capacity to continue to provide our eligible employees, consultants and directors with appropriate equity-based incentives.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the Plan</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material terms of the Plan, as approved by the Board, are summarized below. This summary is qualified in its entirety by reference to the complete text of the Plan, a copy of which is attached to this proxy statement as Appendix A. Cartesian stockholders are being asked to approve the Plan as presented. If the terms of the Plan are materially amended in a manner that would require stockholder approval under the rules of the Nasdaq Stock Market LLC (“Nasdaq”), other relevant listing authority or the ISO requirements, stockholders will be asked to approve such material amendment.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Eligibility</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purpose of the Plan is to enhance our ability to attract, retain and motivate persons who make (or are expected to make) important contributions to the Company by providing these individuals with equity ownership opportunities.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560"/>
        <w:spacing w:after="0" w:line="375" w:lineRule="auto"/>
        <w:rPr>
          <w:sz w:val="20"/>
          <w:szCs w:val="20"/>
          <w:color w:val="auto"/>
        </w:rPr>
      </w:pPr>
      <w:r>
        <w:rPr>
          <w:rFonts w:ascii="Times New Roman" w:cs="Times New Roman" w:eastAsia="Times New Roman" w:hAnsi="Times New Roman"/>
          <w:sz w:val="18"/>
          <w:szCs w:val="18"/>
          <w:color w:val="auto"/>
        </w:rPr>
        <w:t xml:space="preserve">employees, consultants and directors, and employees and consultants of our subsidiaries, are eligible to receive awards under the Plan. </w:t>
      </w:r>
      <w:r>
        <w:rPr>
          <w:rFonts w:ascii="Times New Roman" w:cs="Times New Roman" w:eastAsia="Times New Roman" w:hAnsi="Times New Roman"/>
          <w:sz w:val="18"/>
          <w:szCs w:val="18"/>
          <w:b w:val="1"/>
          <w:bCs w:val="1"/>
          <w:i w:val="1"/>
          <w:iCs w:val="1"/>
          <w:color w:val="auto"/>
        </w:rPr>
        <w:t>Shares of Common Stock Subject to the Plan</w:t>
      </w:r>
    </w:p>
    <w:p>
      <w:pPr>
        <w:spacing w:after="0" w:line="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may be issued pursuant to all awards under the Plan (the “Overall Share Limit”), after giving effect to the additional shares proposed to be added under this proposal, is 4,471,474 shares of Common Stock, and the maximum aggregate number of shares which may be issued pursuant to the exercise of ISOs is 44,714,740 shares of Common Stock.</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available for issuance will be increased annually on January 1 of each calendar year beginning in 2025 and ending in and including 2034, in an amount equal to 4% of the shares of Common Stock outstanding on December 31 of the preceding year, unless our Board of Directors acts prior to January 1 of a given year to provide that the increase for such year will be a lesser number. Shares of Common Stock issued under the Plan may be authorized but unissued shares, shares purchased on the open market or treasury shares.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an Award under the Plan expires, lapses or is terminated, exchanged for cash, surrendered, repurchased, canceled without having been fully exercised or forfeited, any unused shares of Common Stock subject to the award will again be available for new grants under the Plan. Further, any shares of Common Stock that are delivered to the Company by a participant to satisfy the applicable exercise or purchase price and/or to satisfy any applicable tax withholding obligation will be added back to the shares of Common Stock available for issuance. Awards granted under the Plan in substitution for any options or other stock or stock-based awards granted by an entity before the entity’s merger or consolidation with us or our acquisition of the entity’s property or stock will not reduce the shares of Common Stock available for grant under the Plan, but will count against the maximum number of shares of Common Stock that may be issued upon the exercise of ISOs.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Plan is administered by the Board, which may delegate its duties and responsibilities to one or more committees of directors and/or officers (referred to collectively as the plan administrator below), subject to the limitations imposed under the Plan, Section 16 of the Exchange Act, stock exchange rules and other applicable laws. The plan administrator has the authority to take all actions and make all determinations under the Plan, to interpret the Plan and award agreements and to adopt, amend and repeal rules for the administration of the Plan as it deems advisable. The plan administrator also has the authority to determine which eligible service providers receive awards, grant awards and set the terms and conditions of all awards under the Plan, including any vesting and vesting acceleration provisions, subject to the conditions and limitations in the Plan.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11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stock options, including non-qualified stock options (“NSOs”) and ISOs, stock appreciation rights (“SARs”), restricted stock, dividend equivalents, restricted stock units (“RSUs”), and other stock or cash based awards. All awards under the Plan are set forth in award agreements, which detail the terms and conditions of awards, including any applicable vesting and payment terms and post-termination exercise limitations.</w:t>
      </w:r>
    </w:p>
    <w:p>
      <w:pPr>
        <w:spacing w:after="0" w:line="7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sum of grant date fair market value of all awards granted under the Plan and all cash and other compensation paid by us to any non-employee director on the Board in any fiscal year for service as a non-employee director shall not exceed $750,000, or $1,000,000 for the fiscal year in which the applicable non-employee director is initially elected or appointed to the Board.</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and SARs</w:t>
      </w:r>
    </w:p>
    <w:p>
      <w:pPr>
        <w:spacing w:after="0" w:line="11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Stock options provide for the purchase of shares of Common Stock in the future at an exercise price set on the grant date. SARs entitle their holder, upon exercise, to receive from us an amount equal to the appreciation of the shares of Common Stock subject to the award between the grant date and the exercise date. The plan administrator determines the number of shares of Common Stock covered by each option and SAR, the exercise price of each option and SAR and the conditions and limitations applicable to the exercise of each option and SAR. The exercise price of a stock option or SAR may not be less than 100% of the fair market value of the underlying share of Common Stock on the grant date (or 110% in the case of ISOs granted to certain significant stockholders), except with respect to certain substitute awards granted in connection with a corporate transaction. The plan administrator also has authority to determine the term of stock options and SARs granted under the Plan, up to a maximum of 10 years (or five years in the case of ISOs granted to certain significant stockholders). The term of a NSO or SAR will be automatically extended if, at the time of its scheduled expiration, the participant holding such option or SAR is prohibited by law or by our insider trading policy from exercising such option or SAR, provided that in no event may an option or SAR be exercised beyond the ten-year term of the applicable NSO or SAR. The Plan does not permit the repricing of options or SARs without shareholder approval.</w:t>
      </w:r>
    </w:p>
    <w:p>
      <w:pPr>
        <w:spacing w:after="0" w:line="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shares of Common Stock with respect to ISOs that are exercisable for the first time by an optionholder during any calendar year under all stock plans maintained by Cartesian may not exceed $100,000. Options or portions thereof that exceed such limit will generally be treated as NSOs.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and RSUs</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Restricted stock is an award of nontransferable shares of Common Stock that remain forfeitable unless and until specified conditions are met and which may be subject to a purchase price. Unless otherwise determined by the plan administrator, participants holding restricted stock are entitled to receive all ordinary cash dividends paid with respect to their shares of restricted stock. In addition, unless otherwise determined by the plan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RSUs are contractual promises to deliver shares of Common Stock in the future, which may also remain forfeitable unless and until specified conditions are met. If the plan administrator provides, a grant of RSUs may provide the participant with the right to receive dividend equivalents. Dividend equivalents may be paid prior to delivery of the underlying shares or credited to an account for the participant, settled in cash or shares of Common Stock and subject to the same restrictions on transferability and forfeitability as the RUSs with respect to which the dividend equivalents are granted. The plan administrator may provide that the delivery of the shares of Common Stock underlying RSUs will be deferred on a mandatory basis or at the election of the participant.</w:t>
      </w:r>
    </w:p>
    <w:p>
      <w:pPr>
        <w:spacing w:after="0" w:line="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terms and conditions applicable to restricted stock and RSUs will be determined by the plan administrator, subject to the conditions and limitations contained in the Plan.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Stock or Cash Based Awards</w:t>
      </w:r>
    </w:p>
    <w:p>
      <w:pPr>
        <w:spacing w:after="0" w:line="11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Other stock or cash based awards are awards of cash, fully vested shares of our Common Stock and other awards valued wholly or partially by referring to, or otherwise based on, shares of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goals, transfer restrictions and vesting conditions.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Criteria</w:t>
      </w:r>
    </w:p>
    <w:p>
      <w:pPr>
        <w:spacing w:after="0" w:line="1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plan administrator may select performance criteria for an award to establish performance goals for a performance period. Performance criteria under the Plan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Corporate Transactions and Recapitalizations</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certain corporate transactions and events affecting our Common Stock, including a change in control, or change in any applicable laws or accounting principles, the plan administrator has broad discretion to take action under the Plan to prevent the dilution or enlargement of intended benefits, facilitate the transaction or event or give effect to the change in applicable laws or accounting principles. This includes canceling awards for cash or property, accelerating the vesting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awards, providing for the assumption or substitution of awards by a successor entity, adjusting the number and type of shares subject to outstanding awards and/or with respect to which awards may be granted under the Plan and replacing or terminating awards under the Plan. In addition, in the event of certain non-reciprocal transactions with our stockholders, the plan administrator will make equitable adjustments to the Plan and outstanding awards as it deems appropriate to reflect the transaction.</w:t>
      </w:r>
    </w:p>
    <w:p>
      <w:pPr>
        <w:spacing w:after="0" w:line="7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a change in control occurs and an outstanding award that is not subject to performance-based vesting is not continued, converted, assumed or replaced with a substantially similar award by the Company or a successor entity, such awards shall become fully vested and exercisable and all forfeiture restriction on such awards shall lapse.</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the event of certain pending transactions, including a stock dividend, stock split, merger, consolidation, or other extraordinary transaction or change affecting our Common Stock or the share price of Common Stock, the plan administrator may refuse to permit the exercise of any award for up to 60 days before or after such transaction.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Amendment or Termination</w:t>
      </w:r>
    </w:p>
    <w:p>
      <w:pPr>
        <w:spacing w:after="0" w:line="11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plan administrator may amend, suspend or terminate the Plan at any time; however, no amendment, other than an amendment that increases the number of shares of Common Stock available under the Plan, may materially and adversely affect an outstanding award without the consent of the affected participant and stockholder approval will be obtained for any amendment to the extent necessary to comply with applicable laws. The Plan will remain in effect until April 25, 2034, unless earlier terminated by the plan administrator. No awards may be granted under the Plan after its termination.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Participants, Claw-back Provisions, Transferability and Participant Payments.</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Plan, and exercise price obligations arising in connection with the exercise of stock options under the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Aspects of Awards Under the Plan</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is a brief summary of the federal income tax aspects of awards that may be made under the Plan based on existing U.S. federal income tax laws. This summary provides only the basic tax rules. It does not describe a number of special tax rules, including the alternative minimum tax. It also does not reflect provisions of the income tax laws of any municipality, state or foreign country in which a holder may reside, nor does it reflect the tax consequences of a holder’s death. The tax consequences of awards under the Plan depend upon the type of award.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participant generally will not recognize taxable income at the time an option is granted and we generally will not be entitled to a tax deduction at that time.</w:t>
      </w:r>
    </w:p>
    <w:p>
      <w:pPr>
        <w:spacing w:after="0" w:line="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participant generally will recognize compensation taxable as ordinary income upon the exercise of a NSO equal to the excess of the fair market value of the shares of Common Stock purchased over their purchase price, and we will generally be entitled to a corresponding deduction. The tax basis for the acquired shares will be equal to the amount paid for the shares of Common Stock plus the amount of ordinary income recognized by the participant.</w:t>
      </w:r>
    </w:p>
    <w:p>
      <w:pPr>
        <w:spacing w:after="0" w:line="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 participant will not recognize income upon exercise of an ISO. If the shares of Common Stock acquired by exercise of an ISO are held for at least two years from the date the option was granted and one year from the date it was exercised, the difference between the exercise price of the option and the fair market value of the shares of Common Stock at the time of a disposition will be taxed as long-term capital gain or loss, and we will not be entitled to any deduction. If, however, such ISO shares are disposed of within either of the above-described periods, then in the year of that disposition the participant will recognize compensation taxable as ordinary income equal to the excess of the lesser of (i) the amount realized upon that disposition, and (ii) the excess of the fair market value of the shares of Common Stock on the date of the ISO exercise over the exercise price, and we generally will be entitled to a corresponding deduction. Any further gain (or loss) realized by the recipient generally will be taxed as short-term or long-term gain (or loss) depending on the holding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Recipients who receive RSU awards generally will recognize ordinary income when they receive shares of Common Stock upon settlement of the awards in an amount equal to the fair market value of the shares of Common Stock at that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Recipients who receive awards of restricted stock subject to a vesting requirement generally will recognize ordinary income at the time vesting occurs in an amount equal to the fair market value of the shares of Common Stock at that time minus the amount, if any, paid for the shares of Common Stock. However, a recipient who receives restricted stock that is not vested may, within 30 days of the date the shares of Common Stock are transferred, elect in accordance with Section 83(b) of the Code to recognize ordinary compensation income at the time of transfer of the shares of Common Stock rather than upon the vesting dates. Recipients who receive SARs generally will recognize ordinary income upon exercise in an amount equal to the excess of the fair market value of the underlying shares of Common Stock on the exercise date over the grant price. We generally will be entitled to a tax deduction at the same time and in the same amount as ordinary income is recognized by the recipient.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on Deductions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Section 162(m) of the Code places a limit of $1,000,000 on the amount we may deduct in any one year for compensation paid to each of our “covered employees.” The definition of “covered employee” includes anyone who was the Company’s Chief Executive Officer or Chief Financial Officer at any time during the year, as well as the Company’s three other most highly compensated executive officers during the year, and any such individual who is or became a covered employee after December 31, 2016 will always be treated as a covered employee, even after termination of employment. For taxable years beginning after December 31, 2026, the definition of “covered employee” will also include the employees who are among the five highest compensated employees for the applicable taxable year other than the Company’s Chief Executive Officer, Chief Financial Officer, or three other most highly compensated executive officers for such year. Accordingly, awards granted to our covered employees under the Plan may not be fully deductible.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Section 409A of the Code applies to any awards under the Plan that are deemed to be non-qualified deferred compensation. If the requirements of Section 409A of the Code are not met, the recipient may be required to include such deferred compensation in taxable income, and additional taxes and interest may be assessed on such amounts. If any awards are subject to Section 409A of the Code, we intend to have the awards comply with Section 409A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Grants of awards under the Plan are discretionary and the plan administrator has not yet determined to whom future awards will be made and the terms and conditions of such awards. As a result, no information is provided concerning the benefits to be delivered under the Plan to any individual or group of individuals. For information about awards granted to our named executive officers and directors during the year ended December 31, 2023, see “Executive and Director Compensation.” During 2023, awards under the 2016 Plan covering 126,922 shares of Common Stock were granted to our executive officers, awards under the 2016 Plan covering 21,915 shares of Common Stock were granted to our non-employee directors and awards under the 2016 Plan covering 68,832 shares of Common Stock were granted to our other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220" w:type="dxa"/>
            <w:vAlign w:val="bottom"/>
          </w:tcPr>
          <w:p>
            <w:pPr>
              <w:spacing w:after="0"/>
              <w:rPr>
                <w:sz w:val="18"/>
                <w:szCs w:val="18"/>
                <w:color w:val="auto"/>
              </w:rPr>
            </w:pPr>
          </w:p>
        </w:tc>
        <w:tc>
          <w:tcPr>
            <w:tcW w:w="2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3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20" w:type="dxa"/>
            <w:vAlign w:val="bottom"/>
          </w:tcPr>
          <w:p>
            <w:pPr>
              <w:spacing w:after="0"/>
              <w:rPr>
                <w:sz w:val="18"/>
                <w:szCs w:val="18"/>
                <w:color w:val="auto"/>
              </w:rPr>
            </w:pPr>
          </w:p>
        </w:tc>
        <w:tc>
          <w:tcPr>
            <w:tcW w:w="2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3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220" w:type="dxa"/>
            <w:vAlign w:val="bottom"/>
          </w:tcPr>
          <w:p>
            <w:pPr>
              <w:spacing w:after="0"/>
              <w:rPr>
                <w:sz w:val="18"/>
                <w:szCs w:val="18"/>
                <w:color w:val="auto"/>
              </w:rPr>
            </w:pPr>
          </w:p>
        </w:tc>
        <w:tc>
          <w:tcPr>
            <w:tcW w:w="2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340" w:type="dxa"/>
            <w:vAlign w:val="bottom"/>
          </w:tcPr>
          <w:p>
            <w:pPr>
              <w:spacing w:after="0"/>
              <w:rPr>
                <w:sz w:val="18"/>
                <w:szCs w:val="18"/>
                <w:color w:val="auto"/>
              </w:rPr>
            </w:pPr>
          </w:p>
        </w:tc>
      </w:tr>
      <w:tr>
        <w:trPr>
          <w:trHeight w:val="240"/>
        </w:trPr>
        <w:tc>
          <w:tcPr>
            <w:tcW w:w="38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72"/>
              <w:spacing w:after="0" w:line="240"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3"/>
                <w:szCs w:val="23"/>
                <w:b w:val="1"/>
                <w:bCs w:val="1"/>
                <w:color w:val="auto"/>
                <w:w w:val="99"/>
                <w:vertAlign w:val="superscript"/>
              </w:rPr>
              <w:t>(1)</w:t>
            </w:r>
          </w:p>
        </w:tc>
        <w:tc>
          <w:tcPr>
            <w:tcW w:w="320" w:type="dxa"/>
            <w:vAlign w:val="bottom"/>
          </w:tcPr>
          <w:p>
            <w:pPr>
              <w:spacing w:after="0"/>
              <w:rPr>
                <w:sz w:val="20"/>
                <w:szCs w:val="20"/>
                <w:color w:val="auto"/>
              </w:rPr>
            </w:pPr>
          </w:p>
        </w:tc>
        <w:tc>
          <w:tcPr>
            <w:tcW w:w="210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4"/>
                <w:szCs w:val="14"/>
                <w:b w:val="1"/>
                <w:bCs w:val="1"/>
                <w:color w:val="auto"/>
                <w:w w:val="92"/>
              </w:rPr>
              <w:t>plans</w:t>
            </w:r>
            <w:r>
              <w:rPr>
                <w:rFonts w:ascii="Times New Roman" w:cs="Times New Roman" w:eastAsia="Times New Roman" w:hAnsi="Times New Roman"/>
                <w:sz w:val="23"/>
                <w:szCs w:val="23"/>
                <w:b w:val="1"/>
                <w:bCs w:val="1"/>
                <w:color w:val="auto"/>
                <w:w w:val="92"/>
                <w:vertAlign w:val="superscript"/>
              </w:rPr>
              <w:t>(2)</w:t>
            </w:r>
          </w:p>
        </w:tc>
        <w:tc>
          <w:tcPr>
            <w:tcW w:w="340" w:type="dxa"/>
            <w:vAlign w:val="bottom"/>
          </w:tcPr>
          <w:p>
            <w:pPr>
              <w:spacing w:after="0"/>
              <w:rPr>
                <w:sz w:val="20"/>
                <w:szCs w:val="20"/>
                <w:color w:val="auto"/>
              </w:rPr>
            </w:pPr>
          </w:p>
        </w:tc>
      </w:t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6"/>
                <w:szCs w:val="16"/>
                <w:color w:val="auto"/>
              </w:rPr>
            </w:pPr>
          </w:p>
        </w:tc>
        <w:tc>
          <w:tcPr>
            <w:tcW w:w="2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(b)</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6"/>
                <w:szCs w:val="16"/>
                <w:color w:val="auto"/>
              </w:rPr>
            </w:pPr>
          </w:p>
        </w:tc>
      </w:tr>
      <w:tr>
        <w:trPr>
          <w:trHeight w:val="2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9"/>
                <w:szCs w:val="9"/>
                <w:color w:val="auto"/>
              </w:rPr>
              <w:t>(3)</w:t>
            </w:r>
          </w:p>
        </w:tc>
        <w:tc>
          <w:tcPr>
            <w:tcW w:w="244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9"/>
                <w:szCs w:val="9"/>
                <w:color w:val="auto"/>
              </w:rPr>
              <w:t xml:space="preserve"> (4)</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gridSpan w:val="2"/>
            <w:shd w:val="clear" w:color="auto" w:fill="CCEEFF"/>
          </w:tcPr>
          <w:p>
            <w:pPr>
              <w:ind w:left="16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9"/>
                <w:szCs w:val="9"/>
                <w:color w:val="auto"/>
              </w:rPr>
              <w:t xml:space="preserve"> (4)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795,941</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9"/>
                <w:szCs w:val="9"/>
                <w:color w:val="auto"/>
                <w:w w:val="94"/>
              </w:rPr>
              <w:t>(5)</w:t>
            </w: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9"/>
                <w:szCs w:val="9"/>
                <w:color w:val="auto"/>
              </w:rPr>
              <w:t>(6)</w:t>
            </w:r>
          </w:p>
        </w:tc>
        <w:tc>
          <w:tcPr>
            <w:tcW w:w="2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790,977.299 </w:t>
            </w:r>
            <w:r>
              <w:rPr>
                <w:rFonts w:ascii="Times New Roman" w:cs="Times New Roman" w:eastAsia="Times New Roman" w:hAnsi="Times New Roman"/>
                <w:sz w:val="18"/>
                <w:szCs w:val="18"/>
                <w:color w:val="auto"/>
                <w:vertAlign w:val="superscript"/>
              </w:rPr>
              <w:t>(7)</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4.34</w:t>
            </w:r>
          </w:p>
        </w:tc>
        <w:tc>
          <w:tcPr>
            <w:tcW w:w="3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278,360</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r>
      <w:tr>
        <w:trPr>
          <w:trHeight w:val="190"/>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790,977.299</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4.34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1,074,301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RSUs.</w:t>
      </w:r>
    </w:p>
    <w:p>
      <w:pPr>
        <w:spacing w:after="0" w:line="103"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and the 2016 ESPP.</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outstanding stock options, warrants or rights under the 2016 Plan and the 2016 ESPP as of December 31,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750,146 shares available for issuance under the 2016 Plan and 45,795 shares available for issuance under the 2016 ESPP.</w:t>
      </w:r>
    </w:p>
    <w:p>
      <w:pPr>
        <w:spacing w:after="0" w:line="103"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Amended and Restated Employment Inducement Incentive Award Plan (the “2018 Plan”) and Old Cartesian’s 2016 Stock Incentive Plan (the “Old Cartesian Plan”). See Note 13 to our consolidated financial statements included in our 2023 Annual Report for a description of the material features of the 2018 Plan and the Old Cartesian Plan.</w:t>
      </w:r>
    </w:p>
    <w:p>
      <w:pPr>
        <w:spacing w:after="0" w:line="68" w:lineRule="exact"/>
        <w:rPr>
          <w:rFonts w:ascii="Times New Roman" w:cs="Times New Roman" w:eastAsia="Times New Roman" w:hAnsi="Times New Roman"/>
          <w:sz w:val="18"/>
          <w:szCs w:val="18"/>
          <w:color w:val="auto"/>
        </w:rPr>
      </w:pPr>
    </w:p>
    <w:p>
      <w:pPr>
        <w:ind w:left="660" w:hanging="328"/>
        <w:spacing w:after="0" w:line="239"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776,865 shares of Common Stock and to purchase 14,112.299 shares of Series A Non-Voting Convertible Preferred Stock, par value $0.0001 per share (“Series A Preferred Stock”), convertible to 470,403 shares of Common Stock, under the Old Cartesian Plan and no outstanding stock options, warrants or rights under the 2018 Plan as of December 31, 2023. Following the automatic conversion of the majority of our Series A Preferred Stock into Common Stock on April 8, 2024, the options exercisable for 14,112.299 shares of Series A Preferred Stock became exercisable for Common Stock.</w:t>
      </w:r>
    </w:p>
    <w:p>
      <w:pPr>
        <w:spacing w:after="0" w:line="89"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150,043 shares of Common Stock available for issuance under the 2018 Plan and 128,317 shares of Common Stock available for issuance under the Old Cartesian Plan.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approval of the Cartesian Therapeutics, Inc. Amended and Restated 2016 Incentive Award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2024.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2023.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2025.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00" w:lineRule="exact"/>
        <w:rPr>
          <w:sz w:val="20"/>
          <w:szCs w:val="20"/>
          <w:color w:val="auto"/>
        </w:rPr>
      </w:pPr>
    </w:p>
    <w:p>
      <w:pPr>
        <w:spacing w:after="0" w:line="2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Cartesian Therapeutics, Inc. The Audit Committee also considered whether the independent registered public accounting firm’s provision of certain other non-audit related services to the Company is compatible with maintaining such firm’s independence.</w:t>
      </w:r>
    </w:p>
    <w:p>
      <w:pPr>
        <w:spacing w:after="0" w:line="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2023.</w:t>
      </w:r>
    </w:p>
    <w:p>
      <w:pPr>
        <w:spacing w:after="0" w:line="200" w:lineRule="exact"/>
        <w:rPr>
          <w:sz w:val="20"/>
          <w:szCs w:val="20"/>
          <w:color w:val="auto"/>
        </w:rPr>
      </w:pPr>
    </w:p>
    <w:p>
      <w:pPr>
        <w:spacing w:after="0" w:line="24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5880"/>
        <w:spacing w:after="0"/>
        <w:rPr>
          <w:sz w:val="20"/>
          <w:szCs w:val="20"/>
          <w:color w:val="auto"/>
        </w:rPr>
      </w:pPr>
      <w:r>
        <w:rPr>
          <w:rFonts w:ascii="Times New Roman" w:cs="Times New Roman" w:eastAsia="Times New Roman" w:hAnsi="Times New Roman"/>
          <w:sz w:val="18"/>
          <w:szCs w:val="18"/>
          <w:color w:val="auto"/>
        </w:rPr>
        <w:t>DIRECTORS OF CARTESIAN THERAPEUTICS, INC.</w:t>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2,322,500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8,325</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r>
      <w:tr>
        <w:trPr>
          <w:trHeight w:val="189"/>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2,354,425</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1,136,230</w:t>
            </w:r>
          </w:p>
        </w:tc>
      </w:tr>
      <w:tr>
        <w:trPr>
          <w:trHeight w:val="27"/>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660" w:right="44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2023 and 2022 were pre-approved by the Audit Committee.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Blaine Davis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 Jewell,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Milos Miljkovic,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r>
        <w:trPr>
          <w:trHeight w:val="24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Emily English, Ph.D. </w:t>
            </w:r>
            <w:r>
              <w:rPr>
                <w:rFonts w:ascii="Times New Roman" w:cs="Times New Roman" w:eastAsia="Times New Roman" w:hAnsi="Times New Roman"/>
                <w:sz w:val="18"/>
                <w:szCs w:val="18"/>
                <w:color w:val="auto"/>
                <w:vertAlign w:val="superscript"/>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Head of Manufacturing</w:t>
            </w:r>
          </w:p>
        </w:tc>
      </w:tr>
    </w:tbl>
    <w:p>
      <w:pPr>
        <w:spacing w:after="0" w:line="367" w:lineRule="exact"/>
        <w:rPr>
          <w:sz w:val="20"/>
          <w:szCs w:val="20"/>
          <w:color w:val="auto"/>
        </w:rPr>
      </w:pPr>
    </w:p>
    <w:p>
      <w:pPr>
        <w:ind w:left="440" w:hanging="108"/>
        <w:spacing w:after="0"/>
        <w:tabs>
          <w:tab w:leader="none" w:pos="4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biography on page </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auto"/>
        </w:rPr>
        <w:t xml:space="preserve"> of this proxy statement.</w:t>
      </w:r>
    </w:p>
    <w:p>
      <w:pPr>
        <w:spacing w:after="0" w:line="90" w:lineRule="exact"/>
        <w:rPr>
          <w:sz w:val="20"/>
          <w:szCs w:val="20"/>
          <w:color w:val="auto"/>
        </w:rPr>
      </w:pPr>
    </w:p>
    <w:p>
      <w:pPr>
        <w:ind w:right="100" w:firstLine="332"/>
        <w:spacing w:after="0" w:line="244" w:lineRule="auto"/>
        <w:tabs>
          <w:tab w:leader="none" w:pos="42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Blaine Davis has served as our Chief Financial Officer since November 2022. Prior to joining the 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89" w:lineRule="exact"/>
        <w:rPr>
          <w:sz w:val="20"/>
          <w:szCs w:val="20"/>
          <w:color w:val="auto"/>
        </w:rPr>
      </w:pPr>
    </w:p>
    <w:p>
      <w:pPr>
        <w:ind w:right="20" w:firstLine="332"/>
        <w:spacing w:after="0" w:line="244" w:lineRule="auto"/>
        <w:tabs>
          <w:tab w:leader="none" w:pos="427"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Kurtoglu has served as the Chief Technology Officer of the Company since March 2024, prior to which Dr. Kurtoglu served as the Company’s Chief Operations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w:t>
      </w:r>
    </w:p>
    <w:p>
      <w:pPr>
        <w:spacing w:after="0" w:line="89" w:lineRule="exact"/>
        <w:rPr>
          <w:sz w:val="20"/>
          <w:szCs w:val="20"/>
          <w:color w:val="auto"/>
        </w:rPr>
      </w:pPr>
    </w:p>
    <w:p>
      <w:pPr>
        <w:ind w:firstLine="332"/>
        <w:spacing w:after="0" w:line="261" w:lineRule="auto"/>
        <w:tabs>
          <w:tab w:leader="none" w:pos="41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Dr. Jewell has served as the Chief Scientific Officer of the Company since November 2023. 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 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6" w:lineRule="exact"/>
        <w:rPr>
          <w:sz w:val="20"/>
          <w:szCs w:val="20"/>
          <w:color w:val="auto"/>
        </w:rPr>
      </w:pPr>
    </w:p>
    <w:p>
      <w:pPr>
        <w:ind w:right="20" w:firstLine="332"/>
        <w:spacing w:after="0" w:line="243" w:lineRule="auto"/>
        <w:tabs>
          <w:tab w:leader="none" w:pos="412"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Miljkovic has served as the Chief Medical Officer of the Company since November 2023. 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88" w:lineRule="exact"/>
        <w:rPr>
          <w:sz w:val="20"/>
          <w:szCs w:val="20"/>
          <w:color w:val="auto"/>
        </w:rPr>
      </w:pPr>
    </w:p>
    <w:p>
      <w:pPr>
        <w:ind w:right="100" w:firstLine="332"/>
        <w:spacing w:after="0" w:line="243" w:lineRule="auto"/>
        <w:tabs>
          <w:tab w:leader="none" w:pos="41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English has served as the Senior Vice President, Head of Manufacturing Operations of the 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“Merger Agreement”) by and among the Company, Old Cartesian, and the merger subsidiary parties thereto, dated as of November 13, 2023, the Company previously agreed to appoint each of Dr. Jewell and Dr. Kurtoglu to their roles as Chief Scientific Officer and Chief Operating Officer, respectively. Other than pursuant to the Merger Agreement, there are no known arrangements or understandings between either of Dr. Jewell or Dr. Kurtoglu and any other person pursuant to which either of them were selected as an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News” page of our website located at www.cartesiantherapeutics.com, or by writing to our Secretary at our offices at 704 Quince Orchard Road, Gaithersburg, Maryland 20878. The information contained on our website, and in all references to our website within this proxy statement, shall not be deemed incorporated by reference in this proxy statement or in any other filing we make under Exchange 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eight members: Timothy C. Barabe, Carsten Brunn, Ph.D., Carrie S. Cox, Nishan de Silva, M.D., M.B.A., Murat Kalayoglu, M.D., Ph.D., Michael Singer, M.D., Ph.D., Timothy A. Springer, Ph.D. and Patrick Zenner.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 entity affiliated with Dr. Kalayoglu was granted a right to designate one individual (initially, Dr. Kalayoglu) to be appointed to the Board for so long as such entity, collectively with its affiliates, directly or indirectly, holds at least 15% of the then-outstanding shares of Common Stock (assuming for such purposes that the conversion of our Series A Preferred Stock into Common Stock, without regard to the application of any beneficial ownership limitation on such conversion, has occurred). The automatic conversion of the majority of our Series A Preferred Stock into Common Stock occurred on April 8,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08"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All of our directors, Class II director nominees, and our former directors, Göran Ando,M.D., Scott D. Myers, and Aymeric Sallin, other than Carsten Brunn, Ph.D. and Timothy A. Springer,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84"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 director nominees were recommended by the Nominating and Corporate Governance Committee.</w:t>
      </w:r>
    </w:p>
    <w:p>
      <w:pPr>
        <w:spacing w:after="0" w:line="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704 Quince Orchard Road, Gaithersburg, Maryland 20878.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Cartesian Therapeutics, Inc., 704 Quince Orchard Road, Gaithersburg, Maryland 20878.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Cartesian.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Cartesian evaluates the effectiveness of this policy through annual self-evaluations completed by the Board and each of its committees.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Cartesian’s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information as of April 18, 2024 regarding the diversity characteristics of our Board in accordance with Nasdaq listing standard 5606, as self-reported by our directors.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90"/>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58"/>
        </w:trPr>
        <w:tc>
          <w:tcPr>
            <w:tcW w:w="4640" w:type="dxa"/>
            <w:vAlign w:val="bottom"/>
            <w:tcBorders>
              <w:lef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0"/>
        </w:trPr>
        <w:tc>
          <w:tcPr>
            <w:tcW w:w="4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were eighteen meetings of the Board during the fiscal year ended December 31, 2023. Our independent directors also held regularly scheduled executive sessions. During the fiscal year ended December 31, 2023, each director attended at least 75% of the aggregate of (i) all meetings of the Board and (ii) all meetings of the committees on which the director served, in each case during the period in which he or she served as a director.</w:t>
      </w:r>
    </w:p>
    <w:p>
      <w:pPr>
        <w:spacing w:after="0" w:line="68"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&amp; News” page of our website at www.cartesiantherapeutics.com,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2023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Science, IP and Quality.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 IP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Quality</w:t>
            </w: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Murat Kalayoglu, M.D.,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Singer, M.D.,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03" w:lineRule="exact"/>
        <w:rPr>
          <w:rFonts w:ascii="Times New Roman" w:cs="Times New Roman" w:eastAsia="Times New Roman" w:hAnsi="Times New Roman"/>
          <w:sz w:val="18"/>
          <w:szCs w:val="18"/>
          <w:color w:val="auto"/>
        </w:rPr>
      </w:pPr>
    </w:p>
    <w:p>
      <w:pPr>
        <w:ind w:left="660" w:right="7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19 of this proxy statement).</w:t>
      </w:r>
    </w:p>
    <w:p>
      <w:pPr>
        <w:spacing w:after="0" w:line="1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charter is available on the “Corporate Governance” section of the “Investors &amp; News” page of our website at www.cartesiantherapeutics.com. The members of the Audit Committee are Timothy C. Barabe, Carrie S. Cox, Nishan de Silva, M.D., M.B.A, and Patrick Zenner. Mr. Barabe serves as the Chairman of the Audit Committee. Our Board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the Audit Committee met six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Chief Executive Officer compensation;</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News” page of our website at www.cartesiantherapeutics.com. The Compensation Committee may also</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delegate to an officer the authority to grant equity awards to certain employees, as further described in its charter and subject to the terms of our equity plans.</w:t>
      </w:r>
    </w:p>
    <w:p>
      <w:pPr>
        <w:spacing w:after="0" w:line="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2023,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including the Chief Executive Officer, and to receive input and advice. The Compensation Committee has considered the adviser independence factors required under SEC rules as they relate to Compensia and does not believe Compensia’s prior work in 2022 or work in 2023 raised a conflict of interest.</w:t>
      </w:r>
    </w:p>
    <w:p>
      <w:pPr>
        <w:spacing w:after="0" w:line="8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ind w:firstLine="324"/>
        <w:spacing w:after="0" w:line="228" w:lineRule="exact"/>
        <w:rPr>
          <w:sz w:val="20"/>
          <w:szCs w:val="20"/>
          <w:color w:val="auto"/>
        </w:rPr>
      </w:pPr>
      <w:r>
        <w:rPr>
          <w:rFonts w:ascii="Times New Roman" w:cs="Times New Roman" w:eastAsia="Times New Roman" w:hAnsi="Times New Roman"/>
          <w:sz w:val="17"/>
          <w:szCs w:val="17"/>
          <w:color w:val="auto"/>
        </w:rPr>
        <w:t>The members of the Compensation Committee are Carrie S. Cox and Patrick Zenner. Carrie S. Cox serves as Chairman of the Compensation Committee. Our Board has determined that each of Ms. Cox, Mr. Zenner and our former directors and Compensation Committee members Göran Ando, M.D., Scott D. Myers, and Aymeric Sallin, is independent under the applicable SEC and Nasdaq rules, including the heightened standard for independence specific to members of a compensation committee, and is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 as defined in Rule 16b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promulgated under the Exchange Act.</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the Compensation Committee met eleven times.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&amp; News” page of our website at www.cartesiantherapeutics.com. The members of the Nominating and Corporate Governance Committee are Timothy C. Barabe, Michael Singer, M.D., Ph.D., and Patrick Zenner. Mr. Zenner serves as the Chairman of the Nominating and Corporate Governance Committee. Our Board has determined that each of Mr. Barabe, Dr. Singer, and Mr. Zenner, and our former director and Nominating and Corporate Governance Committee member, Scott D. Myers, is independent under the applicable Nasdaq rules.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the Nominating and Corporate Governance Committee met four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Science, IP and Quality Committee</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Science, IP and Quality Committee of the Board (the “SIPQ Committee”) does not maintain a charter in order to preserve maximum flexibility for its activities. Some of the activities undertaken by the SIPQ Committee include:</w:t>
      </w:r>
    </w:p>
    <w:p>
      <w:pPr>
        <w:spacing w:after="0" w:line="54" w:lineRule="exact"/>
        <w:rPr>
          <w:sz w:val="20"/>
          <w:szCs w:val="20"/>
          <w:color w:val="auto"/>
        </w:rPr>
      </w:pPr>
    </w:p>
    <w:p>
      <w:pPr>
        <w:ind w:left="660" w:right="2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chemistry, manufacturing, and controls, and clinical departments;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opining on the strategy for the Company’s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SIPQ Committee was formed on March 20, 2024, and consequently did not meet in 2023. The members of the SIPQ Committee are Nishan de Silva, M.D., M.B.A, Murat Kalayoglu, M.D., Ph.D., Michael Singer, M.D., Ph.D., and Timothy A. Springer, Ph.D. Dr. Kalayoglu serves as the Chairman of the SIPQ Committee.</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2023. It also explains how we determined the material elements of compensation for our principal executive officer, our principal financial officer, the two executive officers (other than our principal executive officer and principal financial officer) who were our most highly compensated currently serving executive officers for the year ended December 31, 2023, and the two executive officers who would have been among our two highly compensated executive officers for the year ended December 31, 2023 but for the fact that such individuals were not serving as executive officers at the end of the year ended December 31, 2023, whom we refer to collectively as our “Named Executive Officers.” For 2023, our Named Executive Officers were:</w:t>
      </w:r>
    </w:p>
    <w:p>
      <w:pPr>
        <w:spacing w:after="0" w:line="7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our Chief Technology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Jewell, Ph.D., our Chief Scientific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former Chief Medical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former Chief Operations Officer.</w:t>
      </w:r>
    </w:p>
    <w:p>
      <w:pPr>
        <w:spacing w:after="0" w:line="1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Business Highlights</w:t>
      </w:r>
    </w:p>
    <w:p>
      <w:pPr>
        <w:spacing w:after="0" w:line="121" w:lineRule="exact"/>
        <w:rPr>
          <w:sz w:val="20"/>
          <w:szCs w:val="20"/>
          <w:color w:val="auto"/>
        </w:rPr>
      </w:pPr>
    </w:p>
    <w:p>
      <w:pPr>
        <w:ind w:left="660" w:right="2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On November 13, 2023, we announced our Merger (defined below) with Old Cartesian, a clinical-stage biotechnology company pioneering mRNA cell therapies for autoimmune diseases. In connection with the merger, we also announced a $60.25 million private placement financing led by Timothy A. Springer, Ph.D., a member of our Board.</w:t>
      </w:r>
    </w:p>
    <w:p>
      <w:pPr>
        <w:spacing w:after="0" w:line="67" w:lineRule="exact"/>
        <w:rPr>
          <w:rFonts w:ascii="Times New Roman" w:cs="Times New Roman" w:eastAsia="Times New Roman" w:hAnsi="Times New Roman"/>
          <w:sz w:val="18"/>
          <w:szCs w:val="18"/>
          <w:color w:val="auto"/>
        </w:rPr>
      </w:pPr>
    </w:p>
    <w:p>
      <w:pPr>
        <w:ind w:left="66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Since consummating the Merger, we have been focused on continuing to advance our pipeline of innovative cell therapies, with several clinical milestones expected in 2024.</w:t>
      </w:r>
    </w:p>
    <w:p>
      <w:pPr>
        <w:spacing w:after="0" w:line="5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42424"/>
        </w:rPr>
        <w:t>In August 2023, we announced a strategic initiative designed to maximize stockholder value associated with our legacy product candidate, SEL-212. As part of the initiative, we announced plans to halt further investments in our pipeline programs outside of SEL-212 and Xork and to stop or discontinue non-essential activities.</w:t>
      </w:r>
    </w:p>
    <w:p>
      <w:pPr>
        <w:spacing w:after="0" w:line="68"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242424"/>
        </w:rPr>
        <w:t>SEL-212 is a combination of our ImmTOR immune tolerance platform and a therapeutic uricase enzyme (pegadricase). In March 2023, we and our SEL-212 development partner, Swedish Orphan Biovitrum AB (publ) (“Sobi”), reported positive Phase 3 data from the DISSOLVE I and II Phase 3, placebo-controlled, randomized clinical trials of SEL-212 for the treatment of patients with chronic refractory gout. Both trials met their primary endpoint, and SEL-212 was observed to be safe and well-tolerated.</w:t>
      </w:r>
    </w:p>
    <w:p>
      <w:pPr>
        <w:spacing w:after="0" w:line="72"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242424"/>
        </w:rPr>
        <w:t>In October 2023, we announced that we entered into an agreement to transition the manufacturing and development rights and remaining clinical operations of ImmTOR for SEL-212 to Sobi. Under the terms of the agreement, 15 of our employees transferred their employment to full-time positions at Sobi.</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Executive Compensation Highlights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took the following compensation actions for our Named Executive Officers for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70" w:type="dxa"/>
        <w:tblCellMar>
          <w:top w:w="0" w:type="dxa"/>
          <w:left w:w="0" w:type="dxa"/>
          <w:bottom w:w="0" w:type="dxa"/>
          <w:right w:w="0" w:type="dxa"/>
        </w:tblCellMar>
      </w:tblPr>
      <w:tr>
        <w:trPr>
          <w:trHeight w:val="151"/>
        </w:trPr>
        <w:tc>
          <w:tcPr>
            <w:tcW w:w="288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Base Salary Increase from</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 Annual Bonus Target as a</w:t>
            </w:r>
          </w:p>
        </w:tc>
        <w:tc>
          <w:tcPr>
            <w:tcW w:w="20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2023 Annual Time-Based Stock</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 Annual Time-Based RSU</w:t>
            </w:r>
          </w:p>
        </w:tc>
        <w:tc>
          <w:tcPr>
            <w:tcW w:w="0" w:type="dxa"/>
            <w:vAlign w:val="bottom"/>
          </w:tcPr>
          <w:p>
            <w:pPr>
              <w:spacing w:after="0"/>
              <w:rPr>
                <w:sz w:val="1"/>
                <w:szCs w:val="1"/>
                <w:color w:val="auto"/>
              </w:rPr>
            </w:pPr>
          </w:p>
        </w:tc>
      </w:tr>
      <w:tr>
        <w:trPr>
          <w:trHeight w:val="68"/>
        </w:trPr>
        <w:tc>
          <w:tcPr>
            <w:tcW w:w="2880" w:type="dxa"/>
            <w:vAlign w:val="bottom"/>
            <w:tcBorders>
              <w:left w:val="single" w:sz="8" w:color="auto"/>
              <w:right w:val="single" w:sz="8" w:color="auto"/>
            </w:tcBorders>
            <w:vMerge w:val="continue"/>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08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880" w:type="dxa"/>
            <w:vAlign w:val="bottom"/>
            <w:tcBorders>
              <w:left w:val="single" w:sz="8" w:color="auto"/>
              <w:right w:val="single" w:sz="8" w:color="auto"/>
            </w:tcBorders>
            <w:vMerge w:val="continue"/>
          </w:tcPr>
          <w:p>
            <w:pPr>
              <w:spacing w:after="0"/>
              <w:rPr>
                <w:sz w:val="6"/>
                <w:szCs w:val="6"/>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Base Salary</w:t>
            </w:r>
          </w:p>
        </w:tc>
        <w:tc>
          <w:tcPr>
            <w:tcW w:w="20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 of shares)</w:t>
            </w:r>
          </w:p>
        </w:tc>
        <w:tc>
          <w:tcPr>
            <w:tcW w:w="0" w:type="dxa"/>
            <w:vAlign w:val="bottom"/>
          </w:tcPr>
          <w:p>
            <w:pPr>
              <w:spacing w:after="0"/>
              <w:rPr>
                <w:sz w:val="1"/>
                <w:szCs w:val="1"/>
                <w:color w:val="auto"/>
              </w:rPr>
            </w:pPr>
          </w:p>
        </w:tc>
      </w:tr>
      <w:tr>
        <w:trPr>
          <w:trHeight w:val="112"/>
        </w:trPr>
        <w:tc>
          <w:tcPr>
            <w:tcW w:w="28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88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42,499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9,426</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bottom w:val="single" w:sz="8" w:color="auto"/>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Blaine Davis </w:t>
            </w:r>
            <w:r>
              <w:rPr>
                <w:rFonts w:ascii="Times New Roman" w:cs="Times New Roman" w:eastAsia="Times New Roman" w:hAnsi="Times New Roman"/>
                <w:sz w:val="18"/>
                <w:szCs w:val="18"/>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Chris Jewell, Ph.D. </w:t>
            </w:r>
            <w:r>
              <w:rPr>
                <w:rFonts w:ascii="Times New Roman" w:cs="Times New Roman" w:eastAsia="Times New Roman" w:hAnsi="Times New Roman"/>
                <w:sz w:val="18"/>
                <w:szCs w:val="18"/>
                <w:color w:val="auto"/>
                <w:vertAlign w:val="superscript"/>
              </w:rPr>
              <w:t>(3)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29,999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6,666</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(5)</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15,833</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160" w:hanging="328"/>
        <w:spacing w:after="0" w:line="266" w:lineRule="auto"/>
        <w:tabs>
          <w:tab w:leader="none" w:pos="7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was appointed Chief Financial Officer on November 28, 2022, and per the terms of his employment agreement was not eligible for a base salary increase, annual time-based stock options, or annual time-based RSU awards in 2022. Mr. Davis received a one-time grant of 41,666 options upon his hiring on November 28, 2022.</w:t>
      </w:r>
    </w:p>
    <w:p>
      <w:pPr>
        <w:spacing w:after="0" w:line="6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7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Operations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117"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ceased to serve as our Chief Medical Officer on November 13, 2023.</w:t>
      </w:r>
    </w:p>
    <w:p>
      <w:pPr>
        <w:spacing w:after="0" w:line="117"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Johnston ceased to serve as our Chief Operations Officer on November 13, 2023.</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2023, the majority of the target total direct compensation of our CEO consisted of variable pay, including cash awarded under our annual bonus plan and long-term incentives in the form of equity awards for which value is likely to be variable. In particular, 18.4% of our CEO’s 2023 target total direct compensation was delivered in stock options, which derive their value from potential increases in our stock price. Fixed pay, primarily consisting of base salary, made up only 10.1% of our CEO’s target total direct compensation in 2023, while variable pay, consisting of annual incentives in the form of an annual bonus program and long-term incentives in the form of equity awards, made up 89.9%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2023:</w:t>
      </w:r>
    </w:p>
    <w:p>
      <w:pPr>
        <w:spacing w:after="0" w:line="111"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258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8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 Pay (2023)</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9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$6,111,883</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89.9%</w:t>
            </w:r>
          </w:p>
        </w:tc>
      </w:tr>
      <w:tr>
        <w:trPr>
          <w:trHeight w:val="19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Blaine Davis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$2,494,759</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17.6%</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82.4%</w:t>
            </w:r>
          </w:p>
        </w:tc>
      </w:tr>
      <w:tr>
        <w:trPr>
          <w:trHeight w:val="203"/>
        </w:trPr>
        <w:tc>
          <w:tcPr>
            <w:tcW w:w="2580" w:type="dxa"/>
            <w:vAlign w:val="bottom"/>
            <w:tcBorders>
              <w:left w:val="single" w:sz="8" w:color="auto"/>
              <w:bottom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18"/>
                <w:szCs w:val="18"/>
                <w:color w:val="auto"/>
                <w:vertAlign w:val="superscript"/>
              </w:rPr>
              <w:t>(1)</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Technology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$71,243</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70.6%</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29.4%</w:t>
            </w:r>
          </w:p>
        </w:tc>
      </w:tr>
      <w:tr>
        <w:trPr>
          <w:trHeight w:val="196"/>
        </w:trPr>
        <w:tc>
          <w:tcPr>
            <w:tcW w:w="258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4"/>
                <w:szCs w:val="14"/>
                <w:color w:val="auto"/>
              </w:rPr>
              <w:t>Chris Jewell, Ph.D.</w:t>
            </w:r>
            <w:r>
              <w:rPr>
                <w:rFonts w:ascii="Times New Roman" w:cs="Times New Roman" w:eastAsia="Times New Roman" w:hAnsi="Times New Roman"/>
                <w:sz w:val="18"/>
                <w:szCs w:val="18"/>
                <w:color w:val="auto"/>
                <w:vertAlign w:val="superscript"/>
              </w:rPr>
              <w:t>(2)</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$53,100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70.6%</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29.4%</w:t>
            </w:r>
          </w:p>
        </w:tc>
      </w:tr>
      <w:tr>
        <w:trPr>
          <w:trHeight w:val="196"/>
        </w:trPr>
        <w:tc>
          <w:tcPr>
            <w:tcW w:w="258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18"/>
                <w:szCs w:val="18"/>
                <w:color w:val="auto"/>
                <w:vertAlign w:val="superscript"/>
              </w:rPr>
              <w:t>(3)</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Medical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$3,780,920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87.9%</w:t>
            </w:r>
          </w:p>
        </w:tc>
      </w:tr>
      <w:tr>
        <w:trPr>
          <w:trHeight w:val="196"/>
        </w:trPr>
        <w:tc>
          <w:tcPr>
            <w:tcW w:w="258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4"/>
                <w:szCs w:val="14"/>
                <w:color w:val="auto"/>
              </w:rPr>
              <w:t>Lloyd Johnston, Ph.D.</w:t>
            </w:r>
            <w:r>
              <w:rPr>
                <w:rFonts w:ascii="Times New Roman" w:cs="Times New Roman" w:eastAsia="Times New Roman" w:hAnsi="Times New Roman"/>
                <w:sz w:val="18"/>
                <w:szCs w:val="18"/>
                <w:color w:val="auto"/>
                <w:vertAlign w:val="superscript"/>
              </w:rPr>
              <w:t>(4)</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Operations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$2,697,590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84.0%</w:t>
            </w:r>
          </w:p>
        </w:tc>
      </w:tr>
    </w:tbl>
    <w:p>
      <w:pPr>
        <w:spacing w:after="0" w:line="171" w:lineRule="exact"/>
        <w:rPr>
          <w:sz w:val="20"/>
          <w:szCs w:val="20"/>
          <w:color w:val="auto"/>
        </w:rPr>
      </w:pPr>
    </w:p>
    <w:p>
      <w:pPr>
        <w:ind w:left="660" w:right="380" w:hanging="328"/>
        <w:spacing w:after="0" w:line="282" w:lineRule="auto"/>
        <w:tabs>
          <w:tab w:leader="none" w:pos="7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Operations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7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row represents Dr. Traber’s total pay at target. 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cash bonus plan for 2023 (the “2023 Bonus Plan”) by the Compensation Committee.</w:t>
      </w:r>
    </w:p>
    <w:p>
      <w:pPr>
        <w:spacing w:after="0" w:line="71" w:lineRule="exact"/>
        <w:rPr>
          <w:rFonts w:ascii="Times New Roman" w:cs="Times New Roman" w:eastAsia="Times New Roman" w:hAnsi="Times New Roman"/>
          <w:sz w:val="18"/>
          <w:szCs w:val="18"/>
          <w:color w:val="auto"/>
        </w:rPr>
      </w:pPr>
    </w:p>
    <w:p>
      <w:pPr>
        <w:jc w:val="both"/>
        <w:ind w:left="660" w:right="180" w:hanging="328"/>
        <w:spacing w:after="0" w:line="261" w:lineRule="auto"/>
        <w:tabs>
          <w:tab w:leader="none" w:pos="7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row represents Dr. Johnston’s total pay at target. Upon his departure as a full-time employee in December 2023, Dr. Johnston forfeited his 2023 annual target bonus opportunity of $173,888. However, as discussed under “—Post-Employment Compensation” below, Dr. Johnston was paid an amount of $173,888 as a term of his separation agreement, which was approved separately from the 2023 Bonus Plan by the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November 13, 2023 we entered into the Merger Agreement, pursuant to which Sakura Merger Sub I, Inc., a Delaware corporation and wholly owned subsidiary of ours (“First Merger Sub”) merged with and into Old Cartesian, pursuant to which Old Cartesian was the surviving corporation and became a wholly owned subsidiary of ours (the “First Merger”). Immediately following the First Merger, Old Cartesian merged with and into Sakura Merger Sub II, LLC, a Delaware limited liability company and wholly owned subsidiary of ours (“Second Merger Sub”), pursuant to which Second Merger Sub was the surviving entity (the “Second Merger” and, together with the First Merger,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provides that, among other things, upon the consummation of the First Merger:</w:t>
      </w:r>
    </w:p>
    <w:p>
      <w:pPr>
        <w:spacing w:after="0" w:line="117" w:lineRule="exact"/>
        <w:rPr>
          <w:sz w:val="20"/>
          <w:szCs w:val="20"/>
          <w:color w:val="auto"/>
        </w:rPr>
      </w:pPr>
    </w:p>
    <w:p>
      <w:pPr>
        <w:jc w:val="both"/>
        <w:ind w:left="660" w:right="2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acquire shares of Common Stock (a “Company Stock Option”) and each RSU award with respect to shares of Common Stock, in each case that was outstanding and unvested immediately prior to the Effective Time (as defined in the Merger Agreement), vested in full at the Effective Time;</w:t>
      </w:r>
    </w:p>
    <w:p>
      <w:pPr>
        <w:spacing w:after="0" w:line="67" w:lineRule="exact"/>
        <w:rPr>
          <w:rFonts w:ascii="Times New Roman" w:cs="Times New Roman" w:eastAsia="Times New Roman" w:hAnsi="Times New Roman"/>
          <w:sz w:val="18"/>
          <w:szCs w:val="18"/>
          <w:color w:val="auto"/>
        </w:rPr>
      </w:pPr>
    </w:p>
    <w:p>
      <w:pPr>
        <w:ind w:left="660" w:right="20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8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the impact of these provisions on awards held by our Named Executive Officers: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 Stock</w:t>
            </w:r>
          </w:p>
        </w:tc>
        <w:tc>
          <w:tcPr>
            <w:tcW w:w="14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Received for</w:t>
            </w:r>
          </w:p>
        </w:tc>
        <w:tc>
          <w:tcPr>
            <w:tcW w:w="1260" w:type="dxa"/>
            <w:vAlign w:val="bottom"/>
            <w:tcBorders>
              <w:top w:val="single" w:sz="8" w:color="auto"/>
              <w:right w:val="single" w:sz="8" w:color="auto"/>
            </w:tcBorders>
          </w:tcPr>
          <w:p>
            <w:pPr>
              <w:spacing w:after="0"/>
              <w:rPr>
                <w:sz w:val="18"/>
                <w:szCs w:val="18"/>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Options Subject to</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RSUs Subject to</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Company Stock</w:t>
            </w:r>
          </w:p>
        </w:tc>
        <w:tc>
          <w:tcPr>
            <w:tcW w:w="11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Canceled</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Cash Received</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Accelerated</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Accelerated</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RSUs</w:t>
            </w:r>
          </w:p>
        </w:tc>
        <w:tc>
          <w:tcPr>
            <w:tcW w:w="15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Company Stock</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Canceled</w:t>
            </w:r>
          </w:p>
        </w:tc>
      </w:tr>
      <w:tr>
        <w:trPr>
          <w:trHeight w:val="238"/>
        </w:trPr>
        <w:tc>
          <w:tcPr>
            <w:tcW w:w="29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Canceled</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Canceled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2,154,651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521,125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5,569,100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521,125</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$1,309,750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$1,073,518</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$987,500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1,339,155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291,200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2,250,300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291,200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$837,000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$599,872</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738,752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1,667,357</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173,000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$497,550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$356,380</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Metin Kurtoglu, M.D.,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 Jewell,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Cartesian Options and Adoption of Old Cartesian’s 2016 Stock Incentive Plan</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 and Jewell (a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2"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8"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Following the automatic conversion of the majority of our Series A Preferred Stock into Common Stock on April 8, 2024,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w:t>
      </w:r>
    </w:p>
    <w:p>
      <w:pPr>
        <w:spacing w:after="0" w:line="3" w:lineRule="exact"/>
        <w:rPr>
          <w:sz w:val="20"/>
          <w:szCs w:val="20"/>
          <w:color w:val="auto"/>
        </w:rPr>
      </w:pPr>
    </w:p>
    <w:p>
      <w:pPr>
        <w:ind w:right="560" w:firstLine="8"/>
        <w:spacing w:after="0" w:line="260" w:lineRule="auto"/>
        <w:tabs>
          <w:tab w:leader="none" w:pos="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of the Series A Preferred Stock subject to such Continuing Officer Option, by (B) 33.333 and rounding the resulting exercise price up to the nearest whole cent.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Merger, Drs. Kurtoglu and Jewell were granted Continuing Officer Options as summarized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30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 Exercise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Expiration</w:t>
            </w: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21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16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Options Exercisable</w:t>
            </w:r>
            <w:r>
              <w:rPr>
                <w:rFonts w:ascii="Times New Roman" w:cs="Times New Roman" w:eastAsia="Times New Roman" w:hAnsi="Times New Roman"/>
                <w:sz w:val="23"/>
                <w:szCs w:val="23"/>
                <w:b w:val="1"/>
                <w:bCs w:val="1"/>
                <w:color w:val="auto"/>
                <w:w w:val="97"/>
                <w:vertAlign w:val="superscript"/>
              </w:rPr>
              <w:t>(1)</w:t>
            </w:r>
          </w:p>
        </w:tc>
        <w:tc>
          <w:tcPr>
            <w:tcW w:w="21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Options Not Yet</w:t>
            </w:r>
          </w:p>
        </w:tc>
        <w:tc>
          <w:tcPr>
            <w:tcW w:w="16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65"/>
        </w:trPr>
        <w:tc>
          <w:tcPr>
            <w:tcW w:w="3300" w:type="dxa"/>
            <w:vAlign w:val="bottom"/>
            <w:tcBorders>
              <w:left w:val="single" w:sz="8" w:color="auto"/>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Exercisable</w:t>
            </w:r>
            <w:r>
              <w:rPr>
                <w:rFonts w:ascii="Times New Roman" w:cs="Times New Roman" w:eastAsia="Times New Roman" w:hAnsi="Times New Roman"/>
                <w:sz w:val="23"/>
                <w:szCs w:val="23"/>
                <w:b w:val="1"/>
                <w:bCs w:val="1"/>
                <w:color w:val="auto"/>
                <w:w w:val="95"/>
                <w:vertAlign w:val="superscript"/>
              </w:rPr>
              <w:t>(1)</w:t>
            </w:r>
          </w:p>
        </w:tc>
        <w:tc>
          <w:tcPr>
            <w:tcW w:w="168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r>
      <w:tr>
        <w:trPr>
          <w:trHeight w:val="22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Metin Kurtoglu, M.D., Ph.D.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213,820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11/6/2026</w:t>
            </w:r>
          </w:p>
        </w:tc>
      </w:tr>
      <w:tr>
        <w:trPr>
          <w:trHeight w:val="22"/>
        </w:trPr>
        <w:tc>
          <w:tcPr>
            <w:tcW w:w="330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14,254</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4/25/2031</w:t>
            </w:r>
          </w:p>
        </w:tc>
      </w:tr>
      <w:tr>
        <w:trPr>
          <w:trHeight w:val="22"/>
        </w:trPr>
        <w:tc>
          <w:tcPr>
            <w:tcW w:w="330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3,563</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10,691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2/29/2032</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 Jewell, Ph.D.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84,638</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57,909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1/15/2033</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right="120" w:hanging="328"/>
        <w:spacing w:after="0" w:line="266" w:lineRule="auto"/>
        <w:tabs>
          <w:tab w:leader="none" w:pos="7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August 25, 2023, our Board approved a one-time cash bonus payment (each, a “Retention Bonus” and together, the “Retention Bonuses”) to certain of our then-current executive officers equal to a multiplier of that executive officer’s annual base salary for 2023, including Dr. Brunn (2x annual base salary), Mr. Davis (2x annual base salary), Dr. Traber (1.5x annual base salary), and Dr. Johnston (2x annual base salary), provided that each such Retention Bonus recipient remains employed by us in good standing on March 31, 2024. In connection with the Merger, the Compensation Committee of the Board approved the acceleration of the payment of each Retention Bonus, each of which was paid shortly following the closing of the Merger, pursuant to retention bonus letters with each Retention Bonus recipient, provided that each Retention Bonus recipient will be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required to repay his or her Retention Bonus in the event that he or she ceases to provide services to the Company prior to either March 31, 2024 (in the case of Drs. Traber and Johnston, who both provided services through this date) or June 30, 2024 (in the case of Dr. Brunn and Mr. Davis), unless the recipient’s termination is due to an involuntary termination of all of the recipient’s services by the Company without cause.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40" w:hanging="470"/>
        <w:spacing w:after="0" w:line="286"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195" w:lineRule="exact"/>
        <w:rPr>
          <w:rFonts w:ascii="Wingdings" w:cs="Wingdings" w:eastAsia="Wingdings" w:hAnsi="Wingdings"/>
          <w:sz w:val="18"/>
          <w:szCs w:val="18"/>
          <w:b w:val="1"/>
          <w:bCs w:val="1"/>
          <w:color w:val="auto"/>
          <w:highlight w:val="black"/>
        </w:rPr>
      </w:pPr>
    </w:p>
    <w:p>
      <w:pPr>
        <w:ind w:left="820" w:right="78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In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engaged Compensia as compensation consultant to assist with its responsibilities. Compensia performs no consulting or other services for the Company.</w:t>
      </w:r>
    </w:p>
    <w:p>
      <w:pPr>
        <w:spacing w:after="0" w:line="209" w:lineRule="exact"/>
        <w:rPr>
          <w:rFonts w:ascii="Wingdings" w:cs="Wingdings" w:eastAsia="Wingdings" w:hAnsi="Wingdings"/>
          <w:sz w:val="18"/>
          <w:szCs w:val="18"/>
          <w:b w:val="1"/>
          <w:bCs w:val="1"/>
          <w:color w:val="auto"/>
          <w:highlight w:val="black"/>
        </w:rPr>
      </w:pPr>
    </w:p>
    <w:p>
      <w:pPr>
        <w:ind w:left="820" w:right="40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Wingdings" w:cs="Wingdings" w:eastAsia="Wingdings" w:hAnsi="Wingdings"/>
          <w:sz w:val="18"/>
          <w:szCs w:val="18"/>
          <w:b w:val="1"/>
          <w:bCs w:val="1"/>
          <w:color w:val="auto"/>
          <w:highlight w:val="black"/>
        </w:rPr>
      </w:pPr>
    </w:p>
    <w:p>
      <w:pPr>
        <w:ind w:left="820" w:right="8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09" w:lineRule="exact"/>
        <w:rPr>
          <w:rFonts w:ascii="Wingdings" w:cs="Wingdings" w:eastAsia="Wingdings" w:hAnsi="Wingdings"/>
          <w:sz w:val="18"/>
          <w:szCs w:val="18"/>
          <w:b w:val="1"/>
          <w:bCs w:val="1"/>
          <w:color w:val="auto"/>
          <w:highlight w:val="black"/>
        </w:rPr>
      </w:pPr>
    </w:p>
    <w:p>
      <w:pPr>
        <w:ind w:left="820" w:right="40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09" w:lineRule="exact"/>
        <w:rPr>
          <w:rFonts w:ascii="Wingdings" w:cs="Wingdings" w:eastAsia="Wingdings" w:hAnsi="Wingdings"/>
          <w:sz w:val="18"/>
          <w:szCs w:val="18"/>
          <w:b w:val="1"/>
          <w:bCs w:val="1"/>
          <w:color w:val="auto"/>
          <w:highlight w:val="black"/>
        </w:rPr>
      </w:pPr>
    </w:p>
    <w:p>
      <w:pPr>
        <w:ind w:left="820" w:right="8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09" w:lineRule="exact"/>
        <w:rPr>
          <w:rFonts w:ascii="Wingdings" w:cs="Wingdings" w:eastAsia="Wingdings" w:hAnsi="Wingdings"/>
          <w:sz w:val="18"/>
          <w:szCs w:val="18"/>
          <w:b w:val="1"/>
          <w:bCs w:val="1"/>
          <w:color w:val="auto"/>
          <w:highlight w:val="black"/>
        </w:rPr>
      </w:pPr>
    </w:p>
    <w:p>
      <w:pPr>
        <w:ind w:left="820" w:right="30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94" w:lineRule="exact"/>
        <w:rPr>
          <w:rFonts w:ascii="Wingdings" w:cs="Wingdings" w:eastAsia="Wingdings" w:hAnsi="Wingdings"/>
          <w:sz w:val="18"/>
          <w:szCs w:val="18"/>
          <w:b w:val="1"/>
          <w:bCs w:val="1"/>
          <w:color w:val="auto"/>
          <w:highlight w:val="black"/>
        </w:rPr>
      </w:pPr>
    </w:p>
    <w:p>
      <w:pPr>
        <w:ind w:left="82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Executive Clawback Policy – </w:t>
      </w:r>
      <w:r>
        <w:rPr>
          <w:rFonts w:ascii="Times New Roman" w:cs="Times New Roman" w:eastAsia="Times New Roman" w:hAnsi="Times New Roman"/>
          <w:sz w:val="18"/>
          <w:szCs w:val="18"/>
          <w:color w:val="auto"/>
        </w:rPr>
        <w:t>Effective as of October 2, 2023, we instituted a new executive clawback policy, compliant with new SEC rules,</w:t>
      </w:r>
    </w:p>
    <w:p>
      <w:pPr>
        <w:ind w:left="820" w:right="240" w:hanging="470"/>
        <w:spacing w:after="0" w:line="183" w:lineRule="auto"/>
        <w:tabs>
          <w:tab w:leader="none" w:pos="820" w:val="left"/>
        </w:tabs>
        <w:numPr>
          <w:ilvl w:val="0"/>
          <w:numId w:val="31"/>
        </w:numPr>
        <w:rPr>
          <w:rFonts w:ascii="Wingdings" w:cs="Wingdings" w:eastAsia="Wingdings" w:hAnsi="Wingdings"/>
          <w:sz w:val="31"/>
          <w:szCs w:val="31"/>
          <w:b w:val="1"/>
          <w:bCs w:val="1"/>
          <w:color w:val="auto"/>
          <w:highlight w:val="black"/>
          <w:vertAlign w:val="superscript"/>
        </w:rPr>
      </w:pPr>
      <w:r>
        <w:rPr>
          <w:rFonts w:ascii="Times New Roman" w:cs="Times New Roman" w:eastAsia="Times New Roman" w:hAnsi="Times New Roman"/>
          <w:sz w:val="16"/>
          <w:szCs w:val="16"/>
          <w:color w:val="auto"/>
        </w:rPr>
        <w:t>which allows the Board to recover any incentive awards from any executive officer in the event the Company is required to file a restatement of its financial reporting as a result of that executive officer’s fraud or misconduct.</w:t>
      </w:r>
    </w:p>
    <w:p>
      <w:pPr>
        <w:spacing w:after="0" w:line="99" w:lineRule="exact"/>
        <w:rPr>
          <w:rFonts w:ascii="Wingdings" w:cs="Wingdings" w:eastAsia="Wingdings" w:hAnsi="Wingdings"/>
          <w:sz w:val="31"/>
          <w:szCs w:val="31"/>
          <w:b w:val="1"/>
          <w:bCs w:val="1"/>
          <w:color w:val="auto"/>
          <w:highlight w:val="black"/>
          <w:vertAlign w:val="superscript"/>
        </w:rPr>
      </w:pPr>
    </w:p>
    <w:p>
      <w:pPr>
        <w:ind w:left="820" w:right="46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Wingdings" w:cs="Wingdings" w:eastAsia="Wingdings" w:hAnsi="Wingdings"/>
          <w:sz w:val="18"/>
          <w:szCs w:val="18"/>
          <w:b w:val="1"/>
          <w:bCs w:val="1"/>
          <w:color w:val="auto"/>
          <w:highlight w:val="black"/>
        </w:rPr>
      </w:pPr>
    </w:p>
    <w:p>
      <w:pPr>
        <w:ind w:left="820" w:right="24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Wingdings" w:cs="Wingdings" w:eastAsia="Wingdings" w:hAnsi="Wingdings"/>
          <w:sz w:val="18"/>
          <w:szCs w:val="18"/>
          <w:b w:val="1"/>
          <w:bCs w:val="1"/>
          <w:color w:val="auto"/>
          <w:highlight w:val="black"/>
        </w:rPr>
      </w:pPr>
    </w:p>
    <w:p>
      <w:pPr>
        <w:ind w:left="820" w:right="48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20" w:hanging="470"/>
        <w:spacing w:after="0" w:line="227" w:lineRule="auto"/>
        <w:tabs>
          <w:tab w:leader="none" w:pos="8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2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RSUs and performance-based RSU awards.</w:t>
      </w:r>
    </w:p>
    <w:p>
      <w:pPr>
        <w:spacing w:after="0" w:line="6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32"/>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w:t>
      </w:r>
    </w:p>
    <w:p>
      <w:pPr>
        <w:sectPr>
          <w:pgSz w:w="11900" w:h="16838" w:orient="portrait"/>
          <w:cols w:equalWidth="0" w:num="1">
            <w:col w:w="11220"/>
          </w:cols>
          <w:pgMar w:left="320" w:top="229" w:right="359" w:bottom="92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92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News” page of our website at www.cartesiantherapeutics.com.</w:t>
      </w:r>
    </w:p>
    <w:p>
      <w:pPr>
        <w:spacing w:after="0" w:line="7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pacing w:after="0" w:line="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2023 included:</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and operational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2023,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6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Compensation Committee. During 2023, Compensia met with various executive officers to collect data and obtain management’s perspective on various executive compensation proposals.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Compensia has not provided any other services to us nor received any compensation other than with respect to the services described above.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2023,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Compensia recommended to the Compensation Committee the following peer group to consist of 20 publicly traded biotechnology companies, which the Compensation Committee subsequently approved. The selected companies had market capitalizations ranging from approximately $154 million to approximately $1.3 billion, with a median of approximately $654 million. The companies comprising the updated compensation peer group were as follows:</w:t>
      </w:r>
    </w:p>
    <w:p>
      <w:pPr>
        <w:spacing w:after="0" w:line="207" w:lineRule="exact"/>
        <w:rPr>
          <w:sz w:val="20"/>
          <w:szCs w:val="20"/>
          <w:color w:val="auto"/>
        </w:rPr>
      </w:pPr>
    </w:p>
    <w:tbl>
      <w:tblPr>
        <w:tblLayout w:type="fixed"/>
        <w:tblInd w:w="21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4D Molecular Therapeutics</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Dyne Therapeutics</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Lineage Cell Therapeutics</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Aldeyra Therapeutics</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Editas Medicine</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MeiraGTx</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Allogene Therapeutics</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Genelux</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REGENXBIO</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Alpine Immune Sciences</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Gritstone Bio</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Replimune Group</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Inovio Pharmaceuticals</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Sana Biotechnology</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Cabaletta Bio</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iTeos Therapeutics</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Viridian Therapeutics</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Kymera Therapeutics</w:t>
            </w:r>
          </w:p>
        </w:tc>
        <w:tc>
          <w:tcPr>
            <w:tcW w:w="2280" w:type="dxa"/>
            <w:vAlign w:val="bottom"/>
          </w:tcPr>
          <w:p>
            <w:pPr>
              <w:spacing w:after="0"/>
              <w:rPr>
                <w:sz w:val="24"/>
                <w:szCs w:val="24"/>
                <w:color w:val="auto"/>
              </w:rPr>
            </w:pPr>
          </w:p>
        </w:tc>
      </w:tr>
    </w:tbl>
    <w:p>
      <w:pPr>
        <w:spacing w:after="0" w:line="1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67" w:lineRule="auto"/>
        <w:rPr>
          <w:sz w:val="20"/>
          <w:szCs w:val="20"/>
          <w:color w:val="auto"/>
        </w:rPr>
      </w:pPr>
      <w:r>
        <w:rPr>
          <w:rFonts w:ascii="Times New Roman" w:cs="Times New Roman" w:eastAsia="Times New Roman" w:hAnsi="Times New Roman"/>
          <w:sz w:val="18"/>
          <w:szCs w:val="18"/>
          <w:color w:val="auto"/>
        </w:rPr>
        <w:t xml:space="preserve">of several factors that the Compensation Committee considers, however, in making its decisions with respect to the compensation of our executive officers. </w:t>
      </w:r>
      <w:r>
        <w:rPr>
          <w:rFonts w:ascii="Times New Roman" w:cs="Times New Roman" w:eastAsia="Times New Roman" w:hAnsi="Times New Roman"/>
          <w:sz w:val="18"/>
          <w:szCs w:val="18"/>
          <w:b w:val="1"/>
          <w:bCs w:val="1"/>
          <w:color w:val="auto"/>
        </w:rPr>
        <w:t>Compensation Elements</w:t>
      </w:r>
    </w:p>
    <w:p>
      <w:pPr>
        <w:spacing w:after="0" w:line="1" w:lineRule="exact"/>
        <w:rPr>
          <w:sz w:val="20"/>
          <w:szCs w:val="20"/>
          <w:color w:val="auto"/>
        </w:rPr>
      </w:pPr>
    </w:p>
    <w:p>
      <w:pPr>
        <w:ind w:right="320" w:firstLine="324"/>
        <w:spacing w:after="0" w:line="250"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individual performance objectives (for 2023,</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culture and engagement, and the company’s</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financials, as well as management objectives).</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incent our executive officers to achieve or exceed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For 2023, payouts for</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performance objectives were not</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Committee had discretion to determine payouts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based on overall achievement of the corporate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goals as a group, taking into account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overachievement on certain objectives, if</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applicable. Payouts for individual performance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objectives could range from 0% to an</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Retention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Maintain a stable management team and retain key</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Designed to stabilize the executive leadership team</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 talent through short-term market</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reduce the possibility of turnover. These non-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volatility and changes in corporate strategy.</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recurring retention bonuses awarded during the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year ended December 31, 2023 were subject to</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repayment in the event the award recipient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resigned other than for “Good Reason” or was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earlier terminated by the Board of Directors prior</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to March 31, 2024 (in the cases of Drs. Traber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Johnston) or June 30, 2024 (in the cases of Dr.</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Brunn and Mr. Davis).</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Time-based vesting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requirements promote retention of highly-valued</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officers.</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also provide retentive value to key employees.</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2023 under each of these elements.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December 2022, and in the cases of Dr. Jewell and Dr. Kurtoglu,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2023 were as follows:</w:t>
      </w:r>
    </w:p>
    <w:p>
      <w:pPr>
        <w:spacing w:after="0" w:line="101"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$592,072</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$402,500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Peter Traber, M.D. </w:t>
            </w:r>
            <w:r>
              <w:rPr>
                <w:rFonts w:ascii="Times New Roman" w:cs="Times New Roman" w:eastAsia="Times New Roman" w:hAnsi="Times New Roman"/>
                <w:sz w:val="23"/>
                <w:szCs w:val="23"/>
                <w:color w:val="auto"/>
                <w:vertAlign w:val="superscript"/>
              </w:rPr>
              <w:t>(3)</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$458,920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Lloyd Johnston, Ph.D. </w:t>
            </w:r>
            <w:r>
              <w:rPr>
                <w:rFonts w:ascii="Times New Roman" w:cs="Times New Roman" w:eastAsia="Times New Roman" w:hAnsi="Times New Roman"/>
                <w:sz w:val="23"/>
                <w:szCs w:val="23"/>
                <w:color w:val="auto"/>
                <w:vertAlign w:val="superscript"/>
              </w:rPr>
              <w:t>(4)</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$416,000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$434,720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w:t>
            </w:r>
          </w:p>
        </w:tc>
      </w:tr>
    </w:tbl>
    <w:p>
      <w:pPr>
        <w:spacing w:after="0" w:line="184" w:lineRule="exact"/>
        <w:rPr>
          <w:sz w:val="20"/>
          <w:szCs w:val="20"/>
          <w:color w:val="auto"/>
        </w:rPr>
      </w:pPr>
    </w:p>
    <w:p>
      <w:pPr>
        <w:ind w:left="660" w:right="40" w:hanging="328"/>
        <w:spacing w:after="0" w:line="282" w:lineRule="auto"/>
        <w:tabs>
          <w:tab w:leader="none" w:pos="7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Operations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w:t>
      </w:r>
    </w:p>
    <w:p>
      <w:pPr>
        <w:spacing w:after="0" w:line="117"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ceased to serve as our Chief Medical Officer on November 13, 2023.</w:t>
      </w:r>
    </w:p>
    <w:p>
      <w:pPr>
        <w:spacing w:after="0" w:line="117"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Johnston ceased to serve as our Chief Operations Officer on November 13, 2023.</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Compensation Committee determined to award cash bonus opportunities to our executive officers, including our Named Executive Officers, pursuant to the 2023 Bonus Plan. Under the 2023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2023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2023, the Compensation Committee did not exercise any such individual discretion in determining bonus payouts.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2023, the target annual cash bonus opportunities for each of our Named Executive Officers under the 2023 Bonus Plan, expressed as a percentage of his or her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ind w:left="720"/>
              <w:spacing w:after="0" w:line="202" w:lineRule="exact"/>
              <w:rPr>
                <w:sz w:val="20"/>
                <w:szCs w:val="20"/>
                <w:color w:val="auto"/>
              </w:rPr>
            </w:pPr>
            <w:r>
              <w:rPr>
                <w:rFonts w:ascii="Times New Roman" w:cs="Times New Roman" w:eastAsia="Times New Roman" w:hAnsi="Times New Roman"/>
                <w:sz w:val="18"/>
                <w:szCs w:val="18"/>
                <w:b w:val="1"/>
                <w:bCs w:val="1"/>
                <w:color w:val="auto"/>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9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Payout</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$624,000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$343,200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$343,200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$402,500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$20,930</w:t>
            </w: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Traber, M.D.</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(3)</w:t>
            </w: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$434,720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$173,888</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60" w:hanging="328"/>
        <w:spacing w:after="0" w:line="266"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Operations Officer on November 13, 2023. On March 28, 2024, Dr. Kurtoglu’s title was changed to Chief Technology Officer. Dr. Kurtoglu received a pro-rated bonus based on employment with the Company since November 13, 2023.</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 Dr. Jewell received a pro-rated bonus based on employment with the Company since November 13, 2023.</w:t>
      </w:r>
    </w:p>
    <w:p>
      <w:pPr>
        <w:spacing w:after="0" w:line="5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December 2023, Dr. Johnston forfeited his 2023 annual target bonus opportunity of $173,888. However, as discussed under “—Post-employment Compensation” below, Dr. Johnston was paid an amount of $173,888 as a term of his separation agreement, which was approved separately from the 2023 Bonus Plan by the Compensation Committee.</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Objectives</w:t>
      </w:r>
    </w:p>
    <w:p>
      <w:pPr>
        <w:spacing w:after="0" w:line="12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2023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2023 Bonus Plan.</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Performance Results and Bonus Decisions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December 2023, the Compensation Committee determined that our actual achievement with respect to the corporate performance objectives under the 2023 Bonus Plan was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2023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corporate performance measures that factored into the Compensation Committee’s determination included: (i) pipeline development goals, including advancing our clinical program for treatment of methylmalonic acidemia, the manufacturing and development of our Xork product, and completing the DISSOLVE clinical trial program; (ii) corporate strategy and business development goals, including pursuing strategic partnerships and enhancing the Company’s position with investors and analysts, and the Company’s successful completion of the Merger; and (iii) financial goals, including operating within budget and completing the year maintaining a certain cash balance.</w:t>
      </w:r>
    </w:p>
    <w:p>
      <w:pPr>
        <w:spacing w:after="0" w:line="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93" w:lineRule="exact"/>
        <w:rPr>
          <w:sz w:val="20"/>
          <w:szCs w:val="20"/>
          <w:color w:val="auto"/>
        </w:rPr>
      </w:pPr>
    </w:p>
    <w:tbl>
      <w:tblPr>
        <w:tblLayout w:type="fixed"/>
        <w:tblInd w:w="130" w:type="dxa"/>
        <w:tblCellMar>
          <w:top w:w="0" w:type="dxa"/>
          <w:left w:w="0" w:type="dxa"/>
          <w:bottom w:w="0" w:type="dxa"/>
          <w:right w:w="0" w:type="dxa"/>
        </w:tblCellMar>
      </w:tblPr>
      <w:tr>
        <w:trPr>
          <w:trHeight w:val="207"/>
        </w:trPr>
        <w:tc>
          <w:tcPr>
            <w:tcW w:w="3780" w:type="dxa"/>
            <w:vAlign w:val="bottom"/>
            <w:tcBorders>
              <w:top w:val="single" w:sz="8" w:color="auto"/>
              <w:left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86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Target</w:t>
            </w:r>
          </w:p>
        </w:tc>
        <w:tc>
          <w:tcPr>
            <w:tcW w:w="0" w:type="dxa"/>
            <w:vAlign w:val="bottom"/>
          </w:tcPr>
          <w:p>
            <w:pPr>
              <w:spacing w:after="0"/>
              <w:rPr>
                <w:sz w:val="1"/>
                <w:szCs w:val="1"/>
                <w:color w:val="auto"/>
              </w:rPr>
            </w:pPr>
          </w:p>
        </w:tc>
      </w:tr>
      <w:tr>
        <w:trPr>
          <w:trHeight w:val="95"/>
        </w:trPr>
        <w:tc>
          <w:tcPr>
            <w:tcW w:w="3780" w:type="dxa"/>
            <w:vAlign w:val="bottom"/>
            <w:tcBorders>
              <w:left w:val="single" w:sz="8" w:color="auto"/>
              <w:right w:val="single" w:sz="8" w:color="auto"/>
            </w:tcBorders>
          </w:tcPr>
          <w:p>
            <w:pPr>
              <w:spacing w:after="0"/>
              <w:rPr>
                <w:sz w:val="8"/>
                <w:szCs w:val="8"/>
                <w:color w:val="auto"/>
              </w:rPr>
            </w:pPr>
          </w:p>
        </w:tc>
        <w:tc>
          <w:tcPr>
            <w:tcW w:w="16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Target Annual Cash</w:t>
            </w:r>
          </w:p>
        </w:tc>
        <w:tc>
          <w:tcPr>
            <w:tcW w:w="188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restart"/>
          </w:tcPr>
          <w:p>
            <w:pPr>
              <w:ind w:left="92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Annual Cash Bonus</w:t>
            </w:r>
          </w:p>
        </w:tc>
        <w:tc>
          <w:tcPr>
            <w:tcW w:w="0" w:type="dxa"/>
            <w:vAlign w:val="bottom"/>
          </w:tcPr>
          <w:p>
            <w:pPr>
              <w:spacing w:after="0"/>
              <w:rPr>
                <w:sz w:val="1"/>
                <w:szCs w:val="1"/>
                <w:color w:val="auto"/>
              </w:rPr>
            </w:pPr>
          </w:p>
        </w:tc>
      </w:tr>
      <w:tr>
        <w:trPr>
          <w:trHeight w:val="95"/>
        </w:trPr>
        <w:tc>
          <w:tcPr>
            <w:tcW w:w="3780" w:type="dxa"/>
            <w:vAlign w:val="bottom"/>
            <w:tcBorders>
              <w:left w:val="single" w:sz="8" w:color="auto"/>
              <w:right w:val="single" w:sz="8" w:color="auto"/>
            </w:tcBorders>
            <w:vMerge w:val="continue"/>
          </w:tcPr>
          <w:p>
            <w:pPr>
              <w:spacing w:after="0"/>
              <w:rPr>
                <w:sz w:val="8"/>
                <w:szCs w:val="8"/>
                <w:color w:val="auto"/>
              </w:rPr>
            </w:pPr>
          </w:p>
        </w:tc>
        <w:tc>
          <w:tcPr>
            <w:tcW w:w="16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8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Payment</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0" w:type="dxa"/>
            <w:vAlign w:val="bottom"/>
          </w:tcPr>
          <w:p>
            <w:pPr>
              <w:spacing w:after="0"/>
              <w:rPr>
                <w:sz w:val="1"/>
                <w:szCs w:val="1"/>
                <w:color w:val="auto"/>
              </w:rPr>
            </w:pPr>
          </w:p>
        </w:tc>
      </w:tr>
      <w:tr>
        <w:trPr>
          <w:trHeight w:val="130"/>
        </w:trPr>
        <w:tc>
          <w:tcPr>
            <w:tcW w:w="378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186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$343,200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$343,200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$343,200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$161,000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$20,930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Christopher Jewell, Ph.D.</w:t>
            </w:r>
            <w:r>
              <w:rPr>
                <w:rFonts w:ascii="Times New Roman" w:cs="Times New Roman" w:eastAsia="Times New Roman" w:hAnsi="Times New Roman"/>
                <w:sz w:val="23"/>
                <w:szCs w:val="23"/>
                <w:color w:val="auto"/>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$15,600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Peter G. Traber, M.D.</w:t>
            </w:r>
            <w:r>
              <w:rPr>
                <w:rFonts w:ascii="Times New Roman" w:cs="Times New Roman" w:eastAsia="Times New Roman" w:hAnsi="Times New Roman"/>
                <w:sz w:val="23"/>
                <w:szCs w:val="23"/>
                <w:color w:val="auto"/>
                <w:vertAlign w:val="superscript"/>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Lloyd Johnston, Ph.D.</w:t>
            </w:r>
            <w:r>
              <w:rPr>
                <w:rFonts w:ascii="Times New Roman" w:cs="Times New Roman" w:eastAsia="Times New Roman" w:hAnsi="Times New Roman"/>
                <w:sz w:val="23"/>
                <w:szCs w:val="23"/>
                <w:color w:val="auto"/>
                <w:vertAlign w:val="superscript"/>
              </w:rPr>
              <w:t>(4)</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$173,888</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$173,888</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right="40" w:hanging="328"/>
        <w:spacing w:after="0" w:line="266" w:lineRule="auto"/>
        <w:tabs>
          <w:tab w:leader="none" w:pos="7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Operations Officer on November 13, 2023. On March 28, 2024, Dr. Kurtoglu’s title was changed to Chief Technology Officer. Dr. Kurtoglu received a pro-rated bonus based on employment with the Company since November 13, 2023.</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 Dr. Jewell received a pro-rated bonus based on employment with the Company since November 13, 2023.</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7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67"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December 2023, Dr. Johnston forfeited his 2023 annual target bonus opportunity of $173,888. However, as discussed under “—Post-employment Compensation” below, Dr. Johnston was paid an amount of $173,888 as a term of his separation agreement, which was approved separately from the 2023 Bonus Plan by the Compensation Committee.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08"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In December 2022, the Compensation Committee approved equity awards for our executive officers, including our Named Executive Officers, in recognition of our financial and operational results and each executive officer’s individual performance for 2022, as well as for retentive purposes. In determining the amount of each executive officer’s equity award, the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6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for certain executive officers, RSU awards that may be settled for shares of our Common Stock. The equity awards approved in December 2022 and granted to our Named Executive Officers in January 2023 were as follows:</w:t>
      </w:r>
    </w:p>
    <w:p>
      <w:pPr>
        <w:spacing w:after="0" w:line="93"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5820" w:type="dxa"/>
            <w:vAlign w:val="bottom"/>
            <w:tcBorders>
              <w:top w:val="single" w:sz="8" w:color="auto"/>
              <w:left w:val="single" w:sz="8" w:color="auto"/>
              <w:right w:val="single" w:sz="8" w:color="auto"/>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 Awards</w:t>
            </w:r>
          </w:p>
        </w:tc>
        <w:tc>
          <w:tcPr>
            <w:tcW w:w="0" w:type="dxa"/>
            <w:vAlign w:val="bottom"/>
          </w:tcPr>
          <w:p>
            <w:pPr>
              <w:spacing w:after="0"/>
              <w:rPr>
                <w:sz w:val="1"/>
                <w:szCs w:val="1"/>
                <w:color w:val="auto"/>
              </w:rPr>
            </w:pPr>
          </w:p>
        </w:tc>
      </w:tr>
      <w:tr>
        <w:trPr>
          <w:trHeight w:val="130"/>
        </w:trPr>
        <w:tc>
          <w:tcPr>
            <w:tcW w:w="5820" w:type="dxa"/>
            <w:vAlign w:val="bottom"/>
            <w:tcBorders>
              <w:left w:val="single" w:sz="8" w:color="auto"/>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08"/>
        </w:trPr>
        <w:tc>
          <w:tcPr>
            <w:tcW w:w="582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82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42,499</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9,426</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Blaine Davis</w:t>
            </w:r>
            <w:r>
              <w:rPr>
                <w:rFonts w:ascii="Times New Roman" w:cs="Times New Roman" w:eastAsia="Times New Roman" w:hAnsi="Times New Roman"/>
                <w:sz w:val="23"/>
                <w:szCs w:val="23"/>
                <w:color w:val="auto"/>
                <w:vertAlign w:val="superscript"/>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29,999</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6,666</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15,833</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3,333</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 Jewell, Ph.D. </w:t>
            </w:r>
            <w:r>
              <w:rPr>
                <w:rFonts w:ascii="Times New Roman" w:cs="Times New Roman" w:eastAsia="Times New Roman" w:hAnsi="Times New Roman"/>
                <w:sz w:val="23"/>
                <w:szCs w:val="23"/>
                <w:color w:val="auto"/>
                <w:vertAlign w:val="superscript"/>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line="266" w:lineRule="auto"/>
        <w:tabs>
          <w:tab w:leader="none" w:pos="7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was appointed Chief Financial Officer on November 28, 2022, and did not receive options to purchase shares of our Common Stock or RSUs in January 2023. Mr. Davis received a one-time grant of an option to purchase 41,666 shares of our Common Stock upon his hiring on November 28, 2022.</w:t>
      </w:r>
    </w:p>
    <w:p>
      <w:pPr>
        <w:spacing w:after="0" w:line="67" w:lineRule="exact"/>
        <w:rPr>
          <w:rFonts w:ascii="Times New Roman" w:cs="Times New Roman" w:eastAsia="Times New Roman" w:hAnsi="Times New Roman"/>
          <w:sz w:val="18"/>
          <w:szCs w:val="18"/>
          <w:color w:val="auto"/>
        </w:rPr>
      </w:pPr>
    </w:p>
    <w:p>
      <w:pPr>
        <w:ind w:left="660" w:right="340" w:hanging="328"/>
        <w:spacing w:after="0" w:line="329" w:lineRule="auto"/>
        <w:tabs>
          <w:tab w:leader="none" w:pos="7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Operations Officer on November 13, 2023, and did not receive options to purchase shares of our Common Stock or RSUs in January 2023. On March 28, 2024, Dr. Kurtoglu’s title was changed to Chief Technology Officer.</w:t>
      </w:r>
    </w:p>
    <w:p>
      <w:pPr>
        <w:spacing w:after="0" w:line="1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7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 and did not receive options to purchase shares of our Common Stock or RSUs in January 2023.</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2023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2023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2023,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0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each Named Executive Officer, except that Blaine Davis received $459 representing payments on Mr. Davis’ term life insurance policy, $900 representing reimbursement for cell phone expenses, and $9,900 representing 401(k) matching contributions; Peter G. Traber, M.D. received $5,158 representing payments on Dr. Traber’s term life insurance policy, $900 representing reimbursement for cell phone expenses, and $9,900 representing our 401(k) matching contributions; and Lloyd Johnston, Ph.D. received $1,806 representing payments on Dr. Johnston’s term life insurance policy and $9,900 representing 401(k) matching contributions.</w:t>
      </w:r>
    </w:p>
    <w:p>
      <w:pPr>
        <w:spacing w:after="0" w:line="7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62"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In 2023, pursuant to his Separation Agreement, the Company agreed to provide Dr. Traber severance benefits of: (i) 12-months’ base salary and (ii) a bonus of $200,000 calculated based on his annual base salary of $500,000. Also in 2023, pursuant to his Separation Agreement, the Company agreed to provide Dr. Johnston severance benefits of: (i) 12-months’ base salary and (ii) a bonus of $173,888 calculated based on his annual base salary of $434,720.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Effective as of October 2, 2023, the Compensation Committee adopted a new executive compensation recovery policy (the “Clawback Policy”). Under the Clawback Policy, the Board, in its limited discretion, or, if so designated by the Board,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9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 we operate under the requirements of Section 304 of the Sarbanes-Oxley Act of 2002, as applicable to all public companies, under which our Board may seek reimbursement from our CEO and CFO if, as a result of their misconduct, we restate our financial results due to our material noncompliance with any financial reporting requirements under the federal securities laws.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40"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Under the current Selecta Biosciences, Inc. 2016 Incentive Award Plan (as in effect as of the date hereof,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9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 Old Cartesian Plan and how any awards granted thereunder to our Named Executive Officers were treated in the Merger, please see the section entitled “—Merger” above.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assumptions we have used previously. For performance-based stock awards, we also must apply judgment in determining the periods when, and if, the related performance targets become probable of being met.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2023, our Named Executive Officers and their positions as of December 31, 2023 were:</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Jewell, Ph.D., our Chief Scientific Officer who served in that position beginning November 13, 2023;</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who served as our Chief Operations Officer from November 13, 2023 until March 28, 2024, and then continued to serve as our Chief Technology Officer;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former Chief Medical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former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tcPr>
          <w:p>
            <w:pPr>
              <w:spacing w:after="0"/>
              <w:rPr>
                <w:sz w:val="13"/>
                <w:szCs w:val="13"/>
                <w:color w:val="auto"/>
              </w:rPr>
            </w:pPr>
          </w:p>
        </w:tc>
        <w:tc>
          <w:tcPr>
            <w:tcW w:w="680" w:type="dxa"/>
            <w:vAlign w:val="bottom"/>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vMerge w:val="continue"/>
          </w:tcPr>
          <w:p>
            <w:pPr>
              <w:spacing w:after="0"/>
              <w:rPr>
                <w:sz w:val="12"/>
                <w:szCs w:val="12"/>
                <w:color w:val="auto"/>
              </w:rPr>
            </w:pP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680" w:type="dxa"/>
            <w:vAlign w:val="bottom"/>
          </w:tcPr>
          <w:p>
            <w:pPr>
              <w:jc w:val="center"/>
              <w:ind w:left="17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jc w:val="center"/>
              <w:ind w:right="20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180" w:type="dxa"/>
            <w:vAlign w:val="bottom"/>
            <w:vMerge w:val="continue"/>
          </w:tcPr>
          <w:p>
            <w:pPr>
              <w:spacing w:after="0"/>
              <w:rPr>
                <w:sz w:val="17"/>
                <w:szCs w:val="17"/>
                <w:color w:val="auto"/>
              </w:rPr>
            </w:pPr>
          </w:p>
        </w:tc>
        <w:tc>
          <w:tcPr>
            <w:tcW w:w="680" w:type="dxa"/>
            <w:vAlign w:val="bottom"/>
          </w:tcPr>
          <w:p>
            <w:pPr>
              <w:jc w:val="center"/>
              <w:ind w:left="21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Non-equity</w:t>
      </w:r>
    </w:p>
    <w:p>
      <w:pPr>
        <w:ind w:left="1240"/>
        <w:spacing w:after="0" w:line="189" w:lineRule="auto"/>
        <w:rPr>
          <w:sz w:val="20"/>
          <w:szCs w:val="20"/>
          <w:color w:val="auto"/>
        </w:rPr>
      </w:pPr>
      <w:r>
        <w:rPr>
          <w:rFonts w:ascii="Times New Roman" w:cs="Times New Roman" w:eastAsia="Times New Roman" w:hAnsi="Times New Roman"/>
          <w:sz w:val="11"/>
          <w:szCs w:val="11"/>
          <w:b w:val="1"/>
          <w:bCs w:val="1"/>
          <w:color w:val="auto"/>
        </w:rPr>
        <w:t>incentive plan</w:t>
      </w:r>
    </w:p>
    <w:p>
      <w:pPr>
        <w:spacing w:after="0" w:line="188" w:lineRule="auto"/>
        <w:tabs>
          <w:tab w:leader="none" w:pos="1140" w:val="left"/>
        </w:tabs>
        <w:rPr>
          <w:sz w:val="20"/>
          <w:szCs w:val="20"/>
          <w:color w:val="auto"/>
        </w:rPr>
      </w:pPr>
      <w:r>
        <w:rPr>
          <w:rFonts w:ascii="Times New Roman" w:cs="Times New Roman" w:eastAsia="Times New Roman" w:hAnsi="Times New Roman"/>
          <w:sz w:val="16"/>
          <w:szCs w:val="16"/>
          <w:b w:val="1"/>
          <w:bCs w:val="1"/>
          <w:color w:val="auto"/>
          <w:vertAlign w:val="superscript"/>
        </w:rPr>
        <w:t>Option awards</w:t>
      </w:r>
      <w:r>
        <w:rPr>
          <w:sz w:val="20"/>
          <w:szCs w:val="20"/>
          <w:color w:val="auto"/>
        </w:rPr>
        <w:tab/>
      </w:r>
      <w:r>
        <w:rPr>
          <w:rFonts w:ascii="Times New Roman" w:cs="Times New Roman" w:eastAsia="Times New Roman" w:hAnsi="Times New Roman"/>
          <w:sz w:val="13"/>
          <w:szCs w:val="13"/>
          <w:b w:val="1"/>
          <w:bCs w:val="1"/>
          <w:color w:val="auto"/>
        </w:rPr>
        <w:t>compensation ($)</w:t>
      </w:r>
    </w:p>
    <w:p>
      <w:pPr>
        <w:ind w:left="340"/>
        <w:spacing w:after="0"/>
        <w:tabs>
          <w:tab w:leader="none" w:pos="1600" w:val="left"/>
        </w:tabs>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(3)</w:t>
      </w:r>
      <w:r>
        <w:rPr>
          <w:sz w:val="20"/>
          <w:szCs w:val="20"/>
          <w:color w:val="auto"/>
        </w:rPr>
        <w:tab/>
      </w:r>
      <w:r>
        <w:rPr>
          <w:rFonts w:ascii="Times New Roman" w:cs="Times New Roman" w:eastAsia="Times New Roman" w:hAnsi="Times New Roman"/>
          <w:sz w:val="9"/>
          <w:szCs w:val="9"/>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All other</w:t>
      </w:r>
    </w:p>
    <w:p>
      <w:pPr>
        <w:spacing w:after="0" w:line="181" w:lineRule="auto"/>
        <w:tabs>
          <w:tab w:leader="none" w:pos="1420" w:val="left"/>
        </w:tabs>
        <w:rPr>
          <w:sz w:val="20"/>
          <w:szCs w:val="20"/>
          <w:color w:val="auto"/>
        </w:rPr>
      </w:pPr>
      <w:r>
        <w:rPr>
          <w:rFonts w:ascii="Times New Roman" w:cs="Times New Roman" w:eastAsia="Times New Roman" w:hAnsi="Times New Roman"/>
          <w:sz w:val="12"/>
          <w:szCs w:val="12"/>
          <w:b w:val="1"/>
          <w:bCs w:val="1"/>
          <w:color w:val="auto"/>
        </w:rPr>
        <w:t>compensation ($)</w:t>
      </w:r>
      <w:r>
        <w:rPr>
          <w:sz w:val="20"/>
          <w:szCs w:val="20"/>
          <w:color w:val="auto"/>
        </w:rPr>
        <w:tab/>
      </w:r>
      <w:r>
        <w:rPr>
          <w:rFonts w:ascii="Times New Roman" w:cs="Times New Roman" w:eastAsia="Times New Roman" w:hAnsi="Times New Roman"/>
          <w:sz w:val="12"/>
          <w:szCs w:val="12"/>
          <w:b w:val="1"/>
          <w:bCs w:val="1"/>
          <w:color w:val="auto"/>
          <w:vertAlign w:val="subscript"/>
        </w:rPr>
        <w:t>Total ($)</w:t>
      </w:r>
    </w:p>
    <w:p>
      <w:pPr>
        <w:ind w:left="480"/>
        <w:spacing w:after="0"/>
        <w:rPr>
          <w:sz w:val="20"/>
          <w:szCs w:val="20"/>
          <w:color w:val="auto"/>
        </w:rPr>
      </w:pPr>
      <w:r>
        <w:rPr>
          <w:rFonts w:ascii="Times New Roman" w:cs="Times New Roman" w:eastAsia="Times New Roman" w:hAnsi="Times New Roman"/>
          <w:sz w:val="9"/>
          <w:szCs w:val="9"/>
          <w:b w:val="1"/>
          <w:bCs w:val="1"/>
          <w:color w:val="auto"/>
        </w:rPr>
        <w:t>(5)</w:t>
      </w:r>
    </w:p>
    <w:p>
      <w:pPr>
        <w:spacing w:after="0" w:line="75" w:lineRule="exact"/>
        <w:rPr>
          <w:sz w:val="20"/>
          <w:szCs w:val="20"/>
          <w:color w:val="auto"/>
        </w:rPr>
      </w:pPr>
    </w:p>
    <w:p>
      <w:pPr>
        <w:sectPr>
          <w:pgSz w:w="11900" w:h="16838" w:orient="portrait"/>
          <w:cols w:equalWidth="0" w:num="3">
            <w:col w:w="6220" w:space="400"/>
            <w:col w:w="2200" w:space="240"/>
            <w:col w:w="21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618,228</w:t>
            </w:r>
          </w:p>
        </w:tc>
        <w:tc>
          <w:tcPr>
            <w:tcW w:w="10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1,323,000</w:t>
            </w:r>
          </w:p>
        </w:tc>
        <w:tc>
          <w:tcPr>
            <w:tcW w:w="104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319,564</w:t>
            </w:r>
          </w:p>
        </w:tc>
        <w:tc>
          <w:tcPr>
            <w:tcW w:w="126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1,123,658</w:t>
            </w:r>
          </w:p>
        </w:tc>
        <w:tc>
          <w:tcPr>
            <w:tcW w:w="12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343,200</w:t>
            </w:r>
          </w:p>
        </w:tc>
        <w:tc>
          <w:tcPr>
            <w:tcW w:w="118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2,384,233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6,111,883</w:t>
            </w:r>
          </w:p>
        </w:tc>
        <w:tc>
          <w:tcPr>
            <w:tcW w:w="0" w:type="dxa"/>
            <w:vAlign w:val="bottom"/>
          </w:tcPr>
          <w:p>
            <w:pPr>
              <w:spacing w:after="0"/>
              <w:rPr>
                <w:sz w:val="1"/>
                <w:szCs w:val="1"/>
                <w:color w:val="auto"/>
              </w:rPr>
            </w:pPr>
          </w:p>
        </w:tc>
      </w:tr>
      <w:tr>
        <w:trPr>
          <w:trHeight w:val="137"/>
        </w:trPr>
        <w:tc>
          <w:tcPr>
            <w:tcW w:w="25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10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588,043</w:t>
            </w:r>
          </w:p>
        </w:tc>
        <w:tc>
          <w:tcPr>
            <w:tcW w:w="10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749,053</w:t>
            </w:r>
          </w:p>
        </w:tc>
        <w:tc>
          <w:tcPr>
            <w:tcW w:w="12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2,628,525</w:t>
            </w: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325,655</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966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4,292,242</w:t>
            </w:r>
          </w:p>
        </w:tc>
        <w:tc>
          <w:tcPr>
            <w:tcW w:w="0" w:type="dxa"/>
            <w:vAlign w:val="bottom"/>
          </w:tcPr>
          <w:p>
            <w:pPr>
              <w:spacing w:after="0"/>
              <w:rPr>
                <w:sz w:val="1"/>
                <w:szCs w:val="1"/>
                <w:color w:val="auto"/>
              </w:rPr>
            </w:pPr>
          </w:p>
        </w:tc>
      </w:tr>
      <w:tr>
        <w:trPr>
          <w:trHeight w:val="195"/>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Blaine Davis</w:t>
            </w:r>
            <w:r>
              <w:rPr>
                <w:rFonts w:ascii="Times New Roman" w:cs="Times New Roman" w:eastAsia="Times New Roman" w:hAnsi="Times New Roman"/>
                <w:sz w:val="18"/>
                <w:szCs w:val="18"/>
                <w:color w:val="auto"/>
                <w:vertAlign w:val="superscript"/>
              </w:rPr>
              <w:t>(6)</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440,000</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880,000</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176,000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998,759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2,494,759</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33,846</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1,228,750</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1,110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1,263,706</w:t>
            </w:r>
          </w:p>
        </w:tc>
        <w:tc>
          <w:tcPr>
            <w:tcW w:w="0" w:type="dxa"/>
            <w:vAlign w:val="bottom"/>
          </w:tcPr>
          <w:p>
            <w:pPr>
              <w:spacing w:after="0"/>
              <w:rPr>
                <w:sz w:val="1"/>
                <w:szCs w:val="1"/>
                <w:color w:val="auto"/>
              </w:rPr>
            </w:pPr>
          </w:p>
        </w:tc>
      </w:tr>
      <w:tr>
        <w:trPr>
          <w:trHeight w:val="3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(7)</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458,920</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850,000</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226,000</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793,170</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1,452,830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3,780,920</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Former Chief Medical Officer</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455,573</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298,562</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1,035,133</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183,568</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31,147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2,003,983</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(8)</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431,336</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869,000</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113,000</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418,618</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865,636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2,697,590</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Former Chief Operations Officer</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413,169</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238,320</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846,225</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166,400</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10,245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1,674,359</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(9)</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50,313</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20,930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71,243</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 Jewell, Ph.D. </w:t>
            </w:r>
            <w:r>
              <w:rPr>
                <w:rFonts w:ascii="Times New Roman" w:cs="Times New Roman" w:eastAsia="Times New Roman" w:hAnsi="Times New Roman"/>
                <w:sz w:val="18"/>
                <w:szCs w:val="18"/>
                <w:color w:val="auto"/>
                <w:vertAlign w:val="superscript"/>
              </w:rPr>
              <w:t>(10)</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37,500</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15,600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53,100</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20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one-time bonuses of $75,000 and $100,000 for Dr. Brunn and Dr. Traber, respectively, for efforts to deliver the positive topline data for the Company’s DISSOLVE I and DISSOLVE II Phase 3 clinical trials and retention bonuses.</w:t>
      </w:r>
    </w:p>
    <w:p>
      <w:pPr>
        <w:spacing w:after="0" w:line="53"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in our 2023 Annual Report.</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under our annual performance-based bonus program. For additional information, see “—Performance Bonuses” below.</w:t>
      </w:r>
    </w:p>
    <w:p>
      <w:pPr>
        <w:spacing w:after="0" w:line="103" w:lineRule="exact"/>
        <w:rPr>
          <w:rFonts w:ascii="Times New Roman" w:cs="Times New Roman" w:eastAsia="Times New Roman" w:hAnsi="Times New Roman"/>
          <w:sz w:val="18"/>
          <w:szCs w:val="18"/>
          <w:color w:val="auto"/>
        </w:rPr>
      </w:pPr>
    </w:p>
    <w:p>
      <w:pPr>
        <w:ind w:left="340" w:right="140" w:hanging="332"/>
        <w:spacing w:after="0" w:line="231"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 for 2022 includes $966 representing payments on Dr. Brunn’s term life insurance policy. The amount for 2023 includes $2,383,268 for settlement of outstanding awards as of November 13, 2023 in connection with the Merger and $965 representing payments on Dr. Brunn’s term life insurance policy. For Mr. Davis, the amount for 2022 includes $35 representing payments on Mr. Davis’ term life insurance policy, $75 representing reimbursement for cell phone expenses, and $1,000 representing our 401(k) matching contributions.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Traber, the amount for 2022 includes $21,097 representing payments on Dr.</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spacing w:after="0" w:line="231" w:lineRule="auto"/>
        <w:rPr>
          <w:sz w:val="20"/>
          <w:szCs w:val="20"/>
          <w:color w:val="auto"/>
        </w:rPr>
      </w:pPr>
      <w:r>
        <w:rPr>
          <w:rFonts w:ascii="Times New Roman" w:cs="Times New Roman" w:eastAsia="Times New Roman" w:hAnsi="Times New Roman"/>
          <w:sz w:val="18"/>
          <w:szCs w:val="18"/>
          <w:color w:val="auto"/>
        </w:rPr>
        <w:t>Traber’s term life insurance policy, $900 representing reimbursement for cell phone expenses, and $9,150 representing our 401(k) matching contributions. The amount for 2023 includes $1,436,872 for settlement of outstanding awards as of November 13, 2023 in connection with the Merger, $5,158 representing payments on Dr. Traber’s term life insurance policy, $900 representing reimbursement for cell phone expenses, and $9,900 representing our 401(k) matching contributions. For Dr. Johnston, the amount for 2022 includes $9,150 representing our 401(k) matching contributions and $1,095 representing payments on Dr. Johnston’s term life insurance policy. The amount for 2023 includes $853,930 for settlement of outstanding awards as of November 13, 2023 in connection with the Merger, $1,806 representing payments on Dr. Johnston’s term life insurance policy, and $9,900 representing our 401(k) matching contributions.</w:t>
      </w:r>
    </w:p>
    <w:p>
      <w:pPr>
        <w:spacing w:after="0" w:line="77"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Davis was appointed Chief Financial Officer on November 28, 2022.</w:t>
      </w:r>
    </w:p>
    <w:p>
      <w:pPr>
        <w:spacing w:after="0" w:line="11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ceased service as our Chief Medical Officer effective as of November 13, 2023. Upon his departure in December 2023, Dr. Traber forfeited his 2023 annual target bonus opportunity of $200,000. However, Dr. Traber was paid an amount of $200,000 as a term of his separation agreement, which was approved separately from the 2023 Bonus Plan by the Compensation Committee, in 2024.</w:t>
      </w:r>
    </w:p>
    <w:p>
      <w:pPr>
        <w:spacing w:after="0" w:line="67"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Johnston ceased service as our Chief Operations Officer effective as of November 13, 2023. Upon his departure as a full-time employee in December 2023, Dr. Johnston forfeited his 2023 annual target bonus opportunity of $173,888. However, Dr. Johnston was paid an amount of $173,888 as a term of his separation agreement, which was approved separately from the 2023 Bonus Plan by the Compensation Committee, in 2024.</w:t>
      </w:r>
    </w:p>
    <w:p>
      <w:pPr>
        <w:spacing w:after="0" w:line="67" w:lineRule="exact"/>
        <w:rPr>
          <w:rFonts w:ascii="Times New Roman" w:cs="Times New Roman" w:eastAsia="Times New Roman" w:hAnsi="Times New Roman"/>
          <w:sz w:val="18"/>
          <w:szCs w:val="18"/>
          <w:color w:val="auto"/>
        </w:rPr>
      </w:pPr>
    </w:p>
    <w:p>
      <w:pPr>
        <w:ind w:left="340" w:right="80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Operations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At the end of 2022, the Compensation Committee recommended to the Board and the Board approved an increase in Dr. Brunn’s annual base salary from $592,072 to $624,000 for 2023, an increase in Dr. Traber’s annual base salary from $458,920 to $500,000 for 2023, and an increase in Dr. Johnston’s annual base salary from $416,000 to $434,720 for 2023. Mr. Davis did not receive an increase to his annual base salary in 2023. Dr. Kurtoglu joined our Company in November 2023 with an annual base salary of $402,500. Dr. Jewell joined our Company in November 2023 with an annual base salary of $300,000. All base salaries for 2023, other than with respect to Mr. Davis, Dr. Kurtoglu, and Dr. Jewell, were effective as of March 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2023 target bonus amount for Dr. Brunn was 55% of his base salary, and for each of Mr. Davis and Drs. Kurtoglu, Jewell, Traber, and Johnston was 40% of his base salary. Drs. Kurtoglu and Jewell were eligible to receive annual cash bonuses for 2023 at a pro-rated amount based on employment since November 13, 2023.</w:t>
      </w:r>
    </w:p>
    <w:p>
      <w:pPr>
        <w:spacing w:after="0" w:line="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2023, bonuses were entirely determined based on Company performance in meeting clinical, business development, culture and engagement, financial goals, and other corporate achievements.</w:t>
      </w:r>
    </w:p>
    <w:p>
      <w:pPr>
        <w:spacing w:after="0" w:line="7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2023 are reported under the “Non-equity incentive plan compensation” column of the 2023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6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 In connection with the Merger, all outstanding awards issued under the 2008 Plan were cancelled, and the Board formally terminated the 2008 Plan.</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also maintain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Merger, we adopted the Old Cartesian Plan as described in the section entitled “Compensation Discussion and Analysis— Merger” above.</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Moving forward in 2024, our Board determined that our stock option awards should typically vest as to 25% of the underlying shares on the first anniversary of the date of grant and in equal annual installments over the following three years, subject to the holder’s continued employment with us and potential accelerated vesting in certain circumstances. Our stock option awards may be intended to qualify as incentive stock options under the Code.</w:t>
      </w:r>
    </w:p>
    <w:p>
      <w:pPr>
        <w:spacing w:after="0" w:line="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early 2023, we made the following grants under the 2016 Plan: (i) to Dr. Brunn options to purchase 42,499 shares of our Common Stock and 9,426 RSUs; (ii) to Dr. Traber options to purchase 29,999 shares of our Common Stock and 6,666 RSUs; and (iii) to Dr. Johnston options to purchase 15,833 shares of our Common Stock and 3,333 RSUs. Additionally, at the commencement of his employment, Mr. Davis was granted options to purchase 41,666 shares of our Common Stock under the 2018 Plan. On November 13, 2023, in connection with the Merger, all then-outstanding equity awards were settled.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16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9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17"/>
                <w:szCs w:val="17"/>
                <w:b w:val="1"/>
                <w:bCs w:val="1"/>
                <w:color w:val="auto"/>
                <w:vertAlign w:val="superscript"/>
              </w:rPr>
              <w:t>(1)</w:t>
            </w:r>
          </w:p>
        </w:tc>
        <w:tc>
          <w:tcPr>
            <w:tcW w:w="13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2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0" w:type="dxa"/>
            <w:vAlign w:val="bottom"/>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89"/>
        </w:trPr>
        <w:tc>
          <w:tcPr>
            <w:tcW w:w="2920" w:type="dxa"/>
            <w:vAlign w:val="bottom"/>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exercisable </w:t>
            </w:r>
            <w:r>
              <w:rPr>
                <w:rFonts w:ascii="Times New Roman" w:cs="Times New Roman" w:eastAsia="Times New Roman" w:hAnsi="Times New Roman"/>
                <w:sz w:val="17"/>
                <w:szCs w:val="17"/>
                <w:b w:val="1"/>
                <w:bCs w:val="1"/>
                <w:color w:val="auto"/>
                <w:vertAlign w:val="superscript"/>
              </w:rPr>
              <w:t>(2)</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unexercisable </w:t>
            </w:r>
            <w:r>
              <w:rPr>
                <w:rFonts w:ascii="Times New Roman" w:cs="Times New Roman" w:eastAsia="Times New Roman" w:hAnsi="Times New Roman"/>
                <w:sz w:val="17"/>
                <w:szCs w:val="17"/>
                <w:b w:val="1"/>
                <w:bCs w:val="1"/>
                <w:color w:val="auto"/>
                <w:w w:val="99"/>
                <w:vertAlign w:val="superscript"/>
              </w:rPr>
              <w:t>(2)</w:t>
            </w:r>
          </w:p>
        </w:tc>
        <w:tc>
          <w:tcPr>
            <w:tcW w:w="11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183"/>
        </w:trPr>
        <w:tc>
          <w:tcPr>
            <w:tcW w:w="292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 xml:space="preserve">Metin Kurtoglu, M.D., Ph.D. </w:t>
            </w:r>
            <w:r>
              <w:rPr>
                <w:rFonts w:ascii="Times New Roman" w:cs="Times New Roman" w:eastAsia="Times New Roman" w:hAnsi="Times New Roman"/>
                <w:sz w:val="17"/>
                <w:szCs w:val="17"/>
                <w:color w:val="auto"/>
                <w:vertAlign w:val="superscript"/>
              </w:rPr>
              <w:t>(3)</w:t>
            </w:r>
          </w:p>
        </w:tc>
        <w:tc>
          <w:tcPr>
            <w:tcW w:w="1880" w:type="dxa"/>
            <w:vAlign w:val="bottom"/>
            <w:tcBorders>
              <w:top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3"/>
                <w:szCs w:val="13"/>
                <w:color w:val="auto"/>
              </w:rPr>
              <w:t>11/7/2016</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11/7/2016</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3"/>
                <w:szCs w:val="13"/>
                <w:color w:val="auto"/>
                <w:w w:val="99"/>
              </w:rPr>
              <w:t xml:space="preserve">6,414.682 </w:t>
            </w:r>
            <w:r>
              <w:rPr>
                <w:rFonts w:ascii="Times New Roman" w:cs="Times New Roman" w:eastAsia="Times New Roman" w:hAnsi="Times New Roman"/>
                <w:sz w:val="17"/>
                <w:szCs w:val="17"/>
                <w:color w:val="auto"/>
                <w:w w:val="99"/>
                <w:vertAlign w:val="superscript"/>
              </w:rPr>
              <w:t>(4)</w:t>
            </w:r>
          </w:p>
        </w:tc>
        <w:tc>
          <w:tcPr>
            <w:tcW w:w="144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8"/>
                <w:szCs w:val="8"/>
                <w:color w:val="auto"/>
              </w:rPr>
              <w:t xml:space="preserve"> (4)</w:t>
            </w:r>
          </w:p>
        </w:tc>
        <w:tc>
          <w:tcPr>
            <w:tcW w:w="112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3"/>
                <w:szCs w:val="13"/>
                <w:color w:val="auto"/>
                <w:w w:val="96"/>
              </w:rPr>
              <w:t xml:space="preserve">46.77 </w:t>
            </w:r>
            <w:r>
              <w:rPr>
                <w:rFonts w:ascii="Times New Roman" w:cs="Times New Roman" w:eastAsia="Times New Roman" w:hAnsi="Times New Roman"/>
                <w:sz w:val="17"/>
                <w:szCs w:val="17"/>
                <w:color w:val="auto"/>
                <w:w w:val="96"/>
                <w:vertAlign w:val="superscript"/>
              </w:rPr>
              <w:t>(4)</w:t>
            </w:r>
          </w:p>
        </w:tc>
        <w:tc>
          <w:tcPr>
            <w:tcW w:w="120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11/6/2026</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880" w:type="dxa"/>
            <w:vAlign w:val="bottom"/>
          </w:tcPr>
          <w:p>
            <w:pPr>
              <w:jc w:val="center"/>
              <w:ind w:left="653"/>
              <w:spacing w:after="0"/>
              <w:rPr>
                <w:sz w:val="20"/>
                <w:szCs w:val="20"/>
                <w:color w:val="auto"/>
              </w:rPr>
            </w:pPr>
            <w:r>
              <w:rPr>
                <w:rFonts w:ascii="Times New Roman" w:cs="Times New Roman" w:eastAsia="Times New Roman" w:hAnsi="Times New Roman"/>
                <w:sz w:val="13"/>
                <w:szCs w:val="13"/>
                <w:color w:val="auto"/>
              </w:rPr>
              <w:t>4/26/2021</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4/26/2021</w:t>
            </w: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427.645 </w:t>
            </w:r>
            <w:r>
              <w:rPr>
                <w:rFonts w:ascii="Times New Roman" w:cs="Times New Roman" w:eastAsia="Times New Roman" w:hAnsi="Times New Roman"/>
                <w:sz w:val="17"/>
                <w:szCs w:val="17"/>
                <w:color w:val="auto"/>
                <w:w w:val="98"/>
                <w:vertAlign w:val="superscript"/>
              </w:rPr>
              <w:t>(5)</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8"/>
                <w:szCs w:val="8"/>
                <w:color w:val="auto"/>
              </w:rPr>
              <w:t xml:space="preserve"> (5)</w:t>
            </w: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color w:val="auto"/>
                <w:w w:val="99"/>
              </w:rPr>
              <w:t xml:space="preserve">107.59 </w:t>
            </w:r>
            <w:r>
              <w:rPr>
                <w:rFonts w:ascii="Times New Roman" w:cs="Times New Roman" w:eastAsia="Times New Roman" w:hAnsi="Times New Roman"/>
                <w:sz w:val="17"/>
                <w:szCs w:val="17"/>
                <w:color w:val="auto"/>
                <w:w w:val="99"/>
                <w:vertAlign w:val="superscript"/>
              </w:rPr>
              <w:t>(5)</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4/25/2031</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3"/>
                <w:szCs w:val="13"/>
                <w:color w:val="auto"/>
              </w:rPr>
              <w:t>3/1/2022</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3/1/2022</w:t>
            </w: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106.911 </w:t>
            </w:r>
            <w:r>
              <w:rPr>
                <w:rFonts w:ascii="Times New Roman" w:cs="Times New Roman" w:eastAsia="Times New Roman" w:hAnsi="Times New Roman"/>
                <w:sz w:val="17"/>
                <w:szCs w:val="17"/>
                <w:color w:val="auto"/>
                <w:w w:val="98"/>
                <w:vertAlign w:val="superscript"/>
              </w:rPr>
              <w:t>(6)</w:t>
            </w:r>
          </w:p>
        </w:tc>
        <w:tc>
          <w:tcPr>
            <w:tcW w:w="1440" w:type="dxa"/>
            <w:vAlign w:val="bottom"/>
            <w:tcBorders>
              <w:bottom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320.735 </w:t>
            </w:r>
            <w:r>
              <w:rPr>
                <w:rFonts w:ascii="Times New Roman" w:cs="Times New Roman" w:eastAsia="Times New Roman" w:hAnsi="Times New Roman"/>
                <w:sz w:val="17"/>
                <w:szCs w:val="17"/>
                <w:color w:val="auto"/>
                <w:w w:val="98"/>
                <w:vertAlign w:val="superscript"/>
              </w:rPr>
              <w:t>(6)</w:t>
            </w:r>
          </w:p>
        </w:tc>
        <w:tc>
          <w:tcPr>
            <w:tcW w:w="1120" w:type="dxa"/>
            <w:vAlign w:val="bottom"/>
            <w:tcBorders>
              <w:bottom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3"/>
                <w:szCs w:val="13"/>
                <w:color w:val="auto"/>
                <w:w w:val="99"/>
              </w:rPr>
              <w:t xml:space="preserve">107.59 </w:t>
            </w:r>
            <w:r>
              <w:rPr>
                <w:rFonts w:ascii="Times New Roman" w:cs="Times New Roman" w:eastAsia="Times New Roman" w:hAnsi="Times New Roman"/>
                <w:sz w:val="17"/>
                <w:szCs w:val="17"/>
                <w:color w:val="auto"/>
                <w:w w:val="99"/>
                <w:vertAlign w:val="superscript"/>
              </w:rPr>
              <w:t>(6)</w:t>
            </w:r>
          </w:p>
        </w:tc>
        <w:tc>
          <w:tcPr>
            <w:tcW w:w="120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2/29/2032</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3"/>
                <w:szCs w:val="13"/>
                <w:color w:val="auto"/>
              </w:rPr>
              <w:t xml:space="preserve">Chris Jewell, Ph.D. </w:t>
            </w:r>
            <w:r>
              <w:rPr>
                <w:rFonts w:ascii="Times New Roman" w:cs="Times New Roman" w:eastAsia="Times New Roman" w:hAnsi="Times New Roman"/>
                <w:sz w:val="17"/>
                <w:szCs w:val="17"/>
                <w:color w:val="auto"/>
                <w:vertAlign w:val="superscript"/>
              </w:rPr>
              <w:t>(7)</w:t>
            </w:r>
          </w:p>
        </w:tc>
        <w:tc>
          <w:tcPr>
            <w:tcW w:w="188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3"/>
                <w:szCs w:val="13"/>
                <w:color w:val="auto"/>
              </w:rPr>
              <w:t>1/16/2023</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1/16/2023</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8"/>
              </w:rPr>
              <w:t xml:space="preserve">2539.177 </w:t>
            </w:r>
            <w:r>
              <w:rPr>
                <w:rFonts w:ascii="Times New Roman" w:cs="Times New Roman" w:eastAsia="Times New Roman" w:hAnsi="Times New Roman"/>
                <w:sz w:val="17"/>
                <w:szCs w:val="17"/>
                <w:color w:val="auto"/>
                <w:w w:val="98"/>
                <w:vertAlign w:val="superscript"/>
              </w:rPr>
              <w:t>(8)</w:t>
            </w:r>
          </w:p>
        </w:tc>
        <w:tc>
          <w:tcPr>
            <w:tcW w:w="144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8"/>
              </w:rPr>
              <w:t xml:space="preserve">1737.277 </w:t>
            </w:r>
            <w:r>
              <w:rPr>
                <w:rFonts w:ascii="Times New Roman" w:cs="Times New Roman" w:eastAsia="Times New Roman" w:hAnsi="Times New Roman"/>
                <w:sz w:val="17"/>
                <w:szCs w:val="17"/>
                <w:color w:val="auto"/>
                <w:w w:val="98"/>
                <w:vertAlign w:val="superscript"/>
              </w:rPr>
              <w:t>(8)</w:t>
            </w:r>
          </w:p>
        </w:tc>
        <w:tc>
          <w:tcPr>
            <w:tcW w:w="112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3"/>
                <w:szCs w:val="13"/>
                <w:color w:val="auto"/>
                <w:w w:val="99"/>
              </w:rPr>
              <w:t xml:space="preserve">107.59 </w:t>
            </w:r>
            <w:r>
              <w:rPr>
                <w:rFonts w:ascii="Times New Roman" w:cs="Times New Roman" w:eastAsia="Times New Roman" w:hAnsi="Times New Roman"/>
                <w:sz w:val="17"/>
                <w:szCs w:val="17"/>
                <w:color w:val="auto"/>
                <w:w w:val="99"/>
                <w:vertAlign w:val="superscript"/>
              </w:rPr>
              <w:t>(8)</w:t>
            </w:r>
          </w:p>
        </w:tc>
        <w:tc>
          <w:tcPr>
            <w:tcW w:w="12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rPr>
              <w:t>1/15/2033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6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2023, we acquired Old Cartesian in the Merger. Options to purchase Old Cartesian common stock held by the reporting person were converted into options to purchase shares of Series A Preferred Stock in connection with the Merger.</w:t>
      </w:r>
    </w:p>
    <w:p>
      <w:pPr>
        <w:spacing w:after="0" w:line="40" w:lineRule="exact"/>
        <w:rPr>
          <w:rFonts w:ascii="Times New Roman" w:cs="Times New Roman" w:eastAsia="Times New Roman" w:hAnsi="Times New Roman"/>
          <w:sz w:val="18"/>
          <w:szCs w:val="18"/>
          <w:color w:val="auto"/>
        </w:rPr>
      </w:pPr>
    </w:p>
    <w:p>
      <w:pPr>
        <w:ind w:left="340" w:right="100" w:hanging="332"/>
        <w:spacing w:after="0" w:line="260" w:lineRule="auto"/>
        <w:tabs>
          <w:tab w:leader="none" w:pos="33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these options were exercisable for Series A Preferred Stock. On March 27, 2024, we held a special meeting of stockholders (the “Special Meeting”). At the Special Meeting, our stockholders approved, and our Board subsequently implemented, a 1-for-30 reverse stock split of all then-outstanding shares of our Common Stock and the conversion of our Series A Preferred Stock into shares of Common Stock. On April 8, 2024, the conversion of the majority of the shares of Series A Preferred Stock occurred automatically (the “Automatic Conversion”). Following the Automatic Conversion, options previously exercisable for shares of Series A Preferred Stock may be exercised solely for shares of Common Stock.</w:t>
      </w:r>
    </w:p>
    <w:p>
      <w:pPr>
        <w:spacing w:after="0" w:line="75" w:lineRule="exact"/>
        <w:rPr>
          <w:rFonts w:ascii="Times New Roman" w:cs="Times New Roman" w:eastAsia="Times New Roman" w:hAnsi="Times New Roman"/>
          <w:sz w:val="17"/>
          <w:szCs w:val="17"/>
          <w:color w:val="auto"/>
        </w:rPr>
      </w:pPr>
    </w:p>
    <w:p>
      <w:pPr>
        <w:ind w:left="340" w:right="82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Operations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Automatic Conversion, these options are fully exercisable for 213,820 shares of Common Stock at an exercise price of $1.41.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Automatic Conversion, these options are fully exercisable for 14,254 shares of Common Stock at an exercise price of $3.23.</w:t>
      </w:r>
    </w:p>
    <w:p>
      <w:pPr>
        <w:spacing w:after="0" w:line="117"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Automatic Conversion, these options are currently exercisable for 7,127 shares of Common Stock and become exercisable for the remaining 7,127 shares of Common Stock in two equal tranches on March 1, 2025 and March 1, 2026 at an exercise price of $3.23.</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117"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Automatic Conversion, these options are currently exercisable for 99,483 shares of Common Stock and become exercisable for an additional 2,969 shares of Common Stock each month until they are fully exercisable on June 16, 2025 at an exercise price of $3.23.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1" w:lineRule="exact"/>
        <w:rPr>
          <w:sz w:val="20"/>
          <w:szCs w:val="20"/>
          <w:color w:val="auto"/>
        </w:rPr>
      </w:pPr>
    </w:p>
    <w:p>
      <w:pPr>
        <w:ind w:right="120" w:firstLine="8"/>
        <w:spacing w:after="0" w:line="236"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for Drs. Brunn, Traber, and Johnston and Mr. Davis, the requirement that he or she report to someone other than the Board with respect to our Chief Executive Officer or the Chief Executive Officer with respect to our other Named Executive Officers; (iv) for Drs. Brunn, Traber, and Johnston and Mr. Davis, the relocation of his or her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must annually disclose in our proxy statement the relationship between our performance and the “compensation actually paid” to our Principal Executive Officer (“PEO”) and our non-PEO Named Executive Officers (collectively, the “Non-PEO NEOs”).</w:t>
      </w:r>
    </w:p>
    <w:p>
      <w:pPr>
        <w:spacing w:after="0" w:line="6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additional compensation information of our PEO and our Non-PEO NEOs along with our total shareholder return and our net income (loss) for the fiscal years ended December 31, 2021, 2022,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00" w:type="dxa"/>
            <w:vAlign w:val="bottom"/>
          </w:tcPr>
          <w:p>
            <w:pPr>
              <w:spacing w:after="0"/>
              <w:rPr>
                <w:sz w:val="13"/>
                <w:szCs w:val="13"/>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20" w:type="dxa"/>
            <w:vAlign w:val="bottom"/>
          </w:tcPr>
          <w:p>
            <w:pPr>
              <w:spacing w:after="0"/>
              <w:rPr>
                <w:sz w:val="13"/>
                <w:szCs w:val="13"/>
                <w:color w:val="auto"/>
              </w:rPr>
            </w:pPr>
          </w:p>
        </w:tc>
        <w:tc>
          <w:tcPr>
            <w:tcW w:w="15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Net Income (Loss)</w:t>
            </w:r>
            <w:r>
              <w:rPr>
                <w:rFonts w:ascii="Times New Roman" w:cs="Times New Roman" w:eastAsia="Times New Roman" w:hAnsi="Times New Roman"/>
                <w:sz w:val="18"/>
                <w:szCs w:val="18"/>
                <w:b w:val="1"/>
                <w:bCs w:val="1"/>
                <w:color w:val="auto"/>
                <w:w w:val="99"/>
                <w:vertAlign w:val="superscript"/>
              </w:rPr>
              <w:t>(4)</w:t>
            </w:r>
            <w:r>
              <w:rPr>
                <w:rFonts w:ascii="Times New Roman" w:cs="Times New Roman" w:eastAsia="Times New Roman" w:hAnsi="Times New Roman"/>
                <w:sz w:val="14"/>
                <w:szCs w:val="14"/>
                <w:b w:val="1"/>
                <w:bCs w:val="1"/>
                <w:color w:val="auto"/>
                <w:w w:val="99"/>
              </w:rPr>
              <w:t xml:space="preserve"> ($</w:t>
            </w:r>
          </w:p>
        </w:tc>
        <w:tc>
          <w:tcPr>
            <w:tcW w:w="0" w:type="dxa"/>
            <w:vAlign w:val="bottom"/>
          </w:tcPr>
          <w:p>
            <w:pPr>
              <w:spacing w:after="0"/>
              <w:rPr>
                <w:sz w:val="1"/>
                <w:szCs w:val="1"/>
                <w:color w:val="auto"/>
              </w:rPr>
            </w:pPr>
          </w:p>
        </w:tc>
      </w:tr>
      <w:tr>
        <w:trPr>
          <w:trHeight w:val="146"/>
        </w:trPr>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17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17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Investment Based on Total</w:t>
            </w: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4"/>
                <w:szCs w:val="14"/>
                <w:b w:val="1"/>
                <w:bCs w:val="1"/>
                <w:color w:val="auto"/>
                <w:w w:val="97"/>
              </w:rPr>
              <w:t>Table Total for PEO</w:t>
            </w:r>
            <w:r>
              <w:rPr>
                <w:rFonts w:ascii="Times New Roman" w:cs="Times New Roman" w:eastAsia="Times New Roman" w:hAnsi="Times New Roman"/>
                <w:sz w:val="18"/>
                <w:szCs w:val="18"/>
                <w:b w:val="1"/>
                <w:bCs w:val="1"/>
                <w:color w:val="auto"/>
                <w:w w:val="97"/>
                <w:vertAlign w:val="superscript"/>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4"/>
                <w:szCs w:val="14"/>
                <w:b w:val="1"/>
                <w:bCs w:val="1"/>
                <w:color w:val="auto"/>
                <w:w w:val="99"/>
              </w:rPr>
              <w:t>Paid to PEO</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Non-PEO NEOs</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 Return</w:t>
            </w:r>
            <w:r>
              <w:rPr>
                <w:rFonts w:ascii="Times New Roman" w:cs="Times New Roman" w:eastAsia="Times New Roman" w:hAnsi="Times New Roman"/>
                <w:sz w:val="9"/>
                <w:szCs w:val="9"/>
                <w:b w:val="1"/>
                <w:bCs w:val="1"/>
                <w:color w:val="auto"/>
              </w:rPr>
              <w:t>(3)</w:t>
            </w:r>
          </w:p>
        </w:tc>
        <w:tc>
          <w:tcPr>
            <w:tcW w:w="120" w:type="dxa"/>
            <w:vAlign w:val="bottom"/>
          </w:tcPr>
          <w:p>
            <w:pPr>
              <w:spacing w:after="0"/>
              <w:rPr>
                <w:sz w:val="16"/>
                <w:szCs w:val="16"/>
                <w:color w:val="auto"/>
              </w:rPr>
            </w:pPr>
          </w:p>
        </w:tc>
        <w:tc>
          <w:tcPr>
            <w:tcW w:w="15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0"/>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Pr>
          <w:p>
            <w:pPr>
              <w:spacing w:after="0"/>
              <w:rPr>
                <w:sz w:val="16"/>
                <w:szCs w:val="16"/>
                <w:color w:val="auto"/>
              </w:rPr>
            </w:pPr>
          </w:p>
        </w:tc>
        <w:tc>
          <w:tcPr>
            <w:tcW w:w="15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6,111,883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1,819,522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1,836,461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0" w:type="dxa"/>
            <w:vAlign w:val="bottom"/>
          </w:tcPr>
          <w:p>
            <w:pPr>
              <w:spacing w:after="0"/>
              <w:rPr>
                <w:sz w:val="1"/>
                <w:szCs w:val="1"/>
                <w:color w:val="auto"/>
              </w:rPr>
            </w:pPr>
          </w:p>
        </w:tc>
      </w:tr>
      <w:tr>
        <w:trPr>
          <w:trHeight w:val="195"/>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4,292,242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1,662,966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164,883</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3,671,395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4,275,744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220" w:hanging="332"/>
        <w:spacing w:after="0" w:line="258" w:lineRule="auto"/>
        <w:tabs>
          <w:tab w:leader="none" w:pos="4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Brunn for each corresponding year in the “Total” column of the Summary Compensation Table. The dollar amounts reported in column (d) represent the average of the amounts reported for our Company’s Non-PEO NEOs as a group in the “Total” column of the Summary Compensation Table in each applicable year. The names of the Non-PEO NEOs included for purposes of calculating the average amounts in each applicable year are as follows: for 2023, Blaine Davis, Peter G. Traber, M.D., Lloyd Johnston, Ph.D., Metin Kurtoglu, M.D., Ph.D., and Chris Jewell, Ph.D.; for 2022, Blaine Davis, Kevin Tan, Peter 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Traber, M.D., Takashi Kei Kishimoto, Ph.D. and Lloyd Johnston, Ph.D.; and for 2021, Kevin Tan, Ann K. Donohue, Bradford D. Dahms, Peter G.</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Traber, M.D., Takashi Kei Kishimoto, Ph.D. and Lloyd Johnston, Ph.D.</w:t>
      </w:r>
    </w:p>
    <w:p>
      <w:pPr>
        <w:spacing w:after="0" w:line="99" w:lineRule="exact"/>
        <w:rPr>
          <w:sz w:val="20"/>
          <w:szCs w:val="20"/>
          <w:color w:val="auto"/>
        </w:rPr>
      </w:pPr>
    </w:p>
    <w:p>
      <w:pPr>
        <w:ind w:left="340" w:right="540" w:hanging="332"/>
        <w:spacing w:after="0" w:line="282" w:lineRule="auto"/>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describes the adjustments, each of which is required by SEC rules, to calculate Compensation Actually Paid amounts from the Summary Compensation Total:</w:t>
      </w:r>
    </w:p>
    <w:p>
      <w:pPr>
        <w:spacing w:after="0" w:line="79" w:lineRule="exact"/>
        <w:rPr>
          <w:sz w:val="20"/>
          <w:szCs w:val="20"/>
          <w:color w:val="auto"/>
        </w:rPr>
      </w:pPr>
    </w:p>
    <w:tbl>
      <w:tblPr>
        <w:tblLayout w:type="fixed"/>
        <w:tblInd w:w="430" w:type="dxa"/>
        <w:tblCellMar>
          <w:top w:w="0" w:type="dxa"/>
          <w:left w:w="0" w:type="dxa"/>
          <w:bottom w:w="0" w:type="dxa"/>
          <w:right w:w="0" w:type="dxa"/>
        </w:tblCellMar>
      </w:tblPr>
      <w:tr>
        <w:trPr>
          <w:trHeight w:val="149"/>
        </w:trPr>
        <w:tc>
          <w:tcPr>
            <w:tcW w:w="52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Add Year-End Fair</w:t>
            </w:r>
          </w:p>
        </w:tc>
        <w:tc>
          <w:tcPr>
            <w:tcW w:w="112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Add Fair Value as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Deduct Value of</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3"/>
                <w:szCs w:val="13"/>
                <w:color w:val="auto"/>
              </w:rPr>
              <w:t>Deduct Reported</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Value of</w:t>
            </w:r>
          </w:p>
        </w:tc>
        <w:tc>
          <w:tcPr>
            <w:tcW w:w="112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Year over Year</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Year over Year</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Prior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center"/>
              <w:ind w:right="73"/>
              <w:spacing w:after="0"/>
              <w:rPr>
                <w:sz w:val="20"/>
                <w:szCs w:val="20"/>
                <w:color w:val="auto"/>
              </w:rPr>
            </w:pPr>
            <w:r>
              <w:rPr>
                <w:rFonts w:ascii="Times New Roman" w:cs="Times New Roman" w:eastAsia="Times New Roman" w:hAnsi="Times New Roman"/>
                <w:sz w:val="13"/>
                <w:szCs w:val="13"/>
                <w:color w:val="auto"/>
              </w:rPr>
              <w:t>Summary</w:t>
            </w:r>
          </w:p>
        </w:tc>
        <w:tc>
          <w:tcPr>
            <w:tcW w:w="8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Outstanding and</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of Vesting Date of</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that Failed</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Named Executive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Value of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Unvested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color w:val="auto"/>
              </w:rPr>
              <w:t>Equity Awards</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Change in Value of</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Change in Value of</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to Meet Vesting</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Compensation</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Year</w:t>
            </w:r>
          </w:p>
        </w:tc>
        <w:tc>
          <w:tcPr>
            <w:tcW w:w="12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Granted in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Granted in</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Granted and Vested</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right"/>
              <w:ind w:right="93"/>
              <w:spacing w:after="0" w:line="135" w:lineRule="exact"/>
              <w:rPr>
                <w:sz w:val="20"/>
                <w:szCs w:val="20"/>
                <w:color w:val="auto"/>
              </w:rPr>
            </w:pPr>
            <w:r>
              <w:rPr>
                <w:rFonts w:ascii="Times New Roman" w:cs="Times New Roman" w:eastAsia="Times New Roman" w:hAnsi="Times New Roman"/>
                <w:sz w:val="13"/>
                <w:szCs w:val="13"/>
                <w:color w:val="auto"/>
              </w:rPr>
              <w:t>Unvested Prior</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Vested Prior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Conditions in the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Officers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Table Total</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the Year</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in 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Equity Awards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rPr>
              <w:t>Awards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Actually Paid</w:t>
            </w: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6,111,883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(1,443,222)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1,768,318</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(57,684)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6,379,295</w:t>
            </w:r>
          </w:p>
        </w:tc>
        <w:tc>
          <w:tcPr>
            <w:tcW w:w="0" w:type="dxa"/>
            <w:vAlign w:val="bottom"/>
          </w:tcPr>
          <w:p>
            <w:pPr>
              <w:spacing w:after="0"/>
              <w:rPr>
                <w:sz w:val="1"/>
                <w:szCs w:val="1"/>
                <w:color w:val="auto"/>
              </w:rPr>
            </w:pPr>
          </w:p>
        </w:tc>
      </w:tr>
      <w:tr>
        <w:trPr>
          <w:trHeight w:val="55"/>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1,819,522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(310,158)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379,350</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(52,253)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1,836,461</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4,292,242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(3,377,578)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934,511</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(1,415,406)</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(1,022,391)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(588,622)</w:t>
            </w:r>
          </w:p>
        </w:tc>
        <w:tc>
          <w:tcPr>
            <w:tcW w:w="0" w:type="dxa"/>
            <w:vAlign w:val="bottom"/>
          </w:tcPr>
          <w:p>
            <w:pPr>
              <w:spacing w:after="0"/>
              <w:rPr>
                <w:sz w:val="1"/>
                <w:szCs w:val="1"/>
                <w:color w:val="auto"/>
              </w:rPr>
            </w:pPr>
          </w:p>
        </w:tc>
      </w:tr>
      <w:tr>
        <w:trPr>
          <w:trHeight w:val="55"/>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1,662,966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(1,163,216)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414,344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(322,827)</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(196,484)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color w:val="auto"/>
              </w:rPr>
              <w:t>(229,900)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164,883</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2021</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3,671,395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(2,788,311)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2,430,089</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276,000</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63,955</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622,616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4,275,744</w:t>
            </w:r>
          </w:p>
        </w:tc>
        <w:tc>
          <w:tcPr>
            <w:tcW w:w="0" w:type="dxa"/>
            <w:vAlign w:val="bottom"/>
          </w:tcPr>
          <w:p>
            <w:pPr>
              <w:spacing w:after="0"/>
              <w:rPr>
                <w:sz w:val="1"/>
                <w:szCs w:val="1"/>
                <w:color w:val="auto"/>
              </w:rPr>
            </w:pPr>
          </w:p>
        </w:tc>
      </w:tr>
      <w:tr>
        <w:trPr>
          <w:trHeight w:val="82"/>
        </w:trPr>
        <w:tc>
          <w:tcPr>
            <w:tcW w:w="52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1,340,562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(927,505)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664,534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50,600</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13,935</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81,433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color w:val="auto"/>
              </w:rPr>
              <w:t>(143,638)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1,079,921</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120" w:hanging="332"/>
        <w:spacing w:after="0" w:line="282" w:lineRule="auto"/>
        <w:tabs>
          <w:tab w:leader="none" w:pos="4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for each year reflects what the cumulative value of $100 would be if such amount were invested into our Company for that applicable year on December 31, 2020.</w:t>
      </w:r>
    </w:p>
    <w:p>
      <w:pPr>
        <w:spacing w:after="0" w:line="5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4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 as reported in our consolidated statements of operations and comprehensive income (loss) in our Annual Report on Form 10-K for the applicable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total shareholder return over the period covering fiscal years 2021, 2022, and 2023.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shareholders to maximize long-term value and encourage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59690</wp:posOffset>
            </wp:positionV>
            <wp:extent cx="5863590" cy="3034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maintain a compensation program for our non-employee directors. Under our non-employee director compensation program as in effect during 2023, each non-employee director received the following amounts for their services on our Board:</w:t>
      </w:r>
    </w:p>
    <w:p>
      <w:pPr>
        <w:sectPr>
          <w:pgSz w:w="11900" w:h="16838" w:orient="portrait"/>
          <w:cols w:equalWidth="0" w:num="1">
            <w:col w:w="11220"/>
          </w:cols>
          <w:pgMar w:left="320" w:top="229"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80,000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award vests in substantially equal monthly installments over three years following the date of grant, subject to accelerated vesting upon a change in control.</w:t>
      </w:r>
    </w:p>
    <w:p>
      <w:pPr>
        <w:spacing w:after="0" w:line="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first business day in January of each year,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 option to purchase 2,500 shares of our Common Stock on that date, which award vests in a single installment on the first anniversary of the date of grant, subject to accelerated vesting upon a change in control. If such non-employee director served as the Chairman of the Board as of the first business day in January of each year, that non-employee director received an option to purchase 3,166 shares of our Common Stock that date, subject to the same vesting terms.</w:t>
      </w:r>
    </w:p>
    <w:p>
      <w:pPr>
        <w:spacing w:after="0" w:line="7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$30,000 and lead independent director,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chairman,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chairman,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Corporate Governance Committee, $9,000;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chairman, $4,500;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now-disbanded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other than the chairman, $6,000.</w:t>
      </w:r>
    </w:p>
    <w:p>
      <w:pPr>
        <w:spacing w:after="0" w:line="11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Compensia, effective December 22, 2023, the Board approved the following amendments to our non-employee director compensation program, which are intended to align our program with the median of market:</w:t>
      </w:r>
    </w:p>
    <w:p>
      <w:pPr>
        <w:spacing w:after="0" w:line="54" w:lineRule="exact"/>
        <w:rPr>
          <w:sz w:val="20"/>
          <w:szCs w:val="20"/>
          <w:color w:val="auto"/>
        </w:rPr>
      </w:pPr>
    </w:p>
    <w:p>
      <w:pPr>
        <w:ind w:left="660" w:hanging="328"/>
        <w:spacing w:after="0" w:line="258"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equity awards from options to purchase 3,166 shares of Common Stock to options to purchase 4,000 shares of Common Stock for the Chairman of the Board and from options to purchase 2,500 shares of Common Stock to options to purchase 3,800 shares of Common Stock for each other non-employee director, and increasing the initial grant from options to purchase 3,166 shares of Common Stock to options to purchase 8,266 shares of Common Stock for the Chairman of the Board and from options to purchase 2,500 shares of Common Stock to options to purchase 7,600 shares of Common Stock for each other non-employee director.</w:t>
      </w:r>
    </w:p>
    <w:p>
      <w:pPr>
        <w:spacing w:after="0" w:line="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framework for granting RSUs to members of the Board of Directors, such that each Board member received a one-time award of 5,933 RSUs, to vest in three equal annual installments, and such that subsequent RSU awards shall also be provided to each new member of the Board upon the commencement of their service, and further such that each Board member, on the first business day of January of each year, shall receive a one-time award of 2,966 RSUs, also to vest in three equal installments.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on March 20, 2024, the Board approved the following amendment to our non-employee director compensation program:</w:t>
      </w:r>
    </w:p>
    <w:p>
      <w:pPr>
        <w:spacing w:after="0" w:line="117" w:lineRule="exact"/>
        <w:rPr>
          <w:sz w:val="20"/>
          <w:szCs w:val="20"/>
          <w:color w:val="auto"/>
        </w:rPr>
      </w:pPr>
    </w:p>
    <w:p>
      <w:pPr>
        <w:jc w:val="both"/>
        <w:ind w:left="660" w:right="34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disbanding of the Research &amp; Development Committee and the formation of the Science, IP and Quality Committee, an annual retainer in the amount of $12,000 was established for the chairman of the Science, IP and Quality Committee, and in the amount of $6,000 for each member of the Committee other than the chairman.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(3)</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65,325</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65,802</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76,213</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81,375</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212,928</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292,316</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65,325</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188,575</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Murat Kalayoglu, M.D., Ph.D. </w:t>
            </w:r>
            <w:r>
              <w:rPr>
                <w:rFonts w:ascii="Times New Roman" w:cs="Times New Roman" w:eastAsia="Times New Roman" w:hAnsi="Times New Roman"/>
                <w:sz w:val="18"/>
                <w:szCs w:val="18"/>
                <w:color w:val="auto"/>
                <w:vertAlign w:val="superscript"/>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207,724</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181,075</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Michael Singer, M.D., Ph.D. </w:t>
            </w:r>
            <w:r>
              <w:rPr>
                <w:rFonts w:ascii="Times New Roman" w:cs="Times New Roman" w:eastAsia="Times New Roman" w:hAnsi="Times New Roman"/>
                <w:sz w:val="18"/>
                <w:szCs w:val="18"/>
                <w:color w:val="auto"/>
                <w:vertAlign w:val="superscript"/>
              </w:rPr>
              <w:t>(8)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57,651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65,325</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192,726</w:t>
            </w:r>
          </w:p>
        </w:tc>
        <w:tc>
          <w:tcPr>
            <w:tcW w:w="0" w:type="dxa"/>
            <w:vAlign w:val="bottom"/>
          </w:tcPr>
          <w:p>
            <w:pPr>
              <w:spacing w:after="0"/>
              <w:rPr>
                <w:sz w:val="1"/>
                <w:szCs w:val="1"/>
                <w:color w:val="auto"/>
              </w:rPr>
            </w:pPr>
          </w:p>
        </w:tc>
      </w:tr>
      <w:tr>
        <w:trPr>
          <w:trHeight w:val="188"/>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65,325</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in our 2023 Annual Report.</w:t>
      </w:r>
    </w:p>
    <w:p>
      <w:pPr>
        <w:spacing w:after="0" w:line="6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outstanding as of the Merger date were canceled in the Merger in exchange for a cash payment representing the difference between the exercise price of the option and $2.06, the Cash-out Amount as applied in the Merger.</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Ando resigned from the Board on January 4,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Kalayoglu was appointed to the Board on November 13,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Myers resigned from the Board on November 21,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Sallin resigned from the Board on February 28, 2024.</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Singer was appointed to the Board on November 13, 2023.</w:t>
      </w:r>
    </w:p>
    <w:p>
      <w:pPr>
        <w:spacing w:after="0" w:line="200" w:lineRule="exact"/>
        <w:rPr>
          <w:sz w:val="20"/>
          <w:szCs w:val="20"/>
          <w:color w:val="auto"/>
        </w:rPr>
      </w:pPr>
    </w:p>
    <w:p>
      <w:pPr>
        <w:spacing w:after="0" w:line="2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held by each non-employee director as of December 31, 2023. None of our non-employee directors held unvested stock awards in the Company as of that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203"/>
        </w:trPr>
        <w:tc>
          <w:tcPr>
            <w:tcW w:w="9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20" w:type="dxa"/>
            <w:vAlign w:val="bottom"/>
            <w:tcBorders>
              <w:bottom w:val="single" w:sz="8" w:color="auto"/>
            </w:tcBorders>
          </w:tcPr>
          <w:p>
            <w:pPr>
              <w:ind w:left="3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at fiscal year end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Göran Ando </w:t>
            </w:r>
            <w:r>
              <w:rPr>
                <w:rFonts w:ascii="Times New Roman" w:cs="Times New Roman" w:eastAsia="Times New Roman" w:hAnsi="Times New Roman"/>
                <w:sz w:val="18"/>
                <w:szCs w:val="18"/>
                <w:color w:val="auto"/>
                <w:vertAlign w:val="superscript"/>
              </w:rPr>
              <w:t>(2)</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Murat Kalayoglu, M.D., Ph.D. </w:t>
            </w:r>
            <w:r>
              <w:rPr>
                <w:rFonts w:ascii="Times New Roman" w:cs="Times New Roman" w:eastAsia="Times New Roman" w:hAnsi="Times New Roman"/>
                <w:sz w:val="18"/>
                <w:szCs w:val="18"/>
                <w:color w:val="auto"/>
                <w:vertAlign w:val="superscript"/>
              </w:rPr>
              <w:t>(3)</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(4)</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4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(5)</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Michael Singer, M.D., M.B.A. </w:t>
            </w:r>
            <w:r>
              <w:rPr>
                <w:rFonts w:ascii="Times New Roman" w:cs="Times New Roman" w:eastAsia="Times New Roman" w:hAnsi="Times New Roman"/>
                <w:sz w:val="18"/>
                <w:szCs w:val="18"/>
                <w:color w:val="auto"/>
                <w:vertAlign w:val="superscript"/>
              </w:rPr>
              <w:t>(6)</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60" w:hanging="328"/>
        <w:spacing w:after="0" w:line="266"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outstanding as of the Merger date, except with respect to Dr. Ando, whose options were cancelled on April 4, 2023 in connection with his retirement from the Board, were canceled in the Merger in exchange for a cash payment, representing the difference between the exercise price of the option and $2.06, the Cash-out Amount as applied in the Merger.</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Ando resigned from the Board on January 4,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Kalayoglu was appointed to the Board on November 13,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Myers resigned from the Board on November 21,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Sallin resigned from the Board on February 28, 2024.</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Singer was appointed to the Board on November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17,796,053 shares of Common Stock outstanding as of April 18, 2024.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2024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6,473,184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Murat Kalayoglu, M.D., Ph.D.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3,538,386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Blaine Davis</w:t>
            </w:r>
          </w:p>
        </w:tc>
        <w:tc>
          <w:tcPr>
            <w:tcW w:w="208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235,201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 Jewell, Ph.D. </w:t>
            </w:r>
            <w:r>
              <w:rPr>
                <w:rFonts w:ascii="Times New Roman" w:cs="Times New Roman" w:eastAsia="Times New Roman" w:hAnsi="Times New Roman"/>
                <w:sz w:val="18"/>
                <w:szCs w:val="18"/>
                <w:color w:val="auto"/>
                <w:vertAlign w:val="superscript"/>
              </w:rPr>
              <w:t>(7)</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108,390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Milos Miljkovic, M.D. </w:t>
            </w:r>
            <w:r>
              <w:rPr>
                <w:rFonts w:ascii="Times New Roman" w:cs="Times New Roman" w:eastAsia="Times New Roman" w:hAnsi="Times New Roman"/>
                <w:sz w:val="18"/>
                <w:szCs w:val="18"/>
                <w:color w:val="auto"/>
                <w:vertAlign w:val="superscript"/>
              </w:rPr>
              <w:t>(8)</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Emily English, Ph.D. </w:t>
            </w:r>
            <w:r>
              <w:rPr>
                <w:rFonts w:ascii="Times New Roman" w:cs="Times New Roman" w:eastAsia="Times New Roman" w:hAnsi="Times New Roman"/>
                <w:sz w:val="18"/>
                <w:szCs w:val="18"/>
                <w:color w:val="auto"/>
                <w:vertAlign w:val="superscript"/>
              </w:rPr>
              <w:t>(9)</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(10)</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(11)</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Murat Kalayoglu, M.D., Ph.D. </w:t>
            </w:r>
            <w:r>
              <w:rPr>
                <w:rFonts w:ascii="Times New Roman" w:cs="Times New Roman" w:eastAsia="Times New Roman" w:hAnsi="Times New Roman"/>
                <w:sz w:val="18"/>
                <w:szCs w:val="18"/>
                <w:color w:val="auto"/>
                <w:vertAlign w:val="superscript"/>
              </w:rPr>
              <w:t>(2)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3,538,386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(14)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(15)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Michael S. Singer, M.D., Ph.D. </w:t>
            </w:r>
            <w:r>
              <w:rPr>
                <w:rFonts w:ascii="Times New Roman" w:cs="Times New Roman" w:eastAsia="Times New Roman" w:hAnsi="Times New Roman"/>
                <w:sz w:val="18"/>
                <w:szCs w:val="18"/>
                <w:color w:val="auto"/>
                <w:vertAlign w:val="superscript"/>
              </w:rPr>
              <w:t>(16)</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769,744</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6,473,184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w:t>
            </w:r>
            <w:r>
              <w:rPr>
                <w:rFonts w:ascii="Times New Roman" w:cs="Times New Roman" w:eastAsia="Times New Roman" w:hAnsi="Times New Roman"/>
                <w:sz w:val="18"/>
                <w:szCs w:val="18"/>
                <w:color w:val="auto"/>
                <w:vertAlign w:val="superscript"/>
              </w:rPr>
              <w:t>(17)</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(13 persons) </w:t>
            </w:r>
            <w:r>
              <w:rPr>
                <w:rFonts w:ascii="Times New Roman" w:cs="Times New Roman" w:eastAsia="Times New Roman" w:hAnsi="Times New Roman"/>
                <w:sz w:val="18"/>
                <w:szCs w:val="18"/>
                <w:color w:val="auto"/>
                <w:vertAlign w:val="superscript"/>
              </w:rPr>
              <w:t>(18)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11,256,328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61.1 %</w:t>
            </w:r>
          </w:p>
        </w:tc>
        <w:tc>
          <w:tcPr>
            <w:tcW w:w="0" w:type="dxa"/>
            <w:vAlign w:val="bottom"/>
          </w:tcPr>
          <w:p>
            <w:pPr>
              <w:spacing w:after="0"/>
              <w:rPr>
                <w:sz w:val="1"/>
                <w:szCs w:val="1"/>
                <w:color w:val="auto"/>
              </w:rPr>
            </w:pPr>
          </w:p>
        </w:tc>
      </w:tr>
      <w:tr>
        <w:trPr>
          <w:trHeight w:val="36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60" w:hanging="492"/>
        <w:spacing w:after="0" w:line="258"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12, 2024 and other information known to us, consists of (i) 4,373,966 shares of Common Stock held directly by Timothy A. Springer, Ph.D., a member of our Board, (ii) 1,055 shares of Common Stock issuable upon exercise of outstanding options within 60 days of April 18, 2024 and held directly by Timothy A. Springer, Ph.D., (iii) 1,927,630 shares of Common Stock held by TAS Partners LLC (“TAS”) directly, (iv) 167,040 shares of Common Stock issuable upon exercise of underlying warrants exercisable within 60 days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of April 18, 2024 held by TAS directly, and (vi) 3,493 shares of Common Stock held by Dr. Chafen Lu, Dr.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hanging="492"/>
        <w:spacing w:after="0" w:line="25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10, 2024 and other information known to us, consists of (i) 500,444 shares of Common Stock held directly by Murat Kalayoglu, M.D., Ph.D., a member of our Board, (ii) 1,055 shares of Common Stock issuable upon exercise of outstanding options within 60 days of April 18, 2024 and held directly by Murat Kalayoglu, M.D., Ph.D., (iii) 3,036,887 shares of Common Stock held by Seven One Eight Three Four Irrevocable Trust directly. The trustees of Seven One Eight Three Four Irrevocable Trust are Elizabeth Hoge and Sinan Kalyoglu,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 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The securities reported herein exclude 3,398,448 shares of Common Stock issuable upon conversion of 101,953.444 shares of Series A Preferred Stock held by Seven One Eight Three Four Irrevocable Trust directly, the conversion of which would exceed the 19.9% beneficial ownership limitation.</w:t>
      </w:r>
    </w:p>
    <w:p>
      <w:pPr>
        <w:spacing w:after="0" w:line="86"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8,731 shares of Common Stock held by Dr. Brunn directly.</w:t>
      </w:r>
    </w:p>
    <w:p>
      <w:pPr>
        <w:spacing w:after="0" w:line="117"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5,301 shares of Common Stock held by Dr. Traber directly. Dr. Traber ceased service as our Chief Medical Officer effective November 13, 2023 and ceased full-time employment with the Company effective December 31, 2023.</w:t>
      </w:r>
    </w:p>
    <w:p>
      <w:pPr>
        <w:spacing w:after="0" w:line="53"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2,983 shares of Common Stock held by Dr. Johnston directly. Dr. Johnston ceased service as our Chief Operations Officer effective November 13, 2023 and ceased full-time employment with the Company effective December 31, 2023.</w:t>
      </w:r>
    </w:p>
    <w:p>
      <w:pPr>
        <w:spacing w:after="0" w:line="53" w:lineRule="exact"/>
        <w:rPr>
          <w:rFonts w:ascii="Times New Roman" w:cs="Times New Roman" w:eastAsia="Times New Roman" w:hAnsi="Times New Roman"/>
          <w:sz w:val="18"/>
          <w:szCs w:val="18"/>
          <w:color w:val="auto"/>
        </w:rPr>
      </w:pPr>
    </w:p>
    <w:p>
      <w:pPr>
        <w:ind w:left="500" w:right="64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235,201 shares of Common Stock underlying outstanding stock options exercisable within 60 days of April 18, 2024 held by Dr. Kurtoglu directly.</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108,390 shares of Common Stock underlying outstanding stock options exercisable within 60 days of April 18, 2024 held by Dr. Jewell directly.</w:t>
      </w:r>
    </w:p>
    <w:p>
      <w:pPr>
        <w:spacing w:after="0" w:line="53" w:lineRule="exact"/>
        <w:rPr>
          <w:rFonts w:ascii="Times New Roman" w:cs="Times New Roman" w:eastAsia="Times New Roman" w:hAnsi="Times New Roman"/>
          <w:sz w:val="18"/>
          <w:szCs w:val="18"/>
          <w:color w:val="auto"/>
        </w:rPr>
      </w:pPr>
    </w:p>
    <w:p>
      <w:pPr>
        <w:ind w:left="500" w:right="74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42,764 shares of Common Stock underlying outstanding stock options exercisable within 60 days of April 18, 2024 held by Dr. Miljkovic directly.</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57,018 shares of Common Stock underlying outstanding stock options exercisable within 60 days of April 18, 2024 held by Dr. English directly.</w:t>
      </w:r>
    </w:p>
    <w:p>
      <w:pPr>
        <w:spacing w:after="0" w:line="53" w:lineRule="exact"/>
        <w:rPr>
          <w:rFonts w:ascii="Times New Roman" w:cs="Times New Roman" w:eastAsia="Times New Roman" w:hAnsi="Times New Roman"/>
          <w:sz w:val="18"/>
          <w:szCs w:val="18"/>
          <w:color w:val="auto"/>
        </w:rPr>
      </w:pPr>
    </w:p>
    <w:p>
      <w:pPr>
        <w:jc w:val="both"/>
        <w:ind w:left="500" w:right="300" w:hanging="492"/>
        <w:spacing w:after="0" w:line="266" w:lineRule="auto"/>
        <w:tabs>
          <w:tab w:leader="none" w:pos="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7,096 shares of Common Stock held by Ms. Cox directly, (ii) 1,094 shares of Common Stock issuable upon exercise of underlying warrants exercisable within 60 days of April 18, 2024, and (iii) 1,148 shares of Common Stock underlying outstanding stock options exercisable within 60 days of April 18, 2024.</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beneficial ownership of Common Stock by Dr. Ando, who retired from the Board on January 4, 2023.</w:t>
      </w:r>
    </w:p>
    <w:p>
      <w:pPr>
        <w:spacing w:after="0" w:line="117"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8,333 shares of Common Stock held by Mr. Barabe directly and (ii) 1,055 shares of Common Stock underlying outstanding stock options exercisable within 60 days of April 18, 2024.</w:t>
      </w:r>
    </w:p>
    <w:p>
      <w:pPr>
        <w:spacing w:after="0" w:line="53"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233 shares of Common Stock held by Dr. de Silva directly and (ii) 1,055 shares of Common Stock underlying outstanding stock options exercisable within 60 days of April 18, 2024.</w:t>
      </w:r>
    </w:p>
    <w:p>
      <w:pPr>
        <w:spacing w:after="0" w:line="53"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2,694 shares of Common Stock held by Mr. Myers directly and (ii) 656 shares of Common Stock issuable upon exercise of underlying warrants exercisable within 60 days of April 18, 2024. Mr. Myers resigned from the Board on November 21, 2023.</w:t>
      </w:r>
    </w:p>
    <w:p>
      <w:pPr>
        <w:spacing w:after="0" w:line="53"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211 shares of Common Stock underlying outstanding stock options exercisable within 60 days of April 18, 2024 held by Mr. Sallin directly. Mr. Sallin resigned from the Board on February 28,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right="20" w:hanging="492"/>
        <w:spacing w:after="0" w:line="253" w:lineRule="auto"/>
        <w:tabs>
          <w:tab w:leader="none" w:pos="4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 Dr. Singer is a trustee and beneficiary, (iv) 7,127 shares of Common Stock held by Bakezilla 2019 Irrevocable Trust, a trust for which 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1,055 shares of Common Stock issuable upon exercise of outstanding options within 60 days of April 18, 2024 held by Dr. Singer directly.</w:t>
      </w:r>
    </w:p>
    <w:p>
      <w:pPr>
        <w:spacing w:after="0" w:line="86" w:lineRule="exact"/>
        <w:rPr>
          <w:rFonts w:ascii="Times New Roman" w:cs="Times New Roman" w:eastAsia="Times New Roman" w:hAnsi="Times New Roman"/>
          <w:sz w:val="18"/>
          <w:szCs w:val="18"/>
          <w:color w:val="auto"/>
        </w:rPr>
      </w:pPr>
    </w:p>
    <w:p>
      <w:pPr>
        <w:ind w:left="500" w:hanging="492"/>
        <w:spacing w:after="0" w:line="282" w:lineRule="auto"/>
        <w:tabs>
          <w:tab w:leader="none" w:pos="4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1,841 shares of Common Stock held by Mr. Zenner directly and (ii) 1,055 shares of Common Stock underlying outstanding stock options exercisable within 60 days of April 18, 2024.</w:t>
      </w:r>
    </w:p>
    <w:p>
      <w:pPr>
        <w:spacing w:after="0" w:line="53"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10,637,343 shares of Common Stock owned directly or beneficially by our executive officers or members of our Board and (ii) 618,985 shares of Common Stock underlying outstanding stock options and warrants exercisable within 60 days of April 18,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Old Cartesian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13, 2023, we acquired Old Cartesian, in accordance with the terms of the Merger Agreement.</w:t>
      </w:r>
    </w:p>
    <w:p>
      <w:pPr>
        <w:spacing w:after="0" w:line="1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in exchange for the outstanding shares of capital stock of Old Cartesian immediately prior to the effective time of the First Merger, we issued to the stockholders of Old Cartesian that are “accredited investors,” as defined in Regulation D promulgated under the Securities Act of 1933, as amended, (A) 224,099 shares of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384,930.724 shares of our Series A Preferred Stock, each share of which is convertible into 33.333 shares of Common Stock, subject to certain conditions described below.</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consummation of the First Merger:</w:t>
      </w:r>
    </w:p>
    <w:p>
      <w:pPr>
        <w:spacing w:after="0" w:line="117" w:lineRule="exact"/>
        <w:rPr>
          <w:sz w:val="20"/>
          <w:szCs w:val="20"/>
          <w:color w:val="auto"/>
        </w:rPr>
      </w:pPr>
    </w:p>
    <w:p>
      <w:pPr>
        <w:ind w:left="660" w:right="4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and each RSU award with respect to shares of Common Stock, in each case that was outstanding and unvested immediately prior to the Effective Time (as defined in the Merger Agreement), vested in full at the Effective Time;</w:t>
      </w:r>
    </w:p>
    <w:p>
      <w:pPr>
        <w:spacing w:after="0" w:line="5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80"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Effective Time, each Old Cartesian Option, other than Old Cartesian Options held by Drs. Kurtoglu, Miljkovic, and Jewell, that was outstanding and unexercised immediately prior to the Effective Time, whether or not vested, was converted into an option to purchase Common Stock. At the Effective Time, each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accordance with the terms of the Old Cartesian Plan and the terms of the stock option agreement by which such Old Cartesian Option is evidenced (but with changes to such documents as we in good faith determine are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Following the automatic conversion of the majority of our Series A Preferred Stock into Common Stock on April 8, 2024, Continuing Officer Options became exercisable for Common Stock, rather than Series A Preferred Stock. From and after the Effective Time:</w:t>
      </w:r>
    </w:p>
    <w:p>
      <w:pPr>
        <w:spacing w:after="0" w:line="79" w:lineRule="exact"/>
        <w:rPr>
          <w:sz w:val="20"/>
          <w:szCs w:val="20"/>
          <w:color w:val="auto"/>
        </w:rPr>
      </w:pPr>
    </w:p>
    <w:p>
      <w:pPr>
        <w:ind w:left="660" w:right="6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each Old Cartesian Option assumed by the Company will be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Common Stock issuable upon exercise of each Old Cartesian Option assumed by the Company will be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6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subject to each Continuing Officer Option assumed by the Company will be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8"/>
          <w:szCs w:val="18"/>
          <w:color w:val="auto"/>
        </w:rPr>
      </w:pPr>
    </w:p>
    <w:p>
      <w:pPr>
        <w:jc w:val="both"/>
        <w:ind w:left="660" w:right="4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for Series A Preferred Stock issuable upon exercise of each Continuing Officer Option assumed by the Company will be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8"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Following the automatic conversion of the majority of our Series A Preferred Stock into Common Stock on April 8, 2024,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w:t>
      </w:r>
    </w:p>
    <w:p>
      <w:pPr>
        <w:spacing w:after="0" w:line="3" w:lineRule="exact"/>
        <w:rPr>
          <w:sz w:val="20"/>
          <w:szCs w:val="20"/>
          <w:color w:val="auto"/>
        </w:rPr>
      </w:pPr>
    </w:p>
    <w:p>
      <w:pPr>
        <w:ind w:right="580" w:firstLine="8"/>
        <w:spacing w:after="0" w:line="260"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of the Series A Preferred Stock subject to such Continuing Officer Option, by (B) 33.333 and rounding the resulting exercise price up to the nearest whole cent.</w:t>
      </w:r>
    </w:p>
    <w:p>
      <w:pPr>
        <w:spacing w:after="0" w:line="7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consideration in the Merger, Drs. Kalayoglu and Singer, together with their affiliated entities, collectively received an aggregate of 230,125.536 shares of Series A Preferred Stock, which are convertible into 7,670,847 shares of Common Stock.</w:t>
      </w:r>
    </w:p>
    <w:p>
      <w:pPr>
        <w:spacing w:after="0" w:line="5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Merger, Drs. Kurtoglu, Jewell, and Miljkovic were granted Continuing Officer Options that are exercisable for 470,403 shares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Old Cartesian entered into stockholder support agreements (the “Support Agreements”) with certain of our pre-Merger officers, directors and stockholders. Pursuant to the Support Agreements, among other things, each of our pre-Merger stockholder parties thereto agreed to vote or cause to be voted all of the shares of Common Stock owned by such stockholder in favor of the proposals we submitted for stockholder approval at our March 2024 Special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2023 Private Placement</w:t>
      </w:r>
    </w:p>
    <w:p>
      <w:pPr>
        <w:spacing w:after="0" w:line="10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Concurrently with the Merger, we entered into a securities purchase agreement pursuant to which we issued and sold an aggregate of 149,330.115 shares of Series A Preferred Stock to Dr. Springer, TAS Partners, LLC (an affiliate of Dr. Springer) and Dr. Kalayoglu, each of which was converted into 33.333 shares of Common Stock except that the shares beneficially owned by Dr. Kalayoglu converted only to the extent permitted by the Certificate of Designation of Preferences,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Rights, and Limitations governing the Series A Preferred Stock, for an aggregate purchase price of approximately $60.25 million. The following table sets forth the number of shares of Series A Preferred Stock purchased in this private placement by such parties: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Series A Preferred Stock</w:t>
            </w:r>
          </w:p>
        </w:tc>
        <w:tc>
          <w:tcPr>
            <w:tcW w:w="2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Aggregate Purchase Price</w:t>
            </w:r>
          </w:p>
        </w:tc>
        <w:tc>
          <w:tcPr>
            <w:tcW w:w="0" w:type="dxa"/>
            <w:vAlign w:val="bottom"/>
          </w:tcPr>
          <w:p>
            <w:pPr>
              <w:spacing w:after="0"/>
              <w:rPr>
                <w:sz w:val="1"/>
                <w:szCs w:val="1"/>
                <w:color w:val="auto"/>
              </w:rPr>
            </w:pPr>
          </w:p>
        </w:tc>
      </w:tr>
      <w:tr>
        <w:trPr>
          <w:trHeight w:val="195"/>
        </w:trPr>
        <w:tc>
          <w:tcPr>
            <w:tcW w:w="6560" w:type="dxa"/>
            <w:vAlign w:val="bottom"/>
            <w:gridSpan w:val="2"/>
            <w:vMerge w:val="continue"/>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123,925.407</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0" w:type="dxa"/>
            <w:vAlign w:val="bottom"/>
          </w:tcPr>
          <w:p>
            <w:pPr>
              <w:spacing w:after="0"/>
              <w:rPr>
                <w:sz w:val="1"/>
                <w:szCs w:val="1"/>
                <w:color w:val="auto"/>
              </w:rPr>
            </w:pPr>
          </w:p>
        </w:tc>
      </w:tr>
      <w:tr>
        <w:trPr>
          <w:trHeight w:val="19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2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24,785.081</w:t>
            </w:r>
          </w:p>
        </w:tc>
        <w:tc>
          <w:tcPr>
            <w:tcW w:w="1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 One Eight Three Four Irrevocable Trust (affiliate of Murat Kalayoglu, M.D., Ph.D.)</w:t>
            </w:r>
          </w:p>
        </w:tc>
        <w:tc>
          <w:tcPr>
            <w:tcW w:w="2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619.627</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Additional details regarding these stockholders and their respective equity holdings are provided in this proxy statement under the caption “Security Ownership of Certain Beneficial Owners and Management.”</w:t>
      </w:r>
    </w:p>
    <w:p>
      <w:pPr>
        <w:spacing w:after="0" w:line="5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this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Partners LLC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 $0.25 million. TAS Partners, LLC, Dr. Springer and Seven One Eight Three Four Irrevocable Trust (affiliated with Dr. Kalayoglu) each purchased their respective shares of Series A Preferred Stock at the same offering price per share.</w:t>
      </w:r>
    </w:p>
    <w:p>
      <w:pPr>
        <w:spacing w:after="0" w:line="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this private placement and the Merger, we also entered into a registration rights agreement (the “Registration Rights Agreement”) with the holders of Common Stock and Series A Preferred Stock signatory thereto, including Drs. Springer and Kalayoglu and TAS Partners, LLC. The holders party to the Registration Rights Agreement have currently waived their rights to require us to file a resale registration statement with the SEC with respect to the shares of Common Stock underlying the Series A Preferred Stock in the private placement and the Common Stock and Series A Preferred Stock issued to the signatories to the Registration Rights Agreement in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 intending to present a proposal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2025 Annual Meeting of Stockholders no earlier than the close of business on February 14, 2025 and no later than the close of business on March 16, 2025. The notice must contain the information required by the Bylaws, a copy of which is available upon request to our Secretary. In the event that the date of the 2025 Annual Meeting of Stockholders is more than 30 days before or more than 60 days after June 14, 2025, then our Secretary must receive such written notice not earlier than the close of business on the 120th day prior to the 2025 Annual Meeting of Stockholders and not later than the close of business on the 90th day prior to the 2025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2025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2025 Annual Meeting of Stockholders</w:t>
      </w:r>
      <w:r>
        <w:rPr>
          <w:rFonts w:ascii="Times New Roman" w:cs="Times New Roman" w:eastAsia="Times New Roman" w:hAnsi="Times New Roman"/>
          <w:sz w:val="18"/>
          <w:szCs w:val="18"/>
          <w:color w:val="auto"/>
        </w:rPr>
        <w:t>. Any stockholder who wishes to submit a proposal for inclusion in our proxy materials must comply with Rule 14a-8 promulgated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For such proposals to be included in our proxy materials for presentation at our 2025 Annual Meeting of Stockholders, all applicable requirements of Rule 14a-8 must be satisfied, and we must receive such proposals no later than December 27, 2024 at our offices at 704 Quince Orchard Road, Gaithersburg, Maryland 20878, Attn: Secretary.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left="500" w:right="220"/>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Cartesian’s Annual Report on Form 10-K</w:t>
      </w:r>
    </w:p>
    <w:p>
      <w:pPr>
        <w:spacing w:after="0" w:line="200" w:lineRule="exact"/>
        <w:rPr>
          <w:sz w:val="20"/>
          <w:szCs w:val="20"/>
          <w:color w:val="auto"/>
        </w:rPr>
      </w:pPr>
    </w:p>
    <w:p>
      <w:pPr>
        <w:spacing w:after="0" w:line="27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Cartesian’s Annual Report on Form 10-K for the fiscal year ended December 31, 2023, including financial statements and schedules thereto but not including exhibits, as filed with the SEC, will be sent to any stockholder of record on April 18, 2024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704 Quince Orchard Road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Gaithersburg, MD 20878</w:t>
      </w:r>
    </w:p>
    <w:p>
      <w:pPr>
        <w:spacing w:after="0" w:line="11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2023 on the “Financial Information”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&amp; News” page of our website at </w:t>
      </w:r>
      <w:r>
        <w:rPr>
          <w:rFonts w:ascii="Times New Roman" w:cs="Times New Roman" w:eastAsia="Times New Roman" w:hAnsi="Times New Roman"/>
          <w:sz w:val="18"/>
          <w:szCs w:val="18"/>
          <w:i w:val="1"/>
          <w:iCs w:val="1"/>
          <w:color w:val="auto"/>
        </w:rPr>
        <w:t>www.cartesiantherapeutics.com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ind w:left="10360"/>
        <w:spacing w:after="0"/>
        <w:rPr>
          <w:sz w:val="20"/>
          <w:szCs w:val="20"/>
          <w:color w:val="auto"/>
        </w:rPr>
      </w:pPr>
      <w:r>
        <w:rPr>
          <w:rFonts w:ascii="Times New Roman" w:cs="Times New Roman" w:eastAsia="Times New Roman" w:hAnsi="Times New Roman"/>
          <w:sz w:val="17"/>
          <w:szCs w:val="17"/>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110490</wp:posOffset>
            </wp:positionV>
            <wp:extent cx="651510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15100" cy="300355"/>
                    </a:xfrm>
                    <a:prstGeom prst="rect">
                      <a:avLst/>
                    </a:prstGeom>
                    <a:noFill/>
                  </pic:spPr>
                </pic:pic>
              </a:graphicData>
            </a:graphic>
          </wp:anchor>
        </w:drawing>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CARTESIAN THERAPEUTICS, INC.</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AMENDED AND RESTATED 2016 INCENTIVE AWARD 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3.1 Administration.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3.2 Appointment of Committees.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4.1 Number of Shares.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4.2 Share Recycling.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4.3 Incentive Stock Option Limitations. Notwithstanding anything to the contrary herein, no more than 44,714,740 Shares may be issued pursuant to the exercise of Incentive Stock Options.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8" w:name="page69"/>
    <w:bookmarkEnd w:id="68"/>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4.4 Substitute Awards.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4.5 Non-Employee Director Compensation.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$1,000,000 in the fiscal year of a non-employee Director’s initial service as a non-employee Director or $750,000 in any subsequent fiscal year.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5.1 General.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5.2 Exercise Price.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9" w:name="page70"/>
    <w:bookmarkEnd w:id="69"/>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5.3 Duration.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5.4 Exercise.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Payment Upon Exercise. Subject to Section 10.8, any Company insider trading policy (including blackout periods)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Laws, the exercise price of an Option must be paid by:</w:t>
      </w:r>
    </w:p>
    <w:p>
      <w:pPr>
        <w:spacing w:after="0" w:line="214" w:lineRule="exact"/>
        <w:rPr>
          <w:sz w:val="20"/>
          <w:szCs w:val="20"/>
          <w:color w:val="auto"/>
        </w:rPr>
      </w:pPr>
    </w:p>
    <w:p>
      <w:pPr>
        <w:ind w:firstLine="1304"/>
        <w:spacing w:after="0" w:line="269" w:lineRule="auto"/>
        <w:tabs>
          <w:tab w:leader="none" w:pos="174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7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78" w:lineRule="exact"/>
        <w:rPr>
          <w:rFonts w:ascii="Times New Roman" w:cs="Times New Roman" w:eastAsia="Times New Roman" w:hAnsi="Times New Roman"/>
          <w:sz w:val="20"/>
          <w:szCs w:val="20"/>
          <w:color w:val="auto"/>
        </w:rPr>
      </w:pPr>
    </w:p>
    <w:p>
      <w:pPr>
        <w:ind w:right="20" w:firstLine="1304"/>
        <w:spacing w:after="0" w:line="283" w:lineRule="auto"/>
        <w:tabs>
          <w:tab w:leader="none" w:pos="175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79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0" w:name="page71"/>
    <w:bookmarkEnd w:id="70"/>
    <w:p>
      <w:pPr>
        <w:ind w:right="20" w:firstLine="1304"/>
        <w:spacing w:after="0" w:line="283" w:lineRule="auto"/>
        <w:tabs>
          <w:tab w:leader="none" w:pos="17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46"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above payment forms approved by the Administrator.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 General.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7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Restricted Stock.</w:t>
      </w:r>
    </w:p>
    <w:p>
      <w:pPr>
        <w:spacing w:after="0" w:line="229" w:lineRule="exact"/>
        <w:rPr>
          <w:sz w:val="20"/>
          <w:szCs w:val="20"/>
          <w:color w:val="auto"/>
        </w:rPr>
      </w:pPr>
    </w:p>
    <w:p>
      <w:pPr>
        <w:jc w:val="both"/>
        <w:ind w:firstLine="1304"/>
        <w:spacing w:after="0" w:line="253" w:lineRule="auto"/>
        <w:tabs>
          <w:tab w:leader="none" w:pos="180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91" w:lineRule="exact"/>
        <w:rPr>
          <w:rFonts w:ascii="Times New Roman" w:cs="Times New Roman" w:eastAsia="Times New Roman" w:hAnsi="Times New Roman"/>
          <w:sz w:val="20"/>
          <w:szCs w:val="20"/>
          <w:color w:val="auto"/>
        </w:rPr>
      </w:pPr>
    </w:p>
    <w:p>
      <w:pPr>
        <w:ind w:firstLine="1304"/>
        <w:spacing w:after="0" w:line="269" w:lineRule="auto"/>
        <w:tabs>
          <w:tab w:leader="none" w:pos="172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Certificates</w:t>
      </w:r>
      <w:r>
        <w:rPr>
          <w:rFonts w:ascii="Times New Roman" w:cs="Times New Roman" w:eastAsia="Times New Roman" w:hAnsi="Times New Roman"/>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Restricted Stock Units.</w:t>
      </w:r>
    </w:p>
    <w:p>
      <w:pPr>
        <w:spacing w:after="0" w:line="216" w:lineRule="exact"/>
        <w:rPr>
          <w:sz w:val="20"/>
          <w:szCs w:val="20"/>
          <w:color w:val="auto"/>
        </w:rPr>
      </w:pPr>
    </w:p>
    <w:p>
      <w:pPr>
        <w:jc w:val="both"/>
        <w:ind w:firstLine="1304"/>
        <w:spacing w:after="0" w:line="268" w:lineRule="auto"/>
        <w:tabs>
          <w:tab w:leader="none" w:pos="179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75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Rights</w:t>
      </w:r>
      <w:r>
        <w:rPr>
          <w:rFonts w:ascii="Times New Roman" w:cs="Times New Roman" w:eastAsia="Times New Roman" w:hAnsi="Times New Roman"/>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STOCK OR CASH BASED AWARDS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20"/>
          <w:szCs w:val="20"/>
          <w:color w:val="auto"/>
        </w:rPr>
        <w:t>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8.1 Equity Restructuring(a)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8.2 Corporate Transactions.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81" w:lineRule="exact"/>
        <w:rPr>
          <w:sz w:val="20"/>
          <w:szCs w:val="20"/>
          <w:color w:val="auto"/>
        </w:rPr>
      </w:pPr>
    </w:p>
    <w:p>
      <w:pPr>
        <w:jc w:val="both"/>
        <w:ind w:firstLine="1304"/>
        <w:spacing w:after="0" w:line="253" w:lineRule="auto"/>
        <w:tabs>
          <w:tab w:leader="none" w:pos="176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1" w:lineRule="exact"/>
        <w:rPr>
          <w:rFonts w:ascii="Times New Roman" w:cs="Times New Roman" w:eastAsia="Times New Roman" w:hAnsi="Times New Roman"/>
          <w:sz w:val="20"/>
          <w:szCs w:val="20"/>
          <w:color w:val="auto"/>
        </w:rPr>
      </w:pPr>
    </w:p>
    <w:p>
      <w:pPr>
        <w:ind w:firstLine="1304"/>
        <w:spacing w:after="0" w:line="283" w:lineRule="auto"/>
        <w:tabs>
          <w:tab w:leader="none" w:pos="180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2" w:name="page73"/>
    <w:bookmarkEnd w:id="72"/>
    <w:p>
      <w:pPr>
        <w:spacing w:after="0" w:line="283" w:lineRule="auto"/>
        <w:rPr>
          <w:sz w:val="20"/>
          <w:szCs w:val="20"/>
          <w:color w:val="auto"/>
        </w:rPr>
      </w:pPr>
      <w:r>
        <w:rPr>
          <w:rFonts w:ascii="Times New Roman" w:cs="Times New Roman" w:eastAsia="Times New Roman" w:hAnsi="Times New Roman"/>
          <w:sz w:val="20"/>
          <w:szCs w:val="20"/>
          <w:color w:val="auto"/>
        </w:rPr>
        <w:t>kind of shares which may be issued) and/or in the terms and conditions of (including the grant or exercise price), and the criteria included in, outstanding Awards;</w:t>
      </w:r>
    </w:p>
    <w:p>
      <w:pPr>
        <w:spacing w:after="0" w:line="146" w:lineRule="exact"/>
        <w:rPr>
          <w:sz w:val="20"/>
          <w:szCs w:val="20"/>
          <w:color w:val="auto"/>
        </w:rPr>
      </w:pPr>
    </w:p>
    <w:p>
      <w:pPr>
        <w:ind w:left="1720" w:hanging="416"/>
        <w:spacing w:after="0"/>
        <w:tabs>
          <w:tab w:leader="none" w:pos="17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 and/or</w:t>
      </w:r>
    </w:p>
    <w:p>
      <w:pPr>
        <w:spacing w:after="0" w:line="22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 event.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8.3 Non-Assumption.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8.4 Administrative Stand Still.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8.5 General.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9.1 Transferability.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9.2 Documentation. Each Award will be evidenced in an Award Agreement, which may be written or electronic, as the Administrator determines. Each Award may contain terms and conditions in addition to those set forth in the Plan.</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9.3 Discretion.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3" w:name="page74"/>
    <w:bookmarkEnd w:id="73"/>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9.4 Termination of Status.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9.5 Withholding.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9.6 Amendment of Award; Repricing.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9.7 Conditions on Delivery of Stock.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4" w:name="page75"/>
    <w:bookmarkEnd w:id="74"/>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9.8 Acceleration. The Administrator may at any time provide that any Award will become immediately vested and fully or partially exercisable, free of some or all restrictions or conditions, or otherwise fully or partially realizable.</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9.9 Additional Terms of Incentive Stock Options.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10.1 No Right to Employment or Other Status.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10.2 No Rights as Stockholder; Certificates.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10.3 Effective Date and Term of Plan. The Plan originally became effective on June 21, 2016. On April 25, 2024, the Board approved the amendment and restatement of the Plan, to become effective (the “Effective Date”) as of June 14, 2024, upon approval by the shareholders of the Company at the Company’s June 14, 2024 annual meeting in accordance with Applicable Laws. The amended and restated Plan will remain in effect until April 25, 2034 but Awards previously granted may extend beyond that date in accordance with the Plan.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10.4 Amendment of Plan.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10.5 Provisions for Foreign Participants.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Section 409A.</w:t>
      </w:r>
    </w:p>
    <w:p>
      <w:pPr>
        <w:spacing w:after="0" w:line="216" w:lineRule="exact"/>
        <w:rPr>
          <w:sz w:val="20"/>
          <w:szCs w:val="20"/>
          <w:color w:val="auto"/>
        </w:rPr>
      </w:pPr>
    </w:p>
    <w:p>
      <w:pPr>
        <w:jc w:val="both"/>
        <w:ind w:firstLine="1304"/>
        <w:spacing w:after="0" w:line="265" w:lineRule="auto"/>
        <w:tabs>
          <w:tab w:leader="none" w:pos="1754"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w:t>
      </w:r>
    </w:p>
    <w:p>
      <w:pPr>
        <w:spacing w:after="0" w:line="3"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Section 409A, including regulations, guidance, compliance programs and other interpretative authority that may be issued</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6" w:lineRule="exact"/>
        <w:rPr>
          <w:sz w:val="20"/>
          <w:szCs w:val="20"/>
          <w:color w:val="auto"/>
        </w:rPr>
      </w:pPr>
    </w:p>
    <w:p>
      <w:pPr>
        <w:jc w:val="both"/>
        <w:ind w:firstLine="1304"/>
        <w:spacing w:after="0" w:line="253" w:lineRule="auto"/>
        <w:tabs>
          <w:tab w:leader="none" w:pos="184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Specified Employees</w:t>
      </w:r>
      <w:r>
        <w:rPr>
          <w:rFonts w:ascii="Times New Roman" w:cs="Times New Roman" w:eastAsia="Times New Roman" w:hAnsi="Times New Roman"/>
          <w:sz w:val="20"/>
          <w:szCs w:val="20"/>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10.7 Limitations on Liability.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10.8 Lock-Up Period. The Company may, at the request of any underwriter representative or otherwise, in connection with registering the offering of any Company securities under the Securities Act, prohibit Participants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20"/>
          <w:szCs w:val="20"/>
          <w:color w:val="auto"/>
        </w:rPr>
        <w:t>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10.9 Data Privacy.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10.10 Severability.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10.11 Governing Documents.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61"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10.12 Governing Law.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10.13 Claw-back Provisions.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10.14 Titles and Headings. The titles and headings in the Plan are for convenience of reference only and, if any conflict, the Plan’s text, rather than such titles or headings, will control.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7" w:name="page78"/>
    <w:bookmarkEnd w:id="7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10.15 Conformity to Securities Laws.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10.16 Relationship to Other Benefits.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10.17 Broker-Assisted Sales.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or Other Stock or Cash Based Awards.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11.4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11.6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9"/>
          <w:szCs w:val="19"/>
          <w:b w:val="1"/>
          <w:bCs w:val="1"/>
          <w:i w:val="1"/>
          <w:iCs w:val="1"/>
          <w:color w:val="auto"/>
        </w:rPr>
        <w:t>Relevant Agreement</w:t>
      </w:r>
      <w:r>
        <w:rPr>
          <w:rFonts w:ascii="Times New Roman" w:cs="Times New Roman" w:eastAsia="Times New Roman" w:hAnsi="Times New Roman"/>
          <w:sz w:val="19"/>
          <w:szCs w:val="19"/>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w:t>
      </w:r>
    </w:p>
    <w:p>
      <w:pPr>
        <w:spacing w:after="0" w:line="3" w:lineRule="exact"/>
        <w:rPr>
          <w:sz w:val="20"/>
          <w:szCs w:val="20"/>
          <w:color w:val="auto"/>
        </w:rPr>
      </w:pPr>
    </w:p>
    <w:p>
      <w:pPr>
        <w:ind w:right="20" w:firstLine="8"/>
        <w:spacing w:after="0" w:line="260" w:lineRule="auto"/>
        <w:tabs>
          <w:tab w:leader="none" w:pos="31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act or omission by the Participant that could reasonably be expected to result in (or has resulted in) the Participant’s conviction, plea of no contest, plea of nolo contendere, or imposition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20"/>
          <w:szCs w:val="20"/>
          <w:color w:val="auto"/>
        </w:rPr>
        <w:t>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and includes each of the following:</w:t>
      </w:r>
    </w:p>
    <w:p>
      <w:pPr>
        <w:spacing w:after="0" w:line="233" w:lineRule="exact"/>
        <w:rPr>
          <w:sz w:val="20"/>
          <w:szCs w:val="20"/>
          <w:color w:val="auto"/>
        </w:rPr>
      </w:pPr>
    </w:p>
    <w:p>
      <w:pPr>
        <w:jc w:val="both"/>
        <w:ind w:firstLine="1304"/>
        <w:spacing w:after="0" w:line="251" w:lineRule="auto"/>
        <w:tabs>
          <w:tab w:leader="none" w:pos="183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7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8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37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91"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1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and the regulations issued thereunder.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means the common stock of the Company.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11.11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Cartesian Therapeutics, Inc., a Delaware corporation and the successor of Selecta Biosciences, Inc., or any successor to Cartesian Therapeutics, Inc.</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11.12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11.13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permanent and total disability under Section 22(e)(3) of the Code, as amended.</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11.16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its Subsidiaries.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11.18 “</w:t>
      </w:r>
      <w:r>
        <w:rPr>
          <w:rFonts w:ascii="Times New Roman" w:cs="Times New Roman" w:eastAsia="Times New Roman" w:hAnsi="Times New Roman"/>
          <w:sz w:val="20"/>
          <w:szCs w:val="20"/>
          <w:b w:val="1"/>
          <w:bCs w:val="1"/>
          <w:i w:val="1"/>
          <w:iCs w:val="1"/>
          <w:color w:val="auto"/>
        </w:rPr>
        <w:t>Equity Restructuring</w:t>
      </w:r>
      <w:r>
        <w:rPr>
          <w:rFonts w:ascii="Times New Roman" w:cs="Times New Roman" w:eastAsia="Times New Roman" w:hAnsi="Times New Roman"/>
          <w:sz w:val="20"/>
          <w:szCs w:val="20"/>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216"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0"/>
          <w:szCs w:val="20"/>
          <w:color w:val="auto"/>
        </w:rPr>
        <w:t>11.20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0" w:name="page81"/>
    <w:bookmarkEnd w:id="80"/>
    <w:p>
      <w:pPr>
        <w:jc w:val="both"/>
        <w:spacing w:after="0" w:line="251" w:lineRule="auto"/>
        <w:rPr>
          <w:sz w:val="20"/>
          <w:szCs w:val="20"/>
          <w:color w:val="auto"/>
        </w:rPr>
      </w:pPr>
      <w:r>
        <w:rPr>
          <w:rFonts w:ascii="Times New Roman" w:cs="Times New Roman" w:eastAsia="Times New Roman" w:hAnsi="Times New Roman"/>
          <w:sz w:val="20"/>
          <w:szCs w:val="20"/>
          <w:color w:val="auto"/>
        </w:rPr>
        <w:t>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11.21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11.22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 Code.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means an Option not intended or not qualifying as an Incentive Stock Option.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an option to purchase Shares.</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11.25 “</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(i) 4,471,474 Shares, and (ii) an annual increase on the first day of each calendar year beginning January 1, 2025 and ending on and including January 1, 2034, equal to the lesser of (A) 4% of the aggregate number of shares of Common Stock outstanding on the final day of the immediately preceding calendar year and (B) such smaller number of Shares as is determined by the Board.</w:t>
      </w:r>
    </w:p>
    <w:p>
      <w:pPr>
        <w:spacing w:after="0" w:line="16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11.28 “</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0"/>
          <w:szCs w:val="20"/>
          <w:color w:val="auto"/>
        </w:rPr>
        <w:t>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2016 Incentive Award Plan, as amended and restated.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11.30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Article VI subject to certain vesting conditions and other restrictions.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11.31 “</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11.33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 stock appreciation right granted under Article V.</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11.38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11.39 “</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 the date the Participant ceases to be a Service Provider.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860425</wp:posOffset>
            </wp:positionV>
            <wp:extent cx="7157720" cy="8190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819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637540</wp:posOffset>
            </wp:positionV>
            <wp:extent cx="5863590" cy="7586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3"/>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2"/>
      <w:numFmt w:val="bullet"/>
      <w:start w:val="1"/>
    </w:lvl>
  </w:abstractNum>
  <w:abstractNum w:abstractNumId="14">
    <w:nsid w:val="6A2342EC"/>
    <w:multiLevelType w:val="hybridMultilevel"/>
    <w:lvl w:ilvl="0">
      <w:lvlJc w:val="left"/>
      <w:lvlText w:val="3"/>
      <w:numFmt w:val="bullet"/>
      <w:start w:val="1"/>
    </w:lvl>
  </w:abstractNum>
  <w:abstractNum w:abstractNumId="15">
    <w:nsid w:val="2A487CB0"/>
    <w:multiLevelType w:val="hybridMultilevel"/>
    <w:lvl w:ilvl="0">
      <w:lvlJc w:val="left"/>
      <w:lvlText w:val="4"/>
      <w:numFmt w:val="bullet"/>
      <w:start w:val="1"/>
    </w:lvl>
  </w:abstractNum>
  <w:abstractNum w:abstractNumId="16">
    <w:nsid w:val="1D4ED43B"/>
    <w:multiLevelType w:val="hybridMultilevel"/>
    <w:lvl w:ilvl="0">
      <w:lvlJc w:val="left"/>
      <w:lvlText w:val="5"/>
      <w:numFmt w:val="bullet"/>
      <w:start w:val="1"/>
    </w:lvl>
  </w:abstractNum>
  <w:abstractNum w:abstractNumId="17">
    <w:nsid w:val="725A06FB"/>
    <w:multiLevelType w:val="hybridMultilevel"/>
    <w:lvl w:ilvl="0">
      <w:lvlJc w:val="left"/>
      <w:lvlText w:val="6"/>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upperLetter"/>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ü"/>
      <w:numFmt w:val="bullet"/>
      <w:start w:val="1"/>
    </w:lvl>
  </w:abstractNum>
  <w:abstractNum w:abstractNumId="31">
    <w:nsid w:val="1BA026FA"/>
    <w:multiLevelType w:val="hybridMultilevel"/>
    <w:lvl w:ilvl="0">
      <w:lvlJc w:val="left"/>
      <w:lvlText w:val="X"/>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6"/>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lowerRoman"/>
      <w:start w:val="5"/>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2"/>
    </w:lvl>
  </w:abstractNum>
  <w:abstractNum w:abstractNumId="46">
    <w:nsid w:val="47398C89"/>
    <w:multiLevelType w:val="hybridMultilevel"/>
    <w:lvl w:ilvl="0">
      <w:lvlJc w:val="left"/>
      <w:lvlText w:val="(%1)"/>
      <w:numFmt w:val="decimal"/>
      <w:start w:val="3"/>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5"/>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2"/>
    </w:lvl>
  </w:abstractNum>
  <w:abstractNum w:abstractNumId="55">
    <w:nsid w:val="77AE35EB"/>
    <w:multiLevelType w:val="hybridMultilevel"/>
    <w:lvl w:ilvl="0">
      <w:lvlJc w:val="left"/>
      <w:lvlText w:val="(%1)"/>
      <w:numFmt w:val="decimal"/>
      <w:start w:val="16"/>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upperLetter"/>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5"/>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5"/>
    </w:lvl>
  </w:abstractNum>
  <w:abstractNum w:abstractNumId="65">
    <w:nsid w:val="5DB70AE5"/>
    <w:multiLevelType w:val="hybridMultilevel"/>
    <w:lvl w:ilvl="0">
      <w:lvlJc w:val="left"/>
      <w:lvlText w:val="%1"/>
      <w:numFmt w:val="upperLetter"/>
      <w:start w:val="1"/>
    </w:lvl>
    <w:lvl w:ilvl="1">
      <w:lvlJc w:val="left"/>
      <w:lvlText w:val="(%2)"/>
      <w:numFmt w:val="lowerLetter"/>
      <w:start w:val="1"/>
    </w:lvl>
  </w:abstractNum>
  <w:abstractNum w:abstractNumId="66">
    <w:nsid w:val="100F8FCA"/>
    <w:multiLevelType w:val="hybridMultilevel"/>
    <w:lvl w:ilvl="0">
      <w:lvlJc w:val="left"/>
      <w:lvlText w:val="(%1)"/>
      <w:numFmt w:val="upperLetter"/>
      <w:start w:val="2"/>
    </w:lvl>
    <w:lvl w:ilvl="1">
      <w:lvlJc w:val="left"/>
      <w:lvlText w:val="%2"/>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1)"/>
      <w:numFmt w:val="upperLetter"/>
      <w:start w:val="3"/>
    </w:lvl>
  </w:abstractNum>
  <w:abstractNum w:abstractNumId="69">
    <w:nsid w:val="5F5E7FD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2024-04-26T08:17:21Z</dcterms:created>
  <dcterms:modified xsi:type="dcterms:W3CDTF">2024-04-26T08:17:21Z</dcterms:modified>
</cp:coreProperties>
</file>