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13, 2019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17" w:right="299" w:bottom="1440" w:gutter="0" w:footer="0" w:header="0"/>
        </w:sect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001-37798</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26-1622110</w:t>
      </w:r>
    </w:p>
    <w:p>
      <w:pPr>
        <w:spacing w:after="0" w:line="27" w:lineRule="exact"/>
        <w:rPr>
          <w:sz w:val="24"/>
          <w:szCs w:val="24"/>
          <w:color w:val="auto"/>
        </w:rPr>
      </w:pPr>
    </w:p>
    <w:p>
      <w:pPr>
        <w:ind w:left="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3140" w:space="720"/>
            <w:col w:w="2360"/>
          </w:cols>
          <w:pgMar w:left="240" w:top="517" w:right="299" w:bottom="1440" w:gutter="0" w:footer="0" w:header="0"/>
          <w:type w:val="continuous"/>
        </w:sectPr>
      </w:pPr>
    </w:p>
    <w:p>
      <w:pPr>
        <w:spacing w:after="0" w:line="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517"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20" w:hanging="53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517" w:right="299" w:bottom="1440" w:gutter="0" w:footer="0" w:header="0"/>
          <w:type w:val="continuous"/>
        </w:sectPr>
      </w:pPr>
    </w:p>
    <w:p>
      <w:pPr>
        <w:spacing w:after="0" w:line="283"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420" w:space="720"/>
            <w:col w:w="1680" w:space="720"/>
            <w:col w:w="3820"/>
          </w:cols>
          <w:pgMar w:left="240" w:top="517" w:right="2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880" w:space="720"/>
            <w:col w:w="2000" w:space="720"/>
            <w:col w:w="3040"/>
          </w:cols>
          <w:pgMar w:left="240" w:top="517" w:right="299" w:bottom="1440" w:gutter="0" w:footer="0" w:header="0"/>
          <w:type w:val="continuous"/>
        </w:sectPr>
      </w:pPr>
    </w:p>
    <w:p>
      <w:pPr>
        <w:ind w:left="1400"/>
        <w:spacing w:after="0"/>
        <w:rPr>
          <w:sz w:val="20"/>
          <w:szCs w:val="20"/>
          <w:color w:val="auto"/>
        </w:rPr>
      </w:pPr>
      <w:r>
        <w:rPr>
          <w:rFonts w:ascii="Arial" w:cs="Arial" w:eastAsia="Arial" w:hAnsi="Arial"/>
          <w:sz w:val="15"/>
          <w:szCs w:val="15"/>
          <w:color w:val="auto"/>
        </w:rPr>
        <w:t>$0.0001 par value per share</w:t>
      </w:r>
    </w:p>
    <w:p>
      <w:pPr>
        <w:sectPr>
          <w:pgSz w:w="11900" w:h="16838" w:orient="portrait"/>
          <w:cols w:equalWidth="0" w:num="1">
            <w:col w:w="11360"/>
          </w:cols>
          <w:pgMar w:left="240" w:top="517" w:right="299" w:bottom="1440" w:gutter="0" w:footer="0" w:header="0"/>
          <w:type w:val="continuous"/>
        </w:sectPr>
      </w:pPr>
    </w:p>
    <w:p>
      <w:pPr>
        <w:spacing w:after="0" w:line="2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 License Amendment</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13, 2019, the Company entered into the Fourth Amendment (the “MIT Amendment”) to the Exclusive Patent License Agreement by and between the Company and the Massachusetts Institute of Technology (“MIT”) (the “MIT Agreement”). Pursuant to the MIT Amendment, a provision of the MIT Agreement under which the Company was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the Company provides MIT with an amended diligence plan.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AskBio License Agreement</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December 17, 2019, Selecta Biosciences, Inc. (the “Company”) and Asklepios BioPharmaceutical, Inc., a Delaware corporation, (“AskBio”) entered into a License Agreement (the “AskBio Agreement”). Pursuant to the AskBio Agreement, AskBio has exercised its option to exclusively license the Company’s intellectual property rights covering the Company’s antigen-specific biodegradable nanoparticle encapsulating the immunomodulator rapamycin (“ImmTOR”) to research, develop, and commercialize certain recombinant adeno-associated virus (“rAAV”) gene therapy products utilizing ImmTOR, and targeting the glucosidase alpha, acid (“GAA”) gene, or derivatives thereof, to treat Pompe Disease (“Licensed Products”).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the AskBio Agreement and ancillary documents pertaining thereto, within thirty (30) days of the effective date of the AskBio Agreement, AskBio agreed to pay to the Company upfront fees of an aggregate of $7,000,000. Also pursuant to the AskBio Agreement, and the referenced ancillary documents, AskBio agreed to make additional payments to the Company based on the achievement of certain development and commercial milestones of up to an aggregate of $237 million. AskBio will also be obligated to make tiered royalty payments, at percentages in the mid-to-high single digits, to the Company based on achievement of certain sales milestones.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AskBio Agreement, the Company will supply AskBio with its ImmTOR technology which will be reimbursed at cost plus a ten percent (10%) markup,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AskBio Agreement contains other customary terms and conditions, including representations and warranties, covenants, termination, and indemnification obligations in favor of each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COMPARE Trial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2, 2019, in the Company’s Phase 2 Head-to-Head COMPARE study, 56 patients had been dosed in the SEL-212 arm of the trial and 57 patients had been dosed in the pegloticase arm of the trial. Of those patients, 45 patients enrolled in each arm of the trial had met the criteria to be observed for stopping rules. In the SEL-212 arm of the trial, eight patients had discontinued treatment, including four patients who discontinued treatment due to meeting a stopping rule and four patients who discontinued treatment due to an adverse event. In the pegloticase arm of the trial, 22 patients had discontinued treatment, including 16 patients who met a stopping rule, and six patients who discontinued treatment due to an adverse event. All adverse events which led to the discontinuation of study treatment were due to infusion reactions. Two of these reactions, in each treatment arm, respectively, were classified as serious.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clinical trial protocol, patients are required to stop treatment if they have met a stopping rule. The stopping rules for pegloticase follow the FDA prescribing information. For SEL-212, patients will have met the stopping rule if their serum uric acid (“SUA”) levels are greater than 1.0 mg/dL, measured at day 21 of the first treatment period, or their SUA levels are greater than 6.0 mg/dL measured at day 21 of the second, third, fourth or fifth treatment periods as this drug is dosed every 28 days. For pegloticase, patients will have met the stopping rule if their SUA levels are greater than 6.0 mg/dL measured on two consecutive pre-dose measurements. Pegloticase is dosed every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19, 2019</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Carsten Brunn, Ph.D.</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Carsten Brunn, Ph.D.</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2019-12-19T07:32:40Z</dcterms:created>
  <dcterms:modified xsi:type="dcterms:W3CDTF">2019-12-19T07:32:40Z</dcterms:modified>
</cp:coreProperties>
</file>