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Hoge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704 QUINCE ORCHARD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Cartesian Therapeutics, Inc.</w:t>
              </w:r>
            </w:hyperlink>
            <w:r>
              <w:rPr/>
              <w:t xml:space="preserve"> [ </w:t>
            </w:r>
            <w:r>
              <w:rPr>
                <w:rFonts w:ascii="Times;serif" w:hAnsi="Times;serif"/>
                <w:color w:val="0000FF"/>
                <w:sz w:val="24"/>
                <w:shd w:fill="FFFFFF" w:val="clear"/>
              </w:rPr>
              <w:t>RNAC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04/08/2024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2,926,764</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3,036,887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as trustee</w:t>
            </w:r>
            <w:r>
              <w:rPr>
                <w:rFonts w:ascii="Times;serif" w:hAnsi="Times;serif"/>
                <w:color w:val="008000"/>
                <w:position w:val="7"/>
                <w:sz w:val="16"/>
                <w:sz w:val="20"/>
                <w:shd w:fill="FFFFFF" w:val="clear"/>
              </w:rPr>
              <w:t>(2)</w:t>
            </w:r>
            <w:r>
              <w:rPr/>
              <w:t xml:space="preserve"> </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04/08/2024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491,853</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506,377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324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071"/>
        <w:gridCol w:w="906"/>
        <w:gridCol w:w="801"/>
        <w:gridCol w:w="891"/>
        <w:gridCol w:w="1101"/>
        <w:gridCol w:w="801"/>
        <w:gridCol w:w="1176"/>
        <w:gridCol w:w="831"/>
        <w:gridCol w:w="846"/>
      </w:tblGrid>
      <w:tr>
        <w:trPr>
          <w:tblHeader w:val="true"/>
        </w:trPr>
        <w:tc>
          <w:tcPr>
            <w:tcW w:w="132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Non-Voting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87,802.95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2,926,764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101,953.444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r>
              <w:rPr/>
              <w:t xml:space="preserve"> </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Non-Voting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14,755.609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491,853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Hoge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704 QUINCE ORCHARD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Seven One Eight Three Four Irrevocable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CARTESIAN THERAPEUTICS,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704 QUINCE ORCHARD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Following the approval by the stockholders of the issuer of the conversion of the Series A Non-Voting Convertible Preferred Stock of the issuer ("Series A Preferred Stock") into shares of common stock of the issuer ("Common Stock"), each share of Series A Preferred Stock automatically converted into 33-1/3 shares of Common Stock, subject to certain limitations, including that a holder of Series A Preferred Stock is prohibited from converting shares of Series Preferred Stock into shares of Common Stock if, as a result of such conversion, such holder, together with its affiliates, would beneficially own more than 19.9% of the total number of shares of Common Stock issued and outstanding immediately after giving effect to such conversion.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owned directly by Seven One Eight Three Four Irrevocable Trust (the "Trust"). The reporting person is a trustee and beneficiary of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Exhibits 24.1 and 24.2 filed herewith.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Murat Kalayoglu,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Murat Kalayoglu,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hd w:fill="FFFFFF" w:val="clear"/>
        <w:bidi w:val="0"/>
        <w:spacing w:before="0" w:after="0"/>
        <w:jc w:val="center"/>
        <w:rPr>
          <w:u w:val="single"/>
        </w:rPr>
      </w:pPr>
      <w:bookmarkStart w:id="2" w:name="exhibit24-1.htm"/>
      <w:bookmarkStart w:id="3" w:name="ksexhibit241"/>
      <w:bookmarkEnd w:id="2"/>
      <w:bookmarkEnd w:id="3"/>
      <w:r>
        <w:rPr>
          <w:u w:val="single"/>
        </w:rPr>
        <w:t>Exhibit 3</w:t>
      </w:r>
      <w:r>
        <w:br w:type="page"/>
      </w:r>
    </w:p>
    <w:p>
      <w:pPr>
        <w:pStyle w:val="TextBody"/>
        <w:shd w:fill="FFFFFF" w:val="clear"/>
        <w:bidi w:val="0"/>
        <w:spacing w:before="240" w:after="0"/>
        <w:ind w:left="0" w:right="0" w:hanging="0"/>
        <w:jc w:val="center"/>
        <w:rPr>
          <w:u w:val="single"/>
        </w:rPr>
      </w:pPr>
      <w:r>
        <w:rPr>
          <w:u w:val="single"/>
        </w:rPr>
        <w:t>CONFIRMING STATEMENT</w:t>
      </w:r>
    </w:p>
    <w:p>
      <w:pPr>
        <w:pStyle w:val="TextBody"/>
        <w:shd w:fill="FFFFFF" w:val="clear"/>
        <w:bidi w:val="0"/>
        <w:spacing w:before="240" w:after="0"/>
        <w:ind w:left="0" w:right="0" w:firstLine="490"/>
        <w:jc w:val="left"/>
        <w:rPr/>
      </w:pPr>
      <w:r>
        <w:rPr/>
        <w:t>This Statement confirms that the undersigned has authorized and designated Murat Kalayoglu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Murat Kalayoglu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Murat Kalayoglu is not assuming any of the undersigned's responsibilities to comply with Section 16 or Section 13 of the Securities Exchange Act of 1934, as amended.</w:t>
      </w:r>
    </w:p>
    <w:p>
      <w:pPr>
        <w:pStyle w:val="TextBody"/>
        <w:shd w:fill="FFFFFF" w:val="clear"/>
        <w:bidi w:val="0"/>
        <w:spacing w:before="0" w:after="0"/>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4806"/>
        <w:gridCol w:w="101"/>
        <w:gridCol w:w="408"/>
        <w:gridCol w:w="60"/>
        <w:gridCol w:w="23"/>
        <w:gridCol w:w="102"/>
        <w:gridCol w:w="4705"/>
      </w:tblGrid>
      <w:tr>
        <w:trPr/>
        <w:tc>
          <w:tcPr>
            <w:tcW w:w="4806" w:type="dxa"/>
            <w:tcBorders/>
            <w:shd w:fill="FFFFFF" w:val="clear"/>
            <w:vAlign w:val="center"/>
          </w:tcPr>
          <w:p>
            <w:pPr>
              <w:pStyle w:val="TableContents"/>
              <w:bidi w:val="0"/>
              <w:spacing w:before="0" w:after="283"/>
              <w:jc w:val="left"/>
              <w:rPr>
                <w:sz w:val="4"/>
                <w:szCs w:val="4"/>
              </w:rPr>
            </w:pPr>
            <w:r>
              <w:rPr>
                <w:sz w:val="4"/>
                <w:szCs w:val="4"/>
              </w:rPr>
            </w:r>
          </w:p>
        </w:tc>
        <w:tc>
          <w:tcPr>
            <w:tcW w:w="101" w:type="dxa"/>
            <w:tcBorders/>
            <w:shd w:fill="FFFFFF" w:val="clear"/>
            <w:vAlign w:val="bottom"/>
          </w:tcPr>
          <w:p>
            <w:pPr>
              <w:pStyle w:val="TableContents"/>
              <w:bidi w:val="0"/>
              <w:spacing w:before="0" w:after="283"/>
              <w:jc w:val="left"/>
              <w:rPr>
                <w:sz w:val="4"/>
                <w:szCs w:val="4"/>
              </w:rPr>
            </w:pPr>
            <w:r>
              <w:rPr>
                <w:sz w:val="4"/>
                <w:szCs w:val="4"/>
              </w:rPr>
            </w:r>
          </w:p>
        </w:tc>
        <w:tc>
          <w:tcPr>
            <w:tcW w:w="408"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bottom"/>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02" w:type="dxa"/>
            <w:tcBorders/>
            <w:shd w:fill="FFFFFF" w:val="clear"/>
            <w:vAlign w:val="bottom"/>
          </w:tcPr>
          <w:p>
            <w:pPr>
              <w:pStyle w:val="TableContents"/>
              <w:bidi w:val="0"/>
              <w:spacing w:before="0" w:after="283"/>
              <w:jc w:val="left"/>
              <w:rPr>
                <w:sz w:val="4"/>
                <w:szCs w:val="4"/>
              </w:rPr>
            </w:pPr>
            <w:r>
              <w:rPr>
                <w:sz w:val="4"/>
                <w:szCs w:val="4"/>
              </w:rPr>
            </w:r>
          </w:p>
        </w:tc>
        <w:tc>
          <w:tcPr>
            <w:tcW w:w="4705" w:type="dxa"/>
            <w:tcBorders/>
            <w:shd w:fill="FFFFFF" w:val="clear"/>
            <w:vAlign w:val="center"/>
          </w:tcPr>
          <w:p>
            <w:pPr>
              <w:pStyle w:val="TableContents"/>
              <w:bidi w:val="0"/>
              <w:spacing w:before="0" w:after="283"/>
              <w:jc w:val="left"/>
              <w:rPr>
                <w:sz w:val="4"/>
                <w:szCs w:val="4"/>
              </w:rPr>
            </w:pPr>
            <w:r>
              <w:rPr>
                <w:sz w:val="4"/>
                <w:szCs w:val="4"/>
              </w:rPr>
            </w:r>
          </w:p>
        </w:tc>
      </w:tr>
      <w:tr>
        <w:trPr/>
        <w:tc>
          <w:tcPr>
            <w:tcW w:w="4806" w:type="dxa"/>
            <w:tcBorders/>
            <w:shd w:fill="FFFFFF" w:val="clear"/>
          </w:tcPr>
          <w:p>
            <w:pPr>
              <w:pStyle w:val="TableContents"/>
              <w:bidi w:val="0"/>
              <w:spacing w:before="0" w:after="0"/>
              <w:jc w:val="left"/>
              <w:rPr/>
            </w:pPr>
            <w:r>
              <w:rPr/>
              <w:t>Dated: November 22, 2023</w:t>
            </w:r>
          </w:p>
        </w:tc>
        <w:tc>
          <w:tcPr>
            <w:tcW w:w="101" w:type="dxa"/>
            <w:tcBorders/>
            <w:shd w:fill="FFFFFF" w:val="clear"/>
            <w:vAlign w:val="bottom"/>
          </w:tcPr>
          <w:p>
            <w:pPr>
              <w:pStyle w:val="TableContents"/>
              <w:bidi w:val="0"/>
              <w:spacing w:before="0" w:after="0"/>
              <w:jc w:val="left"/>
              <w:rPr/>
            </w:pPr>
            <w:r>
              <w:rPr/>
              <w:t> </w:t>
            </w:r>
          </w:p>
        </w:tc>
        <w:tc>
          <w:tcPr>
            <w:tcW w:w="408" w:type="dxa"/>
            <w:tcBorders/>
            <w:shd w:fill="FFFFFF" w:val="clear"/>
          </w:tcPr>
          <w:p>
            <w:pPr>
              <w:pStyle w:val="TableContents"/>
              <w:bidi w:val="0"/>
              <w:spacing w:before="0" w:after="283"/>
              <w:jc w:val="left"/>
              <w:rPr>
                <w:sz w:val="4"/>
                <w:szCs w:val="4"/>
              </w:rPr>
            </w:pPr>
            <w:r>
              <w:rPr>
                <w:sz w:val="4"/>
                <w:szCs w:val="4"/>
              </w:rPr>
            </w:r>
          </w:p>
        </w:tc>
        <w:tc>
          <w:tcPr>
            <w:tcW w:w="60" w:type="dxa"/>
            <w:tcBorders/>
            <w:shd w:fill="FFFFFF" w:val="clear"/>
            <w:vAlign w:val="bottom"/>
          </w:tcPr>
          <w:p>
            <w:pPr>
              <w:pStyle w:val="TableContents"/>
              <w:bidi w:val="0"/>
              <w:spacing w:before="0" w:after="0"/>
              <w:jc w:val="left"/>
              <w:rPr/>
            </w:pPr>
            <w:r>
              <w:rPr/>
              <w:t> </w:t>
            </w:r>
          </w:p>
        </w:tc>
        <w:tc>
          <w:tcPr>
            <w:tcW w:w="23" w:type="dxa"/>
            <w:tcBorders/>
            <w:shd w:fill="FFFFFF" w:val="clear"/>
          </w:tcPr>
          <w:p>
            <w:pPr>
              <w:pStyle w:val="TableContents"/>
              <w:bidi w:val="0"/>
              <w:spacing w:before="0" w:after="283"/>
              <w:jc w:val="left"/>
              <w:rPr>
                <w:sz w:val="4"/>
                <w:szCs w:val="4"/>
              </w:rPr>
            </w:pPr>
            <w:r>
              <w:rPr>
                <w:sz w:val="4"/>
                <w:szCs w:val="4"/>
              </w:rPr>
            </w:r>
          </w:p>
        </w:tc>
        <w:tc>
          <w:tcPr>
            <w:tcW w:w="102" w:type="dxa"/>
            <w:tcBorders/>
            <w:shd w:fill="FFFFFF" w:val="clear"/>
            <w:vAlign w:val="bottom"/>
          </w:tcPr>
          <w:p>
            <w:pPr>
              <w:pStyle w:val="TableContents"/>
              <w:bidi w:val="0"/>
              <w:spacing w:before="0" w:after="0"/>
              <w:jc w:val="left"/>
              <w:rPr/>
            </w:pPr>
            <w:r>
              <w:rPr/>
              <w:t> </w:t>
            </w:r>
          </w:p>
        </w:tc>
        <w:tc>
          <w:tcPr>
            <w:tcW w:w="4705" w:type="dxa"/>
            <w:tcBorders/>
            <w:shd w:fill="FFFFFF" w:val="clear"/>
          </w:tcPr>
          <w:p>
            <w:pPr>
              <w:pStyle w:val="TableContents"/>
              <w:pBdr/>
              <w:bidi w:val="0"/>
              <w:spacing w:before="0" w:after="20"/>
              <w:jc w:val="left"/>
              <w:rPr>
                <w:bdr w:val="single" w:sz="8" w:space="1" w:color="000000"/>
              </w:rPr>
            </w:pPr>
            <w:r>
              <w:rPr>
                <w:bdr w:val="single" w:sz="8" w:space="1" w:color="000000"/>
              </w:rPr>
              <w:t>/s/ Elizabeth Hoge</w:t>
            </w:r>
          </w:p>
        </w:tc>
      </w:tr>
      <w:tr>
        <w:trPr/>
        <w:tc>
          <w:tcPr>
            <w:tcW w:w="4806" w:type="dxa"/>
            <w:tcBorders/>
            <w:shd w:fill="FFFFFF" w:val="clear"/>
          </w:tcPr>
          <w:p>
            <w:pPr>
              <w:pStyle w:val="TableContents"/>
              <w:bidi w:val="0"/>
              <w:spacing w:before="0" w:after="283"/>
              <w:jc w:val="left"/>
              <w:rPr>
                <w:sz w:val="4"/>
                <w:szCs w:val="4"/>
              </w:rPr>
            </w:pPr>
            <w:r>
              <w:rPr>
                <w:sz w:val="4"/>
                <w:szCs w:val="4"/>
              </w:rPr>
            </w:r>
          </w:p>
        </w:tc>
        <w:tc>
          <w:tcPr>
            <w:tcW w:w="101" w:type="dxa"/>
            <w:tcBorders/>
            <w:shd w:fill="FFFFFF" w:val="clear"/>
            <w:vAlign w:val="bottom"/>
          </w:tcPr>
          <w:p>
            <w:pPr>
              <w:pStyle w:val="TableContents"/>
              <w:bidi w:val="0"/>
              <w:spacing w:before="0" w:after="0"/>
              <w:jc w:val="left"/>
              <w:rPr/>
            </w:pPr>
            <w:r>
              <w:rPr/>
              <w:t> </w:t>
            </w:r>
          </w:p>
        </w:tc>
        <w:tc>
          <w:tcPr>
            <w:tcW w:w="408" w:type="dxa"/>
            <w:tcBorders/>
            <w:shd w:fill="FFFFFF" w:val="clear"/>
          </w:tcPr>
          <w:p>
            <w:pPr>
              <w:pStyle w:val="TableContents"/>
              <w:bidi w:val="0"/>
              <w:spacing w:before="0" w:after="283"/>
              <w:jc w:val="left"/>
              <w:rPr>
                <w:sz w:val="4"/>
                <w:szCs w:val="4"/>
              </w:rPr>
            </w:pPr>
            <w:r>
              <w:rPr>
                <w:sz w:val="4"/>
                <w:szCs w:val="4"/>
              </w:rPr>
            </w:r>
          </w:p>
        </w:tc>
        <w:tc>
          <w:tcPr>
            <w:tcW w:w="60" w:type="dxa"/>
            <w:tcBorders/>
            <w:shd w:fill="FFFFFF" w:val="clear"/>
            <w:vAlign w:val="bottom"/>
          </w:tcPr>
          <w:p>
            <w:pPr>
              <w:pStyle w:val="TableContents"/>
              <w:bidi w:val="0"/>
              <w:spacing w:before="0" w:after="0"/>
              <w:jc w:val="left"/>
              <w:rPr/>
            </w:pPr>
            <w:r>
              <w:rPr/>
              <w:t> </w:t>
            </w:r>
          </w:p>
        </w:tc>
        <w:tc>
          <w:tcPr>
            <w:tcW w:w="23" w:type="dxa"/>
            <w:tcBorders/>
            <w:shd w:fill="FFFFFF" w:val="clear"/>
          </w:tcPr>
          <w:p>
            <w:pPr>
              <w:pStyle w:val="TableContents"/>
              <w:bidi w:val="0"/>
              <w:spacing w:before="0" w:after="283"/>
              <w:jc w:val="left"/>
              <w:rPr>
                <w:sz w:val="4"/>
                <w:szCs w:val="4"/>
              </w:rPr>
            </w:pPr>
            <w:r>
              <w:rPr>
                <w:sz w:val="4"/>
                <w:szCs w:val="4"/>
              </w:rPr>
            </w:r>
          </w:p>
        </w:tc>
        <w:tc>
          <w:tcPr>
            <w:tcW w:w="102" w:type="dxa"/>
            <w:tcBorders/>
            <w:shd w:fill="FFFFFF" w:val="clear"/>
            <w:vAlign w:val="bottom"/>
          </w:tcPr>
          <w:p>
            <w:pPr>
              <w:pStyle w:val="TableContents"/>
              <w:bidi w:val="0"/>
              <w:spacing w:before="0" w:after="0"/>
              <w:jc w:val="left"/>
              <w:rPr/>
            </w:pPr>
            <w:r>
              <w:rPr/>
              <w:t> </w:t>
            </w:r>
          </w:p>
        </w:tc>
        <w:tc>
          <w:tcPr>
            <w:tcW w:w="4705" w:type="dxa"/>
            <w:tcBorders/>
            <w:shd w:fill="FFFFFF" w:val="clear"/>
          </w:tcPr>
          <w:p>
            <w:pPr>
              <w:pStyle w:val="TableContents"/>
              <w:bidi w:val="0"/>
              <w:spacing w:before="0" w:after="0"/>
              <w:jc w:val="left"/>
              <w:rPr/>
            </w:pPr>
            <w:r>
              <w:rPr/>
              <w:t>Elizabeth Hoge</w:t>
            </w:r>
          </w:p>
        </w:tc>
      </w:tr>
    </w:tbl>
    <w:p>
      <w:pPr>
        <w:pStyle w:val="TextBody"/>
        <w:bidi w:val="0"/>
        <w:spacing w:before="0" w:after="283"/>
        <w:jc w:val="left"/>
        <w:rPr/>
      </w:pPr>
      <w:r>
        <w:rPr/>
        <w:t> </w:t>
      </w:r>
    </w:p>
    <w:p>
      <w:pPr>
        <w:pStyle w:val="TextBody"/>
        <w:shd w:fill="FFFFFF" w:val="clear"/>
        <w:bidi w:val="0"/>
        <w:spacing w:before="0" w:after="0"/>
        <w:jc w:val="center"/>
        <w:rPr>
          <w:u w:val="single"/>
        </w:rPr>
      </w:pPr>
      <w:bookmarkStart w:id="4" w:name="exhibit24-2.htm"/>
      <w:bookmarkStart w:id="5" w:name="ksexhibit242"/>
      <w:bookmarkEnd w:id="4"/>
      <w:bookmarkEnd w:id="5"/>
      <w:r>
        <w:rPr>
          <w:u w:val="single"/>
        </w:rPr>
        <w:br/>
        <w:t>Exhibit 2</w:t>
      </w:r>
      <w:r>
        <w:br w:type="page"/>
      </w:r>
    </w:p>
    <w:p>
      <w:pPr>
        <w:pStyle w:val="TextBody"/>
        <w:shd w:fill="FFFFFF" w:val="clear"/>
        <w:bidi w:val="0"/>
        <w:spacing w:before="240" w:after="0"/>
        <w:ind w:left="0" w:right="0" w:hanging="0"/>
        <w:jc w:val="center"/>
        <w:rPr>
          <w:u w:val="single"/>
        </w:rPr>
      </w:pPr>
      <w:r>
        <w:rPr>
          <w:u w:val="single"/>
        </w:rPr>
        <w:t>CONFIRMING STATEMENT</w:t>
      </w:r>
    </w:p>
    <w:p>
      <w:pPr>
        <w:pStyle w:val="TextBody"/>
        <w:shd w:fill="FFFFFF" w:val="clear"/>
        <w:bidi w:val="0"/>
        <w:spacing w:before="240" w:after="0"/>
        <w:ind w:left="0" w:right="0" w:firstLine="490"/>
        <w:jc w:val="left"/>
        <w:rPr/>
      </w:pPr>
      <w:r>
        <w:rPr/>
        <w:t>This Statement confirms that the undersigned has authorized and designated Murat Kalayoglu to execute and file on the undersigned's behalf all Forms 3, 4 and 5 and Schedules 13D and 13G (including any amendments thereto) that the undersigned may be required to file with the U.S. Securities and Exchange Commission as a result of the undersigned's ownership of or transactions in securities of Cartesian Therapeutics, Inc., a Delaware corporation. The authority of Murat Kalayoglu under this Statement shall continue until the undersigned is no longer required to file any of Forms 3, 4 and 5 and Schedules 13D and 13G with regard to the undersigned's ownership of or transactions in securities of Cartesian Therapeutics, Inc., a Delaware corporation, unless earlier revoked in writing. The undersigned acknowledges that Murat Kalayoglu is not assuming any of the undersigned's responsibilities to comply with Section 16 or Section 13 of the Securities Exchange Act of 1934, as amended.</w:t>
      </w:r>
    </w:p>
    <w:p>
      <w:pPr>
        <w:pStyle w:val="TextBody"/>
        <w:shd w:fill="FFFFFF" w:val="clear"/>
        <w:bidi w:val="0"/>
        <w:spacing w:before="0" w:after="0"/>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4472"/>
        <w:gridCol w:w="109"/>
        <w:gridCol w:w="388"/>
        <w:gridCol w:w="109"/>
        <w:gridCol w:w="376"/>
        <w:gridCol w:w="109"/>
        <w:gridCol w:w="4642"/>
      </w:tblGrid>
      <w:tr>
        <w:trPr/>
        <w:tc>
          <w:tcPr>
            <w:tcW w:w="447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283"/>
              <w:jc w:val="left"/>
              <w:rPr>
                <w:sz w:val="4"/>
                <w:szCs w:val="4"/>
              </w:rPr>
            </w:pPr>
            <w:r>
              <w:rPr>
                <w:sz w:val="4"/>
                <w:szCs w:val="4"/>
              </w:rPr>
            </w:r>
          </w:p>
        </w:tc>
        <w:tc>
          <w:tcPr>
            <w:tcW w:w="3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283"/>
              <w:jc w:val="left"/>
              <w:rPr>
                <w:sz w:val="4"/>
                <w:szCs w:val="4"/>
              </w:rPr>
            </w:pPr>
            <w:r>
              <w:rPr>
                <w:sz w:val="4"/>
                <w:szCs w:val="4"/>
              </w:rPr>
            </w:r>
          </w:p>
        </w:tc>
        <w:tc>
          <w:tcPr>
            <w:tcW w:w="4642" w:type="dxa"/>
            <w:tcBorders/>
            <w:shd w:fill="FFFFFF" w:val="clear"/>
            <w:vAlign w:val="center"/>
          </w:tcPr>
          <w:p>
            <w:pPr>
              <w:pStyle w:val="TableContents"/>
              <w:bidi w:val="0"/>
              <w:spacing w:before="0" w:after="283"/>
              <w:jc w:val="left"/>
              <w:rPr>
                <w:sz w:val="4"/>
                <w:szCs w:val="4"/>
              </w:rPr>
            </w:pPr>
            <w:r>
              <w:rPr>
                <w:sz w:val="4"/>
                <w:szCs w:val="4"/>
              </w:rPr>
            </w:r>
          </w:p>
        </w:tc>
      </w:tr>
      <w:tr>
        <w:trPr/>
        <w:tc>
          <w:tcPr>
            <w:tcW w:w="4472" w:type="dxa"/>
            <w:tcBorders/>
            <w:shd w:fill="FFFFFF" w:val="clear"/>
          </w:tcPr>
          <w:p>
            <w:pPr>
              <w:pStyle w:val="TableContents"/>
              <w:bidi w:val="0"/>
              <w:spacing w:before="0" w:after="0"/>
              <w:jc w:val="left"/>
              <w:rPr/>
            </w:pPr>
            <w:r>
              <w:rPr/>
              <w:t>Dated: November 22, 2023</w:t>
            </w:r>
          </w:p>
        </w:tc>
        <w:tc>
          <w:tcPr>
            <w:tcW w:w="109" w:type="dxa"/>
            <w:tcBorders/>
            <w:shd w:fill="FFFFFF" w:val="clear"/>
            <w:vAlign w:val="bottom"/>
          </w:tcPr>
          <w:p>
            <w:pPr>
              <w:pStyle w:val="TableContents"/>
              <w:bidi w:val="0"/>
              <w:spacing w:before="0" w:after="0"/>
              <w:jc w:val="left"/>
              <w:rPr/>
            </w:pPr>
            <w:r>
              <w:rPr/>
              <w:t> </w:t>
            </w:r>
          </w:p>
        </w:tc>
        <w:tc>
          <w:tcPr>
            <w:tcW w:w="388"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0"/>
              <w:jc w:val="left"/>
              <w:rPr/>
            </w:pPr>
            <w:r>
              <w:rPr/>
              <w:t> </w:t>
            </w:r>
          </w:p>
        </w:tc>
        <w:tc>
          <w:tcPr>
            <w:tcW w:w="5127" w:type="dxa"/>
            <w:gridSpan w:val="3"/>
            <w:tcBorders/>
            <w:shd w:fill="FFFFFF" w:val="clear"/>
          </w:tcPr>
          <w:p>
            <w:pPr>
              <w:pStyle w:val="TableContents"/>
              <w:bidi w:val="0"/>
              <w:spacing w:before="0" w:after="0"/>
              <w:jc w:val="left"/>
              <w:rPr/>
            </w:pPr>
            <w:r>
              <w:rPr/>
              <w:t>SEVEN ONE EIGHT THREE FOUR IRREVOCABLE TRUST</w:t>
            </w:r>
          </w:p>
        </w:tc>
      </w:tr>
      <w:tr>
        <w:trPr/>
        <w:tc>
          <w:tcPr>
            <w:tcW w:w="4472" w:type="dxa"/>
            <w:tcBorders/>
            <w:shd w:fill="FFFFFF" w:val="cle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vAlign w:val="center"/>
          </w:tcPr>
          <w:p>
            <w:pPr>
              <w:pStyle w:val="TableContents"/>
              <w:bidi w:val="0"/>
              <w:spacing w:before="0" w:after="283"/>
              <w:jc w:val="left"/>
              <w:rPr>
                <w:sz w:val="4"/>
                <w:szCs w:val="4"/>
              </w:rPr>
            </w:pPr>
            <w:r>
              <w:rPr>
                <w:sz w:val="4"/>
                <w:szCs w:val="4"/>
              </w:rPr>
            </w:r>
          </w:p>
        </w:tc>
        <w:tc>
          <w:tcPr>
            <w:tcW w:w="4751"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4472"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0"/>
              <w:jc w:val="left"/>
              <w:rPr/>
            </w:pPr>
            <w:r>
              <w:rPr/>
              <w:t> </w:t>
            </w:r>
          </w:p>
        </w:tc>
        <w:tc>
          <w:tcPr>
            <w:tcW w:w="388"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0"/>
              <w:jc w:val="left"/>
              <w:rPr/>
            </w:pPr>
            <w:r>
              <w:rPr/>
              <w:t> </w:t>
            </w:r>
          </w:p>
        </w:tc>
        <w:tc>
          <w:tcPr>
            <w:tcW w:w="376" w:type="dxa"/>
            <w:tcBorders/>
            <w:shd w:fill="FFFFFF" w:val="clear"/>
          </w:tcPr>
          <w:p>
            <w:pPr>
              <w:pStyle w:val="TableContents"/>
              <w:bidi w:val="0"/>
              <w:spacing w:before="0" w:after="0"/>
              <w:jc w:val="left"/>
              <w:rPr/>
            </w:pPr>
            <w:r>
              <w:rPr/>
              <w:t>By:</w:t>
            </w:r>
          </w:p>
        </w:tc>
        <w:tc>
          <w:tcPr>
            <w:tcW w:w="109" w:type="dxa"/>
            <w:tcBorders/>
            <w:shd w:fill="FFFFFF" w:val="clear"/>
            <w:vAlign w:val="bottom"/>
          </w:tcPr>
          <w:p>
            <w:pPr>
              <w:pStyle w:val="TableContents"/>
              <w:bidi w:val="0"/>
              <w:spacing w:before="0" w:after="0"/>
              <w:jc w:val="left"/>
              <w:rPr/>
            </w:pPr>
            <w:r>
              <w:rPr/>
              <w:t> </w:t>
            </w:r>
          </w:p>
        </w:tc>
        <w:tc>
          <w:tcPr>
            <w:tcW w:w="4642" w:type="dxa"/>
            <w:tcBorders/>
            <w:shd w:fill="FFFFFF" w:val="clear"/>
          </w:tcPr>
          <w:p>
            <w:pPr>
              <w:pStyle w:val="TableContents"/>
              <w:pBdr/>
              <w:bidi w:val="0"/>
              <w:spacing w:before="0" w:after="20"/>
              <w:jc w:val="left"/>
              <w:rPr>
                <w:bdr w:val="single" w:sz="8" w:space="1" w:color="000000"/>
              </w:rPr>
            </w:pPr>
            <w:r>
              <w:rPr>
                <w:bdr w:val="single" w:sz="8" w:space="1" w:color="000000"/>
              </w:rPr>
              <w:t>/s/ Sinan Kalayoglu</w:t>
            </w:r>
          </w:p>
        </w:tc>
      </w:tr>
      <w:tr>
        <w:trPr/>
        <w:tc>
          <w:tcPr>
            <w:tcW w:w="4472"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0"/>
              <w:jc w:val="left"/>
              <w:rPr/>
            </w:pPr>
            <w:r>
              <w:rPr/>
              <w:t> </w:t>
            </w:r>
          </w:p>
        </w:tc>
        <w:tc>
          <w:tcPr>
            <w:tcW w:w="388"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0"/>
              <w:jc w:val="left"/>
              <w:rPr/>
            </w:pPr>
            <w:r>
              <w:rPr/>
              <w:t> </w:t>
            </w:r>
          </w:p>
        </w:tc>
        <w:tc>
          <w:tcPr>
            <w:tcW w:w="376" w:type="dxa"/>
            <w:tcBorders/>
            <w:shd w:fill="FFFFFF" w:val="clear"/>
          </w:tcPr>
          <w:p>
            <w:pPr>
              <w:pStyle w:val="TableContents"/>
              <w:bidi w:val="0"/>
              <w:spacing w:before="0" w:after="283"/>
              <w:jc w:val="left"/>
              <w:rPr>
                <w:sz w:val="4"/>
                <w:szCs w:val="4"/>
              </w:rPr>
            </w:pPr>
            <w:r>
              <w:rPr>
                <w:sz w:val="4"/>
                <w:szCs w:val="4"/>
              </w:rPr>
            </w:r>
          </w:p>
        </w:tc>
        <w:tc>
          <w:tcPr>
            <w:tcW w:w="109" w:type="dxa"/>
            <w:tcBorders/>
            <w:shd w:fill="FFFFFF" w:val="clear"/>
            <w:vAlign w:val="bottom"/>
          </w:tcPr>
          <w:p>
            <w:pPr>
              <w:pStyle w:val="TableContents"/>
              <w:bidi w:val="0"/>
              <w:spacing w:before="0" w:after="0"/>
              <w:jc w:val="left"/>
              <w:rPr/>
            </w:pPr>
            <w:r>
              <w:rPr/>
              <w:t> </w:t>
            </w:r>
          </w:p>
        </w:tc>
        <w:tc>
          <w:tcPr>
            <w:tcW w:w="4642" w:type="dxa"/>
            <w:tcBorders/>
            <w:shd w:fill="FFFFFF" w:val="clear"/>
          </w:tcPr>
          <w:p>
            <w:pPr>
              <w:pStyle w:val="TableContents"/>
              <w:bidi w:val="0"/>
              <w:spacing w:before="0" w:after="0"/>
              <w:jc w:val="left"/>
              <w:rPr/>
            </w:pPr>
            <w:r>
              <w:rPr/>
              <w:t>Sinan Kalayoglu, Trustee</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2000987" TargetMode="External"/><Relationship Id="rId4" Type="http://schemas.openxmlformats.org/officeDocument/2006/relationships/hyperlink" Target="http://www.sec.gov/cgi-bin/browse-edgar?action=getcompany&amp;CIK=0001453687" TargetMode="External"/><Relationship Id="rId5" Type="http://schemas.openxmlformats.org/officeDocument/2006/relationships/hyperlink" Target="http://www.sec.gov/cgi-bin/browse-edgar?action=getcompany&amp;CIK=0002000987" TargetMode="External"/><Relationship Id="rId6" Type="http://schemas.openxmlformats.org/officeDocument/2006/relationships/hyperlink" Target="http://www.sec.gov/cgi-bin/browse-edgar?action=getcompany&amp;CIK=0002000959"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1168</Words>
  <Characters>6402</Characters>
  <CharactersWithSpaces>7454</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