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329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3291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Kurtoglu Metin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21703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11/14/2024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25,900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76,933</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21,900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16.3308</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55,033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11/14/2024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17.0639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51,033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11/15/2024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22,068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73,101</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22,068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17.1967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51,033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80" w:type="dxa"/>
            <w:vAlign w:val="bottom"/>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11/18/2024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34,400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85,433</w:t>
            </w:r>
          </w:p>
        </w:tc>
        <w:tc>
          <w:tcPr>
            <w:tcW w:w="260" w:type="dxa"/>
            <w:vAlign w:val="bottom"/>
          </w:tcPr>
          <w:p>
            <w:pPr>
              <w:spacing w:after="0"/>
              <w:rPr>
                <w:sz w:val="22"/>
                <w:szCs w:val="22"/>
                <w:color w:val="auto"/>
              </w:rPr>
            </w:pPr>
          </w:p>
        </w:tc>
        <w:tc>
          <w:tcPr>
            <w:tcW w:w="66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11/18/2024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16,672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18.1869</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68,761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7"/>
              <w:spacing w:after="0"/>
              <w:rPr>
                <w:sz w:val="20"/>
                <w:szCs w:val="20"/>
                <w:color w:val="auto"/>
              </w:rPr>
            </w:pPr>
            <w:r>
              <w:rPr>
                <w:rFonts w:ascii="Times New Roman" w:cs="Times New Roman" w:eastAsia="Times New Roman" w:hAnsi="Times New Roman"/>
                <w:sz w:val="17"/>
                <w:szCs w:val="17"/>
                <w:color w:val="0000FF"/>
                <w:w w:val="98"/>
              </w:rPr>
              <w:t>11/18/2024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17,728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18.5824</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51,033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11/14/2024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25,900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11/06/2026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25,900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187,920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11/15/2024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22,068</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11/06/2026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22,068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165,852</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11/18/2024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34,400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11/06/2026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34,400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131,452</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$16.00 to $16.65.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$17.00 to $17.12.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$17.00 to $17.42.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$17.50 to $18.49.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per share prices ranging from $18.50 to $18.69. The Reporting Person undertakes to provide upon request to the SEC staff, the Issuer, or any stockholder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fully vested and exercisable upon the closing of the merger described in footnote 7.</w:t>
      </w:r>
    </w:p>
    <w:p>
      <w:pPr>
        <w:sectPr>
          <w:pgSz w:w="11900" w:h="16838" w:orient="portrait"/>
          <w:cols w:equalWidth="0" w:num="1">
            <w:col w:w="11080"/>
          </w:cols>
          <w:pgMar w:left="460" w:top="217" w:right="359" w:bottom="0" w:gutter="0" w:footer="0" w:header="0"/>
          <w:type w:val="continuous"/>
        </w:sectPr>
      </w:pPr>
    </w:p>
    <w:bookmarkStart w:id="1" w:name="page2"/>
    <w:bookmarkEnd w:id="1"/>
    <w:p>
      <w:pPr>
        <w:ind w:firstLine="2"/>
        <w:spacing w:after="0" w:line="241"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the Issuer's Series A Preferred Stock in connection with the merger. On April 8, 2024, these options previously exercisable for shares of Series A Preferred Stock became exercisable solely for shares of the Issuer's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108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Metin</w:t>
      </w:r>
      <w:r>
        <w:rPr>
          <w:sz w:val="20"/>
          <w:szCs w:val="20"/>
          <w:color w:val="auto"/>
        </w:rPr>
        <w:tab/>
      </w:r>
      <w:r>
        <w:rPr>
          <w:rFonts w:ascii="Times New Roman" w:cs="Times New Roman" w:eastAsia="Times New Roman" w:hAnsi="Times New Roman"/>
          <w:sz w:val="16"/>
          <w:szCs w:val="16"/>
          <w:color w:val="0000FF"/>
        </w:rPr>
        <w:t>11/18/2024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Kurtoglu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84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3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4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2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028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2024-11-18T18:40:35Z</dcterms:created>
  <dcterms:modified xsi:type="dcterms:W3CDTF">2024-11-18T18:40:35Z</dcterms:modified>
</cp:coreProperties>
</file>