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5,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o</w:t>
      </w:r>
    </w:p>
    <w:p>
      <w:pPr>
        <w:spacing w:after="0" w:line="252" w:lineRule="exact"/>
        <w:rPr>
          <w:sz w:val="24"/>
          <w:szCs w:val="24"/>
          <w:color w:val="auto"/>
        </w:rPr>
      </w:pPr>
    </w:p>
    <w:p>
      <w:pPr>
        <w:ind w:right="160"/>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On May 5, 2022, Selecta Biosciences, Inc. announced its financial results for the quarter ended March 31, 2022. The full text of the press release issued in connection with the announcement is furnished as Exhibit 99.1 to this Current Report and on Form 8-K.</w:t>
      </w:r>
    </w:p>
    <w:p>
      <w:pPr>
        <w:spacing w:after="0" w:line="5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7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on May 5, 2022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26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Selecta Biosciences Reports First Quarter 2022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Provides Business Update</w:t>
      </w:r>
    </w:p>
    <w:p>
      <w:pPr>
        <w:spacing w:after="0" w:line="221"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Phase 1 trial of SEL-302 remains on track to initiate in the second half of 2022</w:t>
      </w:r>
    </w:p>
    <w:p>
      <w:pPr>
        <w:spacing w:after="0" w:line="242"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DISSOLVE I &amp; II studies on track for completion in Q4 2022 with joint topline readout in Q1 2023</w:t>
      </w:r>
    </w:p>
    <w:p>
      <w:pPr>
        <w:spacing w:after="0" w:line="242"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Completed underwritten offering raising approximately $38.7 million in gross proceeds, extending runway into mid-2024</w:t>
      </w:r>
    </w:p>
    <w:p>
      <w:pPr>
        <w:spacing w:after="0" w:line="242"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As of April 11, 2022, Selecta had approximately $154.2 million in cash, cash equivalents, restricted cash and marketable securities</w:t>
      </w:r>
    </w:p>
    <w:p>
      <w:pPr>
        <w:spacing w:after="0" w:line="242" w:lineRule="exact"/>
        <w:rPr>
          <w:rFonts w:ascii="Times New Roman" w:cs="Times New Roman" w:eastAsia="Times New Roman" w:hAnsi="Times New Roman"/>
          <w:sz w:val="20"/>
          <w:szCs w:val="20"/>
          <w:i w:val="1"/>
          <w:iCs w:val="1"/>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Selecta to host conference call today at 8:30 AM ET</w:t>
      </w:r>
    </w:p>
    <w:p>
      <w:pPr>
        <w:spacing w:after="0" w:line="243"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WATERTOWN, Mass., May 5, 2022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Selecta Biosciences, Inc.</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SELB), a biotechnology company leveraging its clinically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validated ImmTOR</w:t>
      </w:r>
      <w:r>
        <w:rPr>
          <w:rFonts w:ascii="Calibri" w:cs="Calibri" w:eastAsia="Calibri" w:hAnsi="Calibri"/>
          <w:sz w:val="19"/>
          <w:szCs w:val="19"/>
          <w:color w:val="auto"/>
        </w:rPr>
        <w:t>®</w:t>
      </w:r>
      <w:r>
        <w:rPr>
          <w:rFonts w:ascii="Times New Roman" w:cs="Times New Roman" w:eastAsia="Times New Roman" w:hAnsi="Times New Roman"/>
          <w:sz w:val="19"/>
          <w:szCs w:val="19"/>
          <w:color w:val="auto"/>
        </w:rPr>
        <w:t xml:space="preserve"> platform to develop tolerogenic therapies for autoimmune diseases, enhance gene therapies and mitigate unwanted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immune responses to biologics, today reported financial results for the first quarter ended March 31, 2022 and provided a business update.</w:t>
      </w:r>
    </w:p>
    <w:p>
      <w:pPr>
        <w:spacing w:after="0" w:line="2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“In the first quarter of 2022, we executed across our pipeline and proactively took measures to extend our cash runway into mid-2024,” said Carsten Brunn, Ph.D., president and chief executive officer of Selecta. “In early April, we successfully completed an underwritten offering, raising an additional $38.7 million in gross proceeds, further strengthening our financial resources which we believe will carry us through key value-driving milestones and help Selecta realize the full potential of our leading precision immune tolerance platform. The synergistic effects of ImmTOR in combination with a Treg-selective IL-2 (ImmTOR-IL™) has the potential to be a first-in-class, antigen-specific immunotherapy, with broad applications across all three pillars of our pipeline. Furthermore, we believe we are well-positioned to deliver on our clinical development strategy across our wholly owned pipeline while continuing to pursue strategic partnerships in gene therapy and biologics. We remain on track to deliver on multiple upcoming catalysts in 2022, including the initiation of a Phase 1 trial of SEL-302, our wholly owned gene therapy in combination with ImmTOR for the treatment MMA, the completion of the Phase 3 DISSOLVE clinical program in chronic refractory gout and several IND-enabling studies that collectively advance our strategy for re-imagining immunotherapy for autoimmune disease, unlocking the potential of AAV gene therapy and amplifying the efficacy of biologics.”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 and Anticipated Upcoming Milestones: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Tolerogenic Therapies for Autoimmune Disease:</w:t>
      </w:r>
    </w:p>
    <w:p>
      <w:pPr>
        <w:spacing w:after="0" w:line="32" w:lineRule="exact"/>
        <w:rPr>
          <w:sz w:val="20"/>
          <w:szCs w:val="20"/>
          <w:color w:val="auto"/>
        </w:rPr>
      </w:pPr>
    </w:p>
    <w:p>
      <w:pPr>
        <w:ind w:left="660" w:right="40" w:hanging="328"/>
        <w:spacing w:after="0" w:line="24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ImmTOR with proprietary IL-2 protein agonist (ImmTOR-IL™)</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Pre-clinically, Selecta has observed synergistic activity when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ImmTOR is combined with engineered IL-2 molecules that are selective for Tregs. When ImmTOR-IL was co-administered with an antigen of interest in a preclinical study, the resulting preclinical data suggest that ImmTOR may have profound synergistic effects in further expanding antigen-specific Tregs when compared to ImmTOR alone, positioning it to be a potential first-in-class antigen-specific therapy for the treatment of autoimmune disease.</w:t>
      </w:r>
    </w:p>
    <w:p>
      <w:pPr>
        <w:spacing w:after="0" w:line="4" w:lineRule="exact"/>
        <w:rPr>
          <w:rFonts w:ascii="Times New Roman" w:cs="Times New Roman" w:eastAsia="Times New Roman" w:hAnsi="Times New Roman"/>
          <w:sz w:val="20"/>
          <w:szCs w:val="20"/>
          <w:color w:val="auto"/>
        </w:rPr>
      </w:pPr>
    </w:p>
    <w:p>
      <w:pPr>
        <w:ind w:left="1300" w:right="660" w:hanging="320"/>
        <w:spacing w:after="0" w:line="246"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is working with its partner, Cyrus Biotechnology to develop a next generation IL-2 molecule to combine with ImmTOR.</w:t>
      </w:r>
    </w:p>
    <w:p>
      <w:pPr>
        <w:spacing w:after="0" w:line="1" w:lineRule="exact"/>
        <w:rPr>
          <w:rFonts w:ascii="Times New Roman" w:cs="Times New Roman" w:eastAsia="Times New Roman" w:hAnsi="Times New Roman"/>
          <w:sz w:val="20"/>
          <w:szCs w:val="20"/>
          <w:color w:val="auto"/>
        </w:rPr>
      </w:pPr>
    </w:p>
    <w:p>
      <w:pPr>
        <w:ind w:left="1300" w:right="40" w:hanging="320"/>
        <w:spacing w:after="0" w:line="253" w:lineRule="auto"/>
        <w:tabs>
          <w:tab w:leader="none" w:pos="128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continues work toward identifying suitable target indications and accelerating the development of ImmTOR-IL to the clinic.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Primary biliary cholangitis (PBC)</w:t>
      </w:r>
      <w:r>
        <w:rPr>
          <w:rFonts w:ascii="Times New Roman" w:cs="Times New Roman" w:eastAsia="Times New Roman" w:hAnsi="Times New Roman"/>
          <w:sz w:val="20"/>
          <w:szCs w:val="20"/>
          <w:color w:val="auto"/>
        </w:rPr>
        <w:t>: Selecta continues IND-enabling work on an ImmTOR platform approach to treating PBC.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 Therapies:</w:t>
      </w:r>
    </w:p>
    <w:p>
      <w:pPr>
        <w:spacing w:after="0" w:line="26" w:lineRule="exact"/>
        <w:rPr>
          <w:sz w:val="20"/>
          <w:szCs w:val="20"/>
          <w:color w:val="auto"/>
        </w:rPr>
      </w:pPr>
    </w:p>
    <w:p>
      <w:pPr>
        <w:ind w:left="660" w:right="40" w:hanging="328"/>
        <w:spacing w:after="0" w:line="24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SEL-302 for methylmalonic acidemia (MMA)</w:t>
      </w:r>
      <w:r>
        <w:rPr>
          <w:rFonts w:ascii="Times New Roman" w:cs="Times New Roman" w:eastAsia="Times New Roman" w:hAnsi="Times New Roman"/>
          <w:sz w:val="20"/>
          <w:szCs w:val="20"/>
          <w:color w:val="auto"/>
        </w:rPr>
        <w:t>: On March 9, 2022, the FDA removed the clinical hold on SEL-302 for the treatment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patients with MMA.</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expects initiation of the Phase 1 clinical trial of SEL-302 in the second half of 2022.</w:t>
      </w:r>
    </w:p>
    <w:p>
      <w:pPr>
        <w:spacing w:after="0" w:line="6" w:lineRule="exact"/>
        <w:rPr>
          <w:rFonts w:ascii="Times New Roman" w:cs="Times New Roman" w:eastAsia="Times New Roman" w:hAnsi="Times New Roman"/>
          <w:sz w:val="20"/>
          <w:szCs w:val="20"/>
          <w:color w:val="auto"/>
        </w:rPr>
      </w:pPr>
    </w:p>
    <w:p>
      <w:pPr>
        <w:ind w:left="660" w:right="20" w:hanging="328"/>
        <w:spacing w:after="0" w:line="248"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SEL-018 IgG Protease (Xork)</w:t>
      </w:r>
      <w:r>
        <w:rPr>
          <w:rFonts w:ascii="Times New Roman" w:cs="Times New Roman" w:eastAsia="Times New Roman" w:hAnsi="Times New Roman"/>
          <w:sz w:val="20"/>
          <w:szCs w:val="20"/>
          <w:color w:val="auto"/>
        </w:rPr>
        <w:t>: In collaboration with Genovis, Selecta continues to advance Xork, a next-generation IgG protease,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help address disease in those patients who are ineligible for gene therapies due to pre-existing anti-AAV antibodies. Selecta believes the novel combination of Xork and ImmTOR has the potential to simultaneously address two of the key hurdles in gene therapy today: pre-existing immunity and the inability to re-dose AAV gene therapies.</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IND-enabling studies are expected to commence in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Biologic Therapies:</w:t>
      </w:r>
    </w:p>
    <w:p>
      <w:pPr>
        <w:spacing w:after="0" w:line="32" w:lineRule="exact"/>
        <w:rPr>
          <w:sz w:val="20"/>
          <w:szCs w:val="20"/>
          <w:color w:val="auto"/>
        </w:rPr>
      </w:pPr>
    </w:p>
    <w:p>
      <w:pPr>
        <w:ind w:left="660" w:right="400" w:hanging="328"/>
        <w:spacing w:after="0" w:line="24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SEL-212 for chronic refractory gout</w:t>
      </w:r>
      <w:r>
        <w:rPr>
          <w:rFonts w:ascii="Times New Roman" w:cs="Times New Roman" w:eastAsia="Times New Roman" w:hAnsi="Times New Roman"/>
          <w:sz w:val="20"/>
          <w:szCs w:val="20"/>
          <w:color w:val="auto"/>
        </w:rPr>
        <w:t>: Selecta continues to advance DISSOLVE, the Phase 3 development program of SEL-212,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which has been licensed to Swedish Orphan Biovitrum AB (publ.) (“Sobi”).</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1, 2021, Selecta announced complete enrollment for DISSOLVE I, currently being run in the United States.</w:t>
      </w:r>
    </w:p>
    <w:p>
      <w:pPr>
        <w:spacing w:after="0" w:line="6" w:lineRule="exact"/>
        <w:rPr>
          <w:rFonts w:ascii="Times New Roman" w:cs="Times New Roman" w:eastAsia="Times New Roman" w:hAnsi="Times New Roman"/>
          <w:sz w:val="20"/>
          <w:szCs w:val="20"/>
          <w:color w:val="auto"/>
        </w:rPr>
      </w:pPr>
    </w:p>
    <w:p>
      <w:pPr>
        <w:ind w:left="1300" w:hanging="320"/>
        <w:spacing w:after="0" w:line="247"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II continues to enroll, with trial sites in the United States and four Eastern European countries. Screening and randomization in both Russia and Ukraine have been temporarily closed to preserve study supplies in these countries for those already enrolled. Moreover, 11 additional sites in the United States have been activated to speed enrollment and help mitigate any potential disruptions from the closure of screening and randomization in Russia and Ukraine, and DISSOLVE II enrollment has been increased to approximately 140 study participants.</w:t>
      </w:r>
    </w:p>
    <w:p>
      <w:pPr>
        <w:spacing w:after="0" w:line="4"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I &amp; II studies are on track for completion in Q4 2022 with joint topline readout expected in Q1 2023.</w:t>
      </w:r>
    </w:p>
    <w:p>
      <w:pPr>
        <w:spacing w:after="0" w:line="230" w:lineRule="exact"/>
        <w:rPr>
          <w:rFonts w:ascii="Times New Roman" w:cs="Times New Roman" w:eastAsia="Times New Roman" w:hAnsi="Times New Roman"/>
          <w:sz w:val="20"/>
          <w:szCs w:val="20"/>
          <w:color w:val="auto"/>
        </w:rPr>
      </w:pPr>
    </w:p>
    <w:p>
      <w:pPr>
        <w:ind w:left="660" w:right="540" w:hanging="328"/>
        <w:spacing w:after="0" w:line="25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ImmTOR with IgA1 protease for IgA nephropathy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Selecta is working with both Ginkgo Bioworks and IGAN Biosciences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identify and develop a next generation IgA protease to combine with ImmTOR</w:t>
      </w:r>
    </w:p>
    <w:p>
      <w:pPr>
        <w:spacing w:after="0" w:line="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Selecta anticipates enzyme candidate selection to be completed in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Updates:</w:t>
      </w:r>
    </w:p>
    <w:p>
      <w:pPr>
        <w:spacing w:after="0" w:line="26"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underwritten offering of common stock and warrants, raising approximately $38.7 million in gross proceeds.</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outstanding term loan to defer principal amortization period to April 1, 2023.</w:t>
      </w:r>
    </w:p>
    <w:p>
      <w:pPr>
        <w:spacing w:after="0" w:line="6" w:lineRule="exact"/>
        <w:rPr>
          <w:rFonts w:ascii="Times New Roman" w:cs="Times New Roman" w:eastAsia="Times New Roman" w:hAnsi="Times New Roman"/>
          <w:sz w:val="20"/>
          <w:szCs w:val="20"/>
          <w:color w:val="auto"/>
        </w:rPr>
      </w:pPr>
    </w:p>
    <w:p>
      <w:pPr>
        <w:ind w:left="660" w:right="20" w:hanging="328"/>
        <w:spacing w:after="0" w:line="260"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Performed strategic review and portfolio prioritization, pausing SEL-313, OTC-D gene therapy development and increasing focus on providing modality-enabling solutions to AAV gene therapy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Results:</w:t>
      </w: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Cash Position: </w:t>
      </w:r>
      <w:r>
        <w:rPr>
          <w:rFonts w:ascii="Times New Roman" w:cs="Times New Roman" w:eastAsia="Times New Roman" w:hAnsi="Times New Roman"/>
          <w:sz w:val="20"/>
          <w:szCs w:val="20"/>
          <w:color w:val="auto"/>
        </w:rPr>
        <w:t>Selecta had $118.8 million in cash, cash equivalents, marketable securities, and restricted cash as of March 31, 2022,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cash, cash equivalents, marketable securities, and restricted cash of $129.4 million as of December 31, 2021. With the approximately $36.0 million in net proceeds raised from the April underwritten offering, Selecta believes its available cash, cash equivalents, restricted cash, and marketable securities will be sufficient to meet its operating requirements into mid-2024. Net cash used in operating activities was $11.9 million for the quarter ended March 31, 2022, as compared to $12.1 million of cash used in operating activities for the same period in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Collaboration and License Revenue: </w:t>
      </w:r>
      <w:r>
        <w:rPr>
          <w:rFonts w:ascii="Times New Roman" w:cs="Times New Roman" w:eastAsia="Times New Roman" w:hAnsi="Times New Roman"/>
          <w:sz w:val="20"/>
          <w:szCs w:val="20"/>
          <w:color w:val="auto"/>
        </w:rPr>
        <w:t>Collaboration and license revenue for the first quarter of 2022 was $34.0 million, as compared to</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$11.1 million for the same period in 2021. Revenue was primarily driven by the shipment of clinical supply and the reimbursement of costs incurred for the Phase 3 DISSOLVE clinical program under the license agreement with Sobi.</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004" w:right="379" w:bottom="1440" w:gutter="0" w:footer="0" w:header="0"/>
        </w:sectPr>
      </w:pPr>
    </w:p>
    <w:bookmarkStart w:id="5" w:name="page6"/>
    <w:bookmarkEnd w:id="5"/>
    <w:p>
      <w:pPr>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Expenses: </w:t>
      </w:r>
      <w:r>
        <w:rPr>
          <w:rFonts w:ascii="Times New Roman" w:cs="Times New Roman" w:eastAsia="Times New Roman" w:hAnsi="Times New Roman"/>
          <w:sz w:val="20"/>
          <w:szCs w:val="20"/>
          <w:color w:val="auto"/>
        </w:rPr>
        <w:t>Research and development expenses for the first quarter of 2022 were $17.7 million,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$13.0 million for the same period in 2021. The increase in cost was primarily the result of expenses incurred for the preclinical programs, salaries and contract license and milestone payments.</w:t>
      </w:r>
    </w:p>
    <w:p>
      <w:pPr>
        <w:spacing w:after="0" w:line="20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General and Administrative Expenses: </w:t>
      </w:r>
      <w:r>
        <w:rPr>
          <w:rFonts w:ascii="Times New Roman" w:cs="Times New Roman" w:eastAsia="Times New Roman" w:hAnsi="Times New Roman"/>
          <w:sz w:val="20"/>
          <w:szCs w:val="20"/>
          <w:color w:val="auto"/>
        </w:rPr>
        <w:t>General and administrative expenses for the first quarter of 2022 were $5.5 million, as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$5.2 million for the same period in 2021. The increase in costs was primarily the result of stock compensation expenses.</w:t>
      </w:r>
    </w:p>
    <w:p>
      <w:pPr>
        <w:spacing w:after="0" w:line="192"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Net Income (loss): </w:t>
      </w:r>
      <w:r>
        <w:rPr>
          <w:rFonts w:ascii="Times New Roman" w:cs="Times New Roman" w:eastAsia="Times New Roman" w:hAnsi="Times New Roman"/>
          <w:sz w:val="20"/>
          <w:szCs w:val="20"/>
          <w:color w:val="auto"/>
        </w:rPr>
        <w:t>For the first quarter of 2022, Selecta reported net income of $28.8 million, or basic net income per share of $0.23,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compared to net loss of $(24.6) million, or $(0.22) per share, for the same period in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Webcast Reminder</w:t>
      </w:r>
    </w:p>
    <w:p>
      <w:pPr>
        <w:spacing w:after="0" w:line="3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 xml:space="preserve">Selecta management will host a conference call at 8:30 AM ET today to provide a corporate update and review the company’s first quarter 2022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10157872. Investors and the public can access the live and archived webcast of this call and a copy of the presentation via the Investors &amp; Media section of the company’s website, </w:t>
      </w:r>
      <w:r>
        <w:rPr>
          <w:rFonts w:ascii="Times New Roman" w:cs="Times New Roman" w:eastAsia="Times New Roman" w:hAnsi="Times New Roman"/>
          <w:sz w:val="20"/>
          <w:szCs w:val="20"/>
          <w:u w:val="single" w:color="auto"/>
          <w:color w:val="0000FF"/>
        </w:rPr>
        <w:t>www.selectabio.com.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Selecta Biosciences, Inc.</w:t>
      </w:r>
    </w:p>
    <w:p>
      <w:pPr>
        <w:spacing w:after="0" w:line="2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Selecta Biosciences Inc. (NASDAQ: SELB) is a clinical stage biotechnology company leveraging its ImmTOR</w:t>
      </w:r>
      <w:r>
        <w:rPr>
          <w:rFonts w:ascii="Calibri" w:cs="Calibri" w:eastAsia="Calibri" w:hAnsi="Calibri"/>
          <w:sz w:val="20"/>
          <w:szCs w:val="20"/>
          <w:color w:val="auto"/>
        </w:rPr>
        <w:t>®</w:t>
      </w:r>
      <w:r>
        <w:rPr>
          <w:rFonts w:ascii="Times New Roman" w:cs="Times New Roman" w:eastAsia="Times New Roman" w:hAnsi="Times New Roman"/>
          <w:sz w:val="20"/>
          <w:szCs w:val="20"/>
          <w:color w:val="auto"/>
        </w:rPr>
        <w:t xml:space="preserve">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20"/>
          <w:szCs w:val="20"/>
          <w:u w:val="single" w:color="auto"/>
          <w:color w:val="0000FF"/>
        </w:rPr>
        <w:t>www.selectabio.com.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Selecta Forward-Looking Statements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Any statements in this press release about the future expectations, plans and prospects of Selecta Biosciences, Inc. (the “Company”), including without limitation, statements regarding the Company’s cash runway, the unique proprietary technology platform of the Company, and the unique proprietary platform of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enrollment in the Company's clinical trials and the Company's plans with respect to areas affected by geopolitical conflict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004" w:right="359" w:bottom="1440" w:gutter="0" w:footer="0" w:header="0"/>
        </w:sectPr>
      </w:pPr>
    </w:p>
    <w:bookmarkStart w:id="6" w:name="page7"/>
    <w:bookmarkEnd w:id="6"/>
    <w:p>
      <w:pPr>
        <w:spacing w:after="0" w:line="250" w:lineRule="auto"/>
        <w:rPr>
          <w:sz w:val="20"/>
          <w:szCs w:val="20"/>
          <w:color w:val="auto"/>
        </w:rPr>
      </w:pPr>
      <w:r>
        <w:rPr>
          <w:rFonts w:ascii="Times New Roman" w:cs="Times New Roman" w:eastAsia="Times New Roman" w:hAnsi="Times New Roman"/>
          <w:sz w:val="20"/>
          <w:szCs w:val="20"/>
          <w:color w:val="auto"/>
        </w:rPr>
        <w:t>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its common stock, risks related to geopolitical conflicts and pandemics and other important factors discussed in the “Risk Factors” section of the Company’s most recent Quarterly Report on Form 10-Q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Mackle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Advisors,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+1-929-469-3859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bmackle@lifesciadvisors.com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Leigh, Ph.D.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LifeSci Communications, LLC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+1-813-767-7801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bleigh@lifescicomms.com</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765"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113,437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114,057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144,443</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 net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Long-term restricted cash</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145,696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53,883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25,423</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89,932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137,362</w:t>
            </w:r>
          </w:p>
        </w:tc>
        <w:tc>
          <w:tcPr>
            <w:tcW w:w="0" w:type="dxa"/>
            <w:vAlign w:val="bottom"/>
          </w:tcPr>
          <w:p>
            <w:pPr>
              <w:spacing w:after="0"/>
              <w:rPr>
                <w:sz w:val="1"/>
                <w:szCs w:val="1"/>
                <w:color w:val="auto"/>
              </w:rPr>
            </w:pPr>
          </w:p>
        </w:tc>
      </w:tr>
      <w:tr>
        <w:trPr>
          <w:trHeight w:val="179"/>
        </w:trPr>
        <w:tc>
          <w:tcPr>
            <w:tcW w:w="7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at March 31, 2022 and December</w:t>
            </w:r>
          </w:p>
        </w:tc>
        <w:tc>
          <w:tcPr>
            <w:tcW w:w="220" w:type="dxa"/>
            <w:vAlign w:val="bottom"/>
          </w:tcPr>
          <w:p>
            <w:pPr>
              <w:spacing w:after="0"/>
              <w:rPr>
                <w:sz w:val="14"/>
                <w:szCs w:val="14"/>
                <w:color w:val="auto"/>
              </w:rPr>
            </w:pPr>
          </w:p>
        </w:tc>
        <w:tc>
          <w:tcPr>
            <w:tcW w:w="15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31, 2021</w:t>
            </w:r>
          </w:p>
        </w:tc>
        <w:tc>
          <w:tcPr>
            <w:tcW w:w="2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 200,000,000 shares authorized; 124,380,844 and 123,622,965 shares issued and outstanding as of</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March 31, 2022 and December 31, 2021, respectively</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461,888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(401,538)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(430,316)</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55,764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145,696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159,883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40" w:top="765"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88"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3"/>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33,999</w:t>
            </w:r>
          </w:p>
        </w:tc>
        <w:tc>
          <w:tcPr>
            <w:tcW w:w="120" w:type="dxa"/>
            <w:vAlign w:val="bottom"/>
          </w:tcPr>
          <w:p>
            <w:pPr>
              <w:spacing w:after="0"/>
              <w:rPr>
                <w:sz w:val="24"/>
                <w:szCs w:val="24"/>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13,004</w:t>
            </w: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23,226</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18,208</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(7,158)</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income</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760" w:type="dxa"/>
            <w:vAlign w:val="bottom"/>
            <w:vMerge w:val="continue"/>
          </w:tcPr>
          <w:p>
            <w:pPr>
              <w:spacing w:after="0"/>
              <w:rPr>
                <w:sz w:val="14"/>
                <w:szCs w:val="14"/>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(24,597)</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38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7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28,746</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(24,604)</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26"/>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77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124,232,799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110,742,150</w:t>
            </w:r>
          </w:p>
        </w:tc>
        <w:tc>
          <w:tcPr>
            <w:tcW w:w="0" w:type="dxa"/>
            <w:vAlign w:val="bottom"/>
          </w:tcPr>
          <w:p>
            <w:pPr>
              <w:spacing w:after="0"/>
              <w:rPr>
                <w:sz w:val="1"/>
                <w:szCs w:val="1"/>
                <w:color w:val="auto"/>
              </w:rPr>
            </w:pPr>
          </w:p>
        </w:tc>
      </w:tr>
      <w:tr>
        <w:trPr>
          <w:trHeight w:val="226"/>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127,573,485</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110,742,150</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00"/>
      </w:cols>
      <w:pgMar w:left="340" w:top="10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2022-05-05T07:02:41Z</dcterms:created>
  <dcterms:modified xsi:type="dcterms:W3CDTF">2022-05-05T07:02:41Z</dcterms:modified>
</cp:coreProperties>
</file>