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SPRINGER TIMOTHY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10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Cartesian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RNAC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03/18/2024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19,044</w:t>
            </w:r>
          </w:p>
        </w:tc>
        <w:tc>
          <w:tcPr>
            <w:tcW w:w="100" w:type="dxa"/>
            <w:vAlign w:val="bottom"/>
          </w:tcPr>
          <w:p>
            <w:pPr>
              <w:spacing w:after="0"/>
              <w:rPr>
                <w:sz w:val="21"/>
                <w:szCs w:val="21"/>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0.5985</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31,073,406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7,471,625</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86,418</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$0.575 to $0.60. The Reporting Person undertakes to provide upon request to the SEC staff, the Issuer, or any stockholder of the Issuer,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03/20/2024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2024-03-20T16:14:34Z</dcterms:created>
  <dcterms:modified xsi:type="dcterms:W3CDTF">2024-03-20T16:14:34Z</dcterms:modified>
</cp:coreProperties>
</file>