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8, 2018</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36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22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On November 8, 2018, Selecta Biosciences, Inc. (the “Company”) announced its financial results for the quarter ended September 30, 2018. The full text of the press release issued in connection with the announcement is furnished as Exhibit 99.1 to this Current Report on Form 8-K (the "Current Report").</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46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on November 8,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3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8371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7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Selecta Biosciences Announces Third Quarter 2018</w:t>
      </w:r>
    </w:p>
    <w:p>
      <w:pPr>
        <w:spacing w:after="0" w:line="58"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Financial Results and Provides Corporate Update</w:t>
      </w:r>
    </w:p>
    <w:p>
      <w:pPr>
        <w:spacing w:after="0" w:line="200" w:lineRule="exact"/>
        <w:rPr>
          <w:sz w:val="20"/>
          <w:szCs w:val="20"/>
          <w:color w:val="auto"/>
        </w:rPr>
      </w:pPr>
    </w:p>
    <w:p>
      <w:pPr>
        <w:spacing w:after="0" w:line="233" w:lineRule="exact"/>
        <w:rPr>
          <w:sz w:val="20"/>
          <w:szCs w:val="20"/>
          <w:color w:val="auto"/>
        </w:rPr>
      </w:pPr>
    </w:p>
    <w:p>
      <w:pPr>
        <w:ind w:left="660" w:right="160" w:hanging="328"/>
        <w:spacing w:after="0" w:line="260"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20"/>
          <w:szCs w:val="20"/>
          <w:i w:val="1"/>
          <w:iCs w:val="1"/>
          <w:color w:val="auto"/>
        </w:rPr>
        <w:t>Prioritized head-to-head superiority clinical trial of SEL-212 compared to Krystexxa, expected to begin in the first quarter of 2019 as part of overall planned Phase 3 clinical development program and commercialization strategy</w:t>
      </w:r>
    </w:p>
    <w:p>
      <w:pPr>
        <w:spacing w:after="0" w:line="122" w:lineRule="exact"/>
        <w:rPr>
          <w:rFonts w:ascii="Arial" w:cs="Arial" w:eastAsia="Arial" w:hAnsi="Arial"/>
          <w:sz w:val="18"/>
          <w:szCs w:val="18"/>
          <w:i w:val="1"/>
          <w:iCs w:val="1"/>
          <w:color w:val="auto"/>
        </w:rPr>
      </w:pPr>
    </w:p>
    <w:p>
      <w:pPr>
        <w:ind w:left="660" w:right="26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Potential for re-dosing of AAV gene therapy with SVP-Rapamycin platform to be explored in anticipated new clinical trial to start in 2H 2019</w:t>
      </w:r>
    </w:p>
    <w:p>
      <w:pPr>
        <w:spacing w:after="0" w:line="122"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Newly appointed President and Chief Executive Officer, Carsten Brunn, Ph.D., to start December 1, 2018</w:t>
      </w:r>
    </w:p>
    <w:p>
      <w:pPr>
        <w:spacing w:after="0" w:line="161"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host conference call today at 8:30 a.m. ET</w:t>
      </w:r>
    </w:p>
    <w:p>
      <w:pPr>
        <w:spacing w:after="0" w:line="372" w:lineRule="exact"/>
        <w:rPr>
          <w:sz w:val="20"/>
          <w:szCs w:val="20"/>
          <w:color w:val="auto"/>
        </w:rPr>
      </w:pPr>
    </w:p>
    <w:p>
      <w:pPr>
        <w:ind w:right="580"/>
        <w:spacing w:after="0" w:line="253" w:lineRule="auto"/>
        <w:rPr>
          <w:sz w:val="20"/>
          <w:szCs w:val="20"/>
          <w:color w:val="auto"/>
        </w:rPr>
      </w:pPr>
      <w:r>
        <w:rPr>
          <w:rFonts w:ascii="Arial" w:cs="Arial" w:eastAsia="Arial" w:hAnsi="Arial"/>
          <w:sz w:val="20"/>
          <w:szCs w:val="20"/>
          <w:b w:val="1"/>
          <w:bCs w:val="1"/>
          <w:color w:val="auto"/>
        </w:rPr>
        <w:t xml:space="preserve">Watertown, Mass., Nov. 8, 2018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unlocking the full potential of biologic therapies by mitigating unwanted immune responses, today reported financial results for the third quarter ended September 30, 2018 and provided a corporate update.</w:t>
      </w:r>
    </w:p>
    <w:p>
      <w:pPr>
        <w:spacing w:after="0" w:line="184"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“We believe that our lead program, SEL-212, has the potential to fulfill several unmet needs in chronic severe gout patients including sustained serum uric acid reduction, reduced painful flares and once monthly dosing. We have recently presented interim data from our Phase 2 trial at ACR showing sustained SUA control over a five-month combination period. Based on these data, we are planning the initiation of a six-month head-to-head superiority clinical trial against Krystexxa with interim data readouts expected in 2019 and full data presentation anticipated in first quarter of 2020,” said Werner Cautreels, Ph.D., President and CEO of Selecta. “We believe our SVP technology has the potential to induce antigen specific tolerance allowing for the full benefit of biologics, including the possible re-dosing of AAV gene therapy programs. As Selecta enters the next stage of its growth, we look forward to the portfolio development strategy under the leadership of new CEO, Carsten Brunn, Ph.D.”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 and Anticipated Upcoming Milestones</w:t>
      </w:r>
    </w:p>
    <w:p>
      <w:pPr>
        <w:spacing w:after="0" w:line="216" w:lineRule="exact"/>
        <w:rPr>
          <w:sz w:val="20"/>
          <w:szCs w:val="20"/>
          <w:color w:val="auto"/>
        </w:rPr>
      </w:pPr>
    </w:p>
    <w:p>
      <w:pPr>
        <w:ind w:left="660" w:right="380" w:hanging="328"/>
        <w:spacing w:after="0" w:line="29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SEL-212 6-Month Head-to-Head Trial vs. Krystexxa Expected to Begin in 1Q 2019: </w:t>
      </w:r>
      <w:r>
        <w:rPr>
          <w:rFonts w:ascii="Arial" w:cs="Arial" w:eastAsia="Arial" w:hAnsi="Arial"/>
          <w:sz w:val="18"/>
          <w:szCs w:val="18"/>
          <w:color w:val="auto"/>
        </w:rPr>
        <w:t>Selecta plans to start a head-to-head</w:t>
      </w:r>
      <w:r>
        <w:rPr>
          <w:rFonts w:ascii="Arial" w:cs="Arial" w:eastAsia="Arial" w:hAnsi="Arial"/>
          <w:sz w:val="18"/>
          <w:szCs w:val="18"/>
          <w:b w:val="1"/>
          <w:bCs w:val="1"/>
          <w:color w:val="auto"/>
        </w:rPr>
        <w:t xml:space="preserve"> </w:t>
      </w:r>
      <w:r>
        <w:rPr>
          <w:rFonts w:ascii="Arial" w:cs="Arial" w:eastAsia="Arial" w:hAnsi="Arial"/>
          <w:sz w:val="18"/>
          <w:szCs w:val="18"/>
          <w:color w:val="auto"/>
        </w:rPr>
        <w:t>superiority trial of SEL-212 compared to the current FDA-approved uricase therapy, Krystexxa, in the first quarter of 2019. Selecta expects to report interim data at the 3-month and 6-month timepoints in 2019 with full data anticipated in the first quarter of 2020.</w:t>
      </w:r>
    </w:p>
    <w:p>
      <w:pPr>
        <w:spacing w:after="0" w:line="144" w:lineRule="exact"/>
        <w:rPr>
          <w:rFonts w:ascii="Arial" w:cs="Arial" w:eastAsia="Arial" w:hAnsi="Arial"/>
          <w:sz w:val="16"/>
          <w:szCs w:val="16"/>
          <w:color w:val="auto"/>
        </w:rPr>
      </w:pPr>
    </w:p>
    <w:p>
      <w:pPr>
        <w:ind w:left="660" w:right="12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b w:val="1"/>
          <w:bCs w:val="1"/>
          <w:color w:val="auto"/>
        </w:rPr>
        <w:t xml:space="preserve">Presented New Interim Phase 2 Clinical Data from Patients Receiving 5-Monthly Doses of SEL-212 at ACR 2018: </w:t>
      </w:r>
      <w:r>
        <w:rPr>
          <w:rFonts w:ascii="Arial" w:cs="Arial" w:eastAsia="Arial" w:hAnsi="Arial"/>
          <w:sz w:val="19"/>
          <w:szCs w:val="19"/>
          <w:color w:val="auto"/>
        </w:rPr>
        <w:t>At the 2018</w:t>
      </w:r>
      <w:r>
        <w:rPr>
          <w:rFonts w:ascii="Arial" w:cs="Arial" w:eastAsia="Arial" w:hAnsi="Arial"/>
          <w:sz w:val="19"/>
          <w:szCs w:val="19"/>
          <w:b w:val="1"/>
          <w:bCs w:val="1"/>
          <w:color w:val="auto"/>
        </w:rPr>
        <w:t xml:space="preserve"> </w:t>
      </w:r>
      <w:r>
        <w:rPr>
          <w:rFonts w:ascii="Arial" w:cs="Arial" w:eastAsia="Arial" w:hAnsi="Arial"/>
          <w:sz w:val="19"/>
          <w:szCs w:val="19"/>
          <w:color w:val="auto"/>
        </w:rPr>
        <w:t>American College of Rheumatology (ACR)/Association for Rheumatology Health Professionals (ARHP) Annual Meeting in Chicago, Selecta presented interim data from new cohorts of patients that received five monthly doses of SEL-212 for the</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ind w:left="660" w:right="20"/>
        <w:spacing w:after="0" w:line="274" w:lineRule="auto"/>
        <w:rPr>
          <w:sz w:val="20"/>
          <w:szCs w:val="20"/>
          <w:color w:val="auto"/>
        </w:rPr>
      </w:pPr>
      <w:r>
        <w:rPr>
          <w:rFonts w:ascii="Arial" w:cs="Arial" w:eastAsia="Arial" w:hAnsi="Arial"/>
          <w:sz w:val="20"/>
          <w:szCs w:val="20"/>
          <w:color w:val="auto"/>
        </w:rPr>
        <w:t>treatment of chronic severe gout. These interim data continue to show that SEL-212 is generally well-tolerated at clinically active doses following repeated administrations in the trial and the serum uric acid (SUA) control rates observed for patients who completed the 5-month treatment period support the 6-month dosing strategy the company plans to pursue in the head-to-head trial and Phase 3 clinical program.</w:t>
      </w:r>
    </w:p>
    <w:p>
      <w:pPr>
        <w:spacing w:after="0" w:line="173" w:lineRule="exact"/>
        <w:rPr>
          <w:sz w:val="20"/>
          <w:szCs w:val="20"/>
          <w:color w:val="auto"/>
        </w:rPr>
      </w:pPr>
    </w:p>
    <w:p>
      <w:pPr>
        <w:ind w:left="660" w:hanging="328"/>
        <w:spacing w:after="0" w:line="25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9"/>
          <w:szCs w:val="19"/>
          <w:b w:val="1"/>
          <w:bCs w:val="1"/>
          <w:color w:val="auto"/>
        </w:rPr>
        <w:t xml:space="preserve">Announced Collaboration with CureCN for the Exploration of Clinical Use of SVP-Rapamycin in Combination with AAV Gene Therapy for Treatment of Crigler-Najjar Syndrome (CN): </w:t>
      </w:r>
      <w:r>
        <w:rPr>
          <w:rFonts w:ascii="Arial" w:cs="Arial" w:eastAsia="Arial" w:hAnsi="Arial"/>
          <w:sz w:val="19"/>
          <w:szCs w:val="19"/>
          <w:color w:val="auto"/>
        </w:rPr>
        <w:t>The company announced its exploration of a new collaboration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CureCN, a European consortium, for the use of Selecta's SVP-Rapamycin technology in combination with an AAV gene therapy in CN, a rare genetic disorder characterized by an inability to properly convert and clear bilirubin from the body. Preclinical toxicology studies will need to be completed and then the combination product candidate is projected to enter the clinic in the second half of 2019 with the goal of potentially re-dosing gene therapy. This opportunity builds upon preclinical work that was published together with Genethon in Nature Communications in October 2018.</w:t>
      </w:r>
    </w:p>
    <w:p>
      <w:pPr>
        <w:spacing w:after="0" w:line="172" w:lineRule="exact"/>
        <w:rPr>
          <w:rFonts w:ascii="Arial" w:cs="Arial" w:eastAsia="Arial" w:hAnsi="Arial"/>
          <w:sz w:val="17"/>
          <w:szCs w:val="17"/>
          <w:color w:val="auto"/>
        </w:rPr>
      </w:pPr>
    </w:p>
    <w:p>
      <w:pPr>
        <w:ind w:left="660" w:right="60" w:hanging="328"/>
        <w:spacing w:after="0" w:line="25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9"/>
          <w:szCs w:val="19"/>
          <w:b w:val="1"/>
          <w:bCs w:val="1"/>
          <w:color w:val="auto"/>
        </w:rPr>
        <w:t xml:space="preserve">Appointed Carsten Brunn, Ph.D. as President and Chief Executive Officer: </w:t>
      </w:r>
      <w:r>
        <w:rPr>
          <w:rFonts w:ascii="Arial" w:cs="Arial" w:eastAsia="Arial" w:hAnsi="Arial"/>
          <w:sz w:val="19"/>
          <w:szCs w:val="19"/>
          <w:color w:val="auto"/>
        </w:rPr>
        <w:t>In September 2018, the company announced that</w:t>
      </w:r>
      <w:r>
        <w:rPr>
          <w:rFonts w:ascii="Arial" w:cs="Arial" w:eastAsia="Arial" w:hAnsi="Arial"/>
          <w:sz w:val="19"/>
          <w:szCs w:val="19"/>
          <w:b w:val="1"/>
          <w:bCs w:val="1"/>
          <w:color w:val="auto"/>
        </w:rPr>
        <w:t xml:space="preserve"> </w:t>
      </w:r>
      <w:r>
        <w:rPr>
          <w:rFonts w:ascii="Arial" w:cs="Arial" w:eastAsia="Arial" w:hAnsi="Arial"/>
          <w:sz w:val="19"/>
          <w:szCs w:val="19"/>
          <w:color w:val="auto"/>
        </w:rPr>
        <w:t>Carsten Brunn, Ph.D., had been appointed President and Chief Executive Officer of Selecta Biosciences, effective December 1, 2018. He will also serve on the company’s Board of Directors. Current President and CEO, Werner Cautreels, Ph.D., will continue to lead the company until December, will assist Dr. Brunn during the transition and will remain a member of the Board through December 31, 2018. Dr. Cautreels is expected to serve as an advisor to the company following his retirement. Dr. Brunn joins Selecta from Bayer, where he was most recently the President of Pharmaceuticals for the Americas Region and a member of the Global Pharmaceutical Executive Committee.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2018 Financial Results:</w:t>
      </w:r>
    </w:p>
    <w:p>
      <w:pPr>
        <w:spacing w:after="0" w:line="222" w:lineRule="exact"/>
        <w:rPr>
          <w:sz w:val="20"/>
          <w:szCs w:val="20"/>
          <w:color w:val="auto"/>
        </w:rPr>
      </w:pPr>
    </w:p>
    <w:p>
      <w:pPr>
        <w:ind w:left="340" w:right="120" w:hanging="332"/>
        <w:spacing w:after="0" w:line="28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9"/>
          <w:szCs w:val="19"/>
          <w:u w:val="single" w:color="auto"/>
          <w:color w:val="auto"/>
        </w:rPr>
        <w:t>Revenue</w:t>
      </w:r>
      <w:r>
        <w:rPr>
          <w:rFonts w:ascii="Arial" w:cs="Arial" w:eastAsia="Arial" w:hAnsi="Arial"/>
          <w:sz w:val="19"/>
          <w:szCs w:val="19"/>
          <w:color w:val="auto"/>
        </w:rPr>
        <w:t>: For the third quarter of 2018, the company recognized no revenue, which compares to less than $0.1 million for the third quarter of 2017. The decline is the result of reduced revenue recognized from the company’s grants and collaborations.</w:t>
      </w:r>
    </w:p>
    <w:p>
      <w:pPr>
        <w:spacing w:after="0" w:line="152" w:lineRule="exact"/>
        <w:rPr>
          <w:rFonts w:ascii="Arial" w:cs="Arial" w:eastAsia="Arial" w:hAnsi="Arial"/>
          <w:sz w:val="17"/>
          <w:szCs w:val="17"/>
          <w:color w:val="auto"/>
        </w:rPr>
      </w:pPr>
    </w:p>
    <w:p>
      <w:pPr>
        <w:ind w:left="340" w:right="60" w:hanging="332"/>
        <w:spacing w:after="0" w:line="24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Research and Development Expenses</w:t>
      </w:r>
      <w:r>
        <w:rPr>
          <w:rFonts w:ascii="Arial" w:cs="Arial" w:eastAsia="Arial" w:hAnsi="Arial"/>
          <w:sz w:val="20"/>
          <w:szCs w:val="20"/>
          <w:color w:val="auto"/>
        </w:rPr>
        <w:t>: Research and development expenses for the third quarter of 2018 were $11.9 million, which compares to $9.5 million for the third quarter of 2017. The increase is primarily the result of higher clinical costs related to the company’s Phase 2 trial of SEL-212, preparation for the start of the planned SEL-212 Phase 3 program and head-to-head clinical trial, and incremental headcount-related expenses.</w:t>
      </w:r>
    </w:p>
    <w:p>
      <w:pPr>
        <w:spacing w:after="0" w:line="191" w:lineRule="exact"/>
        <w:rPr>
          <w:rFonts w:ascii="Arial" w:cs="Arial" w:eastAsia="Arial" w:hAnsi="Arial"/>
          <w:sz w:val="18"/>
          <w:szCs w:val="18"/>
          <w:color w:val="auto"/>
        </w:rPr>
      </w:pPr>
    </w:p>
    <w:p>
      <w:pPr>
        <w:ind w:left="340" w:right="36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General and Administrative Expenses</w:t>
      </w:r>
      <w:r>
        <w:rPr>
          <w:rFonts w:ascii="Arial" w:cs="Arial" w:eastAsia="Arial" w:hAnsi="Arial"/>
          <w:sz w:val="20"/>
          <w:szCs w:val="20"/>
          <w:color w:val="auto"/>
        </w:rPr>
        <w:t>: General and administrative expenses for the third quarter of 2018 were $4.1 million, which compares with $4.4 million for the third quarter of 2017. The reduction in costs is primarily the result of reduced employee salaries and benefits and patent related costs.</w:t>
      </w:r>
    </w:p>
    <w:p>
      <w:pPr>
        <w:spacing w:after="0" w:line="199"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Net Loss</w:t>
      </w:r>
      <w:r>
        <w:rPr>
          <w:rFonts w:ascii="Arial" w:cs="Arial" w:eastAsia="Arial" w:hAnsi="Arial"/>
          <w:sz w:val="20"/>
          <w:szCs w:val="20"/>
          <w:color w:val="auto"/>
        </w:rPr>
        <w:t>: For the third quarter of 2018, Selecta reported a net loss of $(16.0) million, or $(0.71) per share, compared to a net loss of $(14.7) million, or $(0.66) per share, for the same period in 2017.</w:t>
      </w:r>
    </w:p>
    <w:p>
      <w:pPr>
        <w:spacing w:after="0" w:line="176"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Cash Position</w:t>
      </w:r>
      <w:r>
        <w:rPr>
          <w:rFonts w:ascii="Arial" w:cs="Arial" w:eastAsia="Arial" w:hAnsi="Arial"/>
          <w:sz w:val="20"/>
          <w:szCs w:val="20"/>
          <w:color w:val="auto"/>
        </w:rPr>
        <w:t>: Selecta had $50.5 million in cash and cash equivalents as of September 30, 2018, which compares to cash, cash equivalents and short-term investments of $66.2 million at June 30, 2018. The current operating plan accounts for funding in preparation for the planned Phase 3 clinical</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5" w:right="239" w:bottom="1440" w:gutter="0" w:footer="0" w:header="0"/>
        </w:sectPr>
      </w:pPr>
    </w:p>
    <w:bookmarkStart w:id="5" w:name="page6"/>
    <w:bookmarkEnd w:id="5"/>
    <w:p>
      <w:pPr>
        <w:ind w:left="340" w:right="40"/>
        <w:spacing w:after="0" w:line="278" w:lineRule="auto"/>
        <w:rPr>
          <w:sz w:val="20"/>
          <w:szCs w:val="20"/>
          <w:color w:val="auto"/>
        </w:rPr>
      </w:pPr>
      <w:r>
        <w:rPr>
          <w:rFonts w:ascii="Arial" w:cs="Arial" w:eastAsia="Arial" w:hAnsi="Arial"/>
          <w:sz w:val="20"/>
          <w:szCs w:val="20"/>
          <w:color w:val="auto"/>
        </w:rPr>
        <w:t>program for SEL-212. However, prior to beginning the Phase 3 clinical program, the company expects to conduct the planned head-to-head trial against Krystexxa. The company will require an additional equity offering or other external sources of capital to conduct the planned head-to-head trial against Krystexxa</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Reminder</w:t>
      </w:r>
    </w:p>
    <w:p>
      <w:pPr>
        <w:spacing w:after="0" w:line="22" w:lineRule="exact"/>
        <w:rPr>
          <w:sz w:val="20"/>
          <w:szCs w:val="20"/>
          <w:color w:val="auto"/>
        </w:rPr>
      </w:pPr>
    </w:p>
    <w:p>
      <w:pPr>
        <w:ind w:right="360"/>
        <w:spacing w:after="0" w:line="239" w:lineRule="auto"/>
        <w:rPr>
          <w:sz w:val="20"/>
          <w:szCs w:val="20"/>
          <w:color w:val="auto"/>
        </w:rPr>
      </w:pPr>
      <w:r>
        <w:rPr>
          <w:rFonts w:ascii="Arial" w:cs="Arial" w:eastAsia="Arial" w:hAnsi="Arial"/>
          <w:sz w:val="20"/>
          <w:szCs w:val="20"/>
          <w:color w:val="auto"/>
        </w:rPr>
        <w:t>Selecta management will host a conference call at 8:30 a.m. ET today to provide a corporate update and review the company’s third quarter 2018 financial results. Investors and the public can access a live and archived webcast of this call via the Investors &amp; Media section of the company’s website,</w:t>
      </w:r>
    </w:p>
    <w:p>
      <w:pPr>
        <w:spacing w:after="0" w:line="2" w:lineRule="exact"/>
        <w:rPr>
          <w:sz w:val="20"/>
          <w:szCs w:val="20"/>
          <w:color w:val="auto"/>
        </w:rPr>
      </w:pPr>
    </w:p>
    <w:p>
      <w:pPr>
        <w:jc w:val="both"/>
        <w:ind w:right="300"/>
        <w:spacing w:after="0" w:line="241" w:lineRule="auto"/>
        <w:rPr>
          <w:sz w:val="20"/>
          <w:szCs w:val="20"/>
          <w:color w:val="auto"/>
        </w:rPr>
      </w:pPr>
      <w:r>
        <w:rPr>
          <w:rFonts w:ascii="Arial" w:cs="Arial" w:eastAsia="Arial" w:hAnsi="Arial"/>
          <w:sz w:val="20"/>
          <w:szCs w:val="20"/>
          <w:u w:val="single" w:color="auto"/>
          <w:color w:val="0000FF"/>
        </w:rPr>
        <w:t>http://selectabio.com</w:t>
      </w:r>
      <w:r>
        <w:rPr>
          <w:rFonts w:ascii="Arial" w:cs="Arial" w:eastAsia="Arial" w:hAnsi="Arial"/>
          <w:sz w:val="20"/>
          <w:szCs w:val="20"/>
          <w:color w:val="000000"/>
        </w:rPr>
        <w:t>. Individuals may also participate in the live call via telephone by dialing (844) 845-4170 (domestic) or (412) 717-9621</w:t>
      </w:r>
      <w:r>
        <w:rPr>
          <w:rFonts w:ascii="Arial" w:cs="Arial" w:eastAsia="Arial" w:hAnsi="Arial"/>
          <w:sz w:val="20"/>
          <w:szCs w:val="20"/>
          <w:color w:val="0000FF"/>
        </w:rPr>
        <w:t xml:space="preserve"> </w:t>
      </w:r>
      <w:r>
        <w:rPr>
          <w:rFonts w:ascii="Arial" w:cs="Arial" w:eastAsia="Arial" w:hAnsi="Arial"/>
          <w:sz w:val="20"/>
          <w:szCs w:val="20"/>
          <w:color w:val="000000"/>
        </w:rPr>
        <w:t>(international) and may access a teleconference replay for one week by dialing (877) 344-7529 (domestic) or (412) 317-0088 (international) and using confirmation code 10124090.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Selecta Biosciences, Inc. is a clinical-stage biopharmaceutical company that is focused on unlocking the full potential of biologic therapies by mitigating unwanted immune responses. Selecta plans to combine its tolerogenic Synthetic Vaccine Particles (SVP</w:t>
      </w:r>
      <w:r>
        <w:rPr>
          <w:rFonts w:ascii="Arial" w:cs="Arial" w:eastAsia="Arial" w:hAnsi="Arial"/>
          <w:sz w:val="23"/>
          <w:szCs w:val="23"/>
          <w:color w:val="auto"/>
          <w:vertAlign w:val="superscript"/>
        </w:rPr>
        <w:t>TM</w:t>
      </w:r>
      <w:r>
        <w:rPr>
          <w:rFonts w:ascii="Arial" w:cs="Arial" w:eastAsia="Arial" w:hAnsi="Arial"/>
          <w:sz w:val="18"/>
          <w:szCs w:val="18"/>
          <w:color w:val="auto"/>
        </w:rPr>
        <w:t>) to a range of biologics for rare and serious diseases that require new treatment options. The company's current proprietary pipeline includes SVP-enabled enzyme, oncology and gene therapeutic candidates. SEL-212, the company's lead candidate in Phase 2, is being developed to treat severe gout patients and resolve their debilitating symptoms, including flares and gouty arthritis. A Phase 1 trial was initiated for a combination therapeutic candidate consisting of SVP-Rapamycin and LMB-100 (Selecta's SEL-403 product candidate) for the treatment of patients with malignant pleural or peritoneal mesothelioma. Selecta's proprietary gene therapy product candidates are being developed for rare inborn errors of metabolism and have the potential to enable repeat administration. We believe the use of SVP also holds potential in the development of vaccines and treatments for allergies and autoimmune diseases. Selecta is based in Watertown, Massachusetts. For more information, please visit http://selectabio.com and follow @SelectaBio on Twitter.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9"/>
          <w:szCs w:val="19"/>
          <w:i w:val="1"/>
          <w:iCs w:val="1"/>
          <w:color w:val="auto"/>
        </w:rPr>
        <w:t>Any statements in this press release about the future expectations, plans and prospects of Selecta Biosciences, Inc. (“the company”), including without limitation, statements regarding the progress of the Phase 2 clinical trial of SEL-212, the anticipated timing of the head-to-head trial comparing SEL-212 and Krystexxa and related data readouts, whether the head-to-head trial with Krystexxa will demonstrate superiority, the potential of SVP-Rapamycin to enable re-dosing of AAV gene therapy and the anticipated timing of preclinical toxicology studies and initiation of a clinical trial related thereto, whether the company’s SVP technology has the potential to induce antigen specific tolerance and allow for the full benefit of biologics, the potential of SEL-212 to fulfill unmet needs in severe gout patients including sustained SUA reduction, reduced flares, and once monthly dosing, whether interim data related to the SEL-212 clinical program will be predictive of future data, the anticipated timing for advancing into Phase 3 (if at all), whether current evaluable SEL-212 patients will be predictive of future evaluable SEL-212 patients, whether patients receiving SEL-212 will be able to complete full therapy cycles over 6 months, whether SEL-212 will continue to be generally well-tolerated following repeat administrations, the company’s ability to raise additional capital to fund the head-to-head trial against Krystexxa, the company’s commercial plans, the ability of the company’s SVP platform, including SVP-Rapamycin, to mitigate unwanted immunogenicity, unlock the full potential of biologic therapies, enable new therapies and improve the efficacy and safety of existing biologics, the potential of SEL-212 to treat severe gout patients and resolve their debilitating symptoms, the potential of SEL-403 to treat mesothelioma, the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5" w:right="239" w:bottom="1440" w:gutter="0" w:footer="0" w:header="0"/>
        </w:sectPr>
      </w:pPr>
    </w:p>
    <w:bookmarkStart w:id="6" w:name="page7"/>
    <w:bookmarkEnd w:id="6"/>
    <w:p>
      <w:pPr>
        <w:ind w:right="20"/>
        <w:spacing w:after="0" w:line="268" w:lineRule="auto"/>
        <w:rPr>
          <w:sz w:val="20"/>
          <w:szCs w:val="20"/>
          <w:color w:val="auto"/>
        </w:rPr>
      </w:pPr>
      <w:r>
        <w:rPr>
          <w:rFonts w:ascii="Arial" w:cs="Arial" w:eastAsia="Arial" w:hAnsi="Arial"/>
          <w:sz w:val="18"/>
          <w:szCs w:val="18"/>
          <w:i w:val="1"/>
          <w:iCs w:val="1"/>
          <w:color w:val="auto"/>
        </w:rPr>
        <w:t>potential treatment applications for products utilizing the SVP platform in areas such as enzyme therapy, gene therapy, oncology therapy, vaccines and treatments for allergies and autoimmune diseases, the company’s plan to apply its SVP platform to a range of biologics for rare and serious diseases, the potential of the company’s two gene therapy product candidates to enable repeat administration, the potential of the SVP-Rapamycin platform generally,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SVP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Quarterly Report on Form 10-Q for the quarter ended September 30, 2018,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data and par value)</w:t>
      </w:r>
    </w:p>
    <w:p>
      <w:pPr>
        <w:sectPr>
          <w:pgSz w:w="11900" w:h="16838" w:orient="portrait"/>
          <w:cols w:equalWidth="0" w:num="1">
            <w:col w:w="11380"/>
          </w:cols>
          <w:pgMar w:left="280" w:top="850"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assets: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Cash, cash equivalents, and restricted cash</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Short-term deposits and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Prepaid expenses and other current 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Total current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and other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Accrued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Loan payable,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revenue,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current liabilities</w:t>
      </w:r>
    </w:p>
    <w:p>
      <w:pPr>
        <w:spacing w:after="0" w:line="105"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December 31, 2017</w:t>
            </w:r>
          </w:p>
        </w:tc>
      </w:tr>
      <w:tr>
        <w:trPr>
          <w:trHeight w:val="244"/>
        </w:trPr>
        <w:tc>
          <w:tcPr>
            <w:tcW w:w="160" w:type="dxa"/>
            <w:vAlign w:val="bottom"/>
          </w:tcPr>
          <w:p>
            <w:pPr>
              <w:spacing w:after="0"/>
              <w:rPr>
                <w:sz w:val="21"/>
                <w:szCs w:val="21"/>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54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50,485</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70,698</w:t>
            </w:r>
          </w:p>
        </w:tc>
      </w:tr>
      <w:tr>
        <w:trPr>
          <w:trHeight w:val="270"/>
        </w:trPr>
        <w:tc>
          <w:tcPr>
            <w:tcW w:w="160" w:type="dxa"/>
            <w:vAlign w:val="bottom"/>
          </w:tcPr>
          <w:p>
            <w:pPr>
              <w:spacing w:after="0"/>
              <w:rPr>
                <w:sz w:val="23"/>
                <w:szCs w:val="23"/>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25,940</w:t>
            </w:r>
          </w:p>
        </w:tc>
      </w:tr>
      <w:tr>
        <w:trPr>
          <w:trHeight w:val="276"/>
        </w:trPr>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5,083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2,042</w:t>
            </w:r>
          </w:p>
        </w:tc>
      </w:tr>
      <w:tr>
        <w:trPr>
          <w:trHeight w:val="244"/>
        </w:trPr>
        <w:tc>
          <w:tcPr>
            <w:tcW w:w="16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55,568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98,680</w:t>
            </w:r>
          </w:p>
        </w:tc>
      </w:tr>
      <w:tr>
        <w:trPr>
          <w:trHeight w:val="270"/>
        </w:trPr>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2,109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2,091</w:t>
            </w:r>
          </w:p>
        </w:tc>
      </w:tr>
      <w:tr>
        <w:trPr>
          <w:trHeight w:val="276"/>
        </w:trPr>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329</w:t>
            </w: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60,323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101,100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58"/>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1,252</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1,606</w:t>
            </w:r>
          </w:p>
        </w:tc>
      </w:tr>
      <w:tr>
        <w:trPr>
          <w:trHeight w:val="270"/>
        </w:trPr>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10,218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8,580</w:t>
            </w:r>
          </w:p>
        </w:tc>
      </w:tr>
      <w:tr>
        <w:trPr>
          <w:trHeight w:val="270"/>
        </w:trPr>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21,299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787</w:t>
            </w:r>
          </w:p>
        </w:tc>
      </w:tr>
      <w:tr>
        <w:trPr>
          <w:trHeight w:val="244"/>
        </w:trPr>
        <w:tc>
          <w:tcPr>
            <w:tcW w:w="16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34,632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10,973</w:t>
            </w:r>
          </w:p>
        </w:tc>
      </w:tr>
    </w:tbl>
    <w:p>
      <w:pPr>
        <w:spacing w:after="0" w:line="290" w:lineRule="exact"/>
        <w:rPr>
          <w:sz w:val="20"/>
          <w:szCs w:val="20"/>
          <w:color w:val="auto"/>
        </w:rPr>
      </w:pPr>
    </w:p>
    <w:p>
      <w:pPr>
        <w:sectPr>
          <w:pgSz w:w="11900" w:h="16838" w:orient="portrait"/>
          <w:cols w:equalWidth="0" w:num="2">
            <w:col w:w="6920" w:space="720"/>
            <w:col w:w="3740"/>
          </w:cols>
          <w:pgMar w:left="280" w:top="850"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20"/>
                <w:szCs w:val="20"/>
                <w:color w:val="auto"/>
              </w:rPr>
            </w:pPr>
            <w:r>
              <w:rPr>
                <w:rFonts w:ascii="Arial" w:cs="Arial" w:eastAsia="Arial" w:hAnsi="Arial"/>
                <w:sz w:val="14"/>
                <w:szCs w:val="14"/>
                <w:color w:val="auto"/>
              </w:rPr>
              <w:t>Deferred rent and lease incentive</w:t>
            </w:r>
          </w:p>
        </w:tc>
        <w:tc>
          <w:tcPr>
            <w:tcW w:w="56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68"/>
        </w:trPr>
        <w:tc>
          <w:tcPr>
            <w:tcW w:w="7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4"/>
                <w:szCs w:val="14"/>
                <w:color w:val="auto"/>
              </w:rPr>
              <w:t>Loan payable, net of current portion</w:t>
            </w:r>
          </w:p>
        </w:tc>
        <w:tc>
          <w:tcPr>
            <w:tcW w:w="560" w:type="dxa"/>
            <w:vAlign w:val="bottom"/>
          </w:tcPr>
          <w:p>
            <w:pPr>
              <w:spacing w:after="0"/>
              <w:rPr>
                <w:sz w:val="17"/>
                <w:szCs w:val="17"/>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21,042</w:t>
            </w:r>
          </w:p>
        </w:tc>
        <w:tc>
          <w:tcPr>
            <w:tcW w:w="0" w:type="dxa"/>
            <w:vAlign w:val="bottom"/>
          </w:tcPr>
          <w:p>
            <w:pPr>
              <w:spacing w:after="0"/>
              <w:rPr>
                <w:sz w:val="1"/>
                <w:szCs w:val="1"/>
                <w:color w:val="auto"/>
              </w:rPr>
            </w:pPr>
          </w:p>
        </w:tc>
      </w:tr>
      <w:tr>
        <w:trPr>
          <w:trHeight w:val="68"/>
        </w:trPr>
        <w:tc>
          <w:tcPr>
            <w:tcW w:w="7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56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13,824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15,919</w:t>
            </w:r>
          </w:p>
        </w:tc>
        <w:tc>
          <w:tcPr>
            <w:tcW w:w="0" w:type="dxa"/>
            <w:vAlign w:val="bottom"/>
          </w:tcPr>
          <w:p>
            <w:pPr>
              <w:spacing w:after="0"/>
              <w:rPr>
                <w:sz w:val="1"/>
                <w:szCs w:val="1"/>
                <w:color w:val="auto"/>
              </w:rPr>
            </w:pPr>
          </w:p>
        </w:tc>
      </w:tr>
      <w:tr>
        <w:trPr>
          <w:trHeight w:val="68"/>
        </w:trPr>
        <w:tc>
          <w:tcPr>
            <w:tcW w:w="7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56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73"/>
        </w:trPr>
        <w:tc>
          <w:tcPr>
            <w:tcW w:w="76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40" w:type="dxa"/>
            <w:vAlign w:val="bottom"/>
          </w:tcPr>
          <w:p>
            <w:pPr>
              <w:spacing w:after="0"/>
              <w:rPr>
                <w:sz w:val="20"/>
                <w:szCs w:val="20"/>
                <w:color w:val="auto"/>
              </w:rPr>
            </w:pPr>
            <w:r>
              <w:rPr>
                <w:rFonts w:ascii="Arial" w:cs="Arial" w:eastAsia="Arial" w:hAnsi="Arial"/>
                <w:sz w:val="14"/>
                <w:szCs w:val="14"/>
                <w:color w:val="auto"/>
              </w:rPr>
              <w:t>Total liabilities</w:t>
            </w:r>
          </w:p>
        </w:tc>
        <w:tc>
          <w:tcPr>
            <w:tcW w:w="56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50,323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49,286</w:t>
            </w:r>
          </w:p>
        </w:tc>
        <w:tc>
          <w:tcPr>
            <w:tcW w:w="0" w:type="dxa"/>
            <w:vAlign w:val="bottom"/>
          </w:tcPr>
          <w:p>
            <w:pPr>
              <w:spacing w:after="0"/>
              <w:rPr>
                <w:sz w:val="1"/>
                <w:szCs w:val="1"/>
                <w:color w:val="auto"/>
              </w:rPr>
            </w:pPr>
          </w:p>
        </w:tc>
      </w:tr>
      <w:tr>
        <w:trPr>
          <w:trHeight w:val="73"/>
        </w:trPr>
        <w:tc>
          <w:tcPr>
            <w:tcW w:w="76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4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640" w:type="dxa"/>
            <w:vAlign w:val="bottom"/>
          </w:tcPr>
          <w:p>
            <w:pPr>
              <w:spacing w:after="0"/>
              <w:rPr>
                <w:sz w:val="20"/>
                <w:szCs w:val="20"/>
                <w:color w:val="auto"/>
              </w:rPr>
            </w:pPr>
            <w:r>
              <w:rPr>
                <w:rFonts w:ascii="Arial" w:cs="Arial" w:eastAsia="Arial" w:hAnsi="Arial"/>
                <w:sz w:val="14"/>
                <w:szCs w:val="14"/>
                <w:color w:val="auto"/>
                <w:w w:val="95"/>
              </w:rPr>
              <w:t>Preferred stock, $0.0001 par value; 10,000,000 shares authorized; no shares issued and outstanding at September 30, 2018 and</w:t>
            </w: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640" w:type="dxa"/>
            <w:vAlign w:val="bottom"/>
          </w:tcPr>
          <w:p>
            <w:pPr>
              <w:spacing w:after="0"/>
              <w:rPr>
                <w:sz w:val="20"/>
                <w:szCs w:val="20"/>
                <w:color w:val="auto"/>
              </w:rPr>
            </w:pPr>
            <w:r>
              <w:rPr>
                <w:rFonts w:ascii="Arial" w:cs="Arial" w:eastAsia="Arial" w:hAnsi="Arial"/>
                <w:sz w:val="14"/>
                <w:szCs w:val="14"/>
                <w:color w:val="auto"/>
              </w:rPr>
              <w:t>December 31, 2017, respectively</w:t>
            </w:r>
          </w:p>
        </w:tc>
        <w:tc>
          <w:tcPr>
            <w:tcW w:w="5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640" w:type="dxa"/>
            <w:vAlign w:val="bottom"/>
          </w:tcPr>
          <w:p>
            <w:pPr>
              <w:spacing w:after="0"/>
              <w:rPr>
                <w:sz w:val="20"/>
                <w:szCs w:val="20"/>
                <w:color w:val="auto"/>
              </w:rPr>
            </w:pPr>
            <w:r>
              <w:rPr>
                <w:rFonts w:ascii="Arial" w:cs="Arial" w:eastAsia="Arial" w:hAnsi="Arial"/>
                <w:sz w:val="14"/>
                <w:szCs w:val="14"/>
                <w:color w:val="auto"/>
                <w:w w:val="94"/>
              </w:rPr>
              <w:t>Common stock, $0.0001 par value; 200,000,000 shares authorized; 22,426,493 and 22,343,254 shares issued and outstanding as</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40" w:type="dxa"/>
            <w:vAlign w:val="bottom"/>
          </w:tcPr>
          <w:p>
            <w:pPr>
              <w:spacing w:after="0"/>
              <w:rPr>
                <w:sz w:val="20"/>
                <w:szCs w:val="20"/>
                <w:color w:val="auto"/>
              </w:rPr>
            </w:pPr>
            <w:r>
              <w:rPr>
                <w:rFonts w:ascii="Arial" w:cs="Arial" w:eastAsia="Arial" w:hAnsi="Arial"/>
                <w:sz w:val="14"/>
                <w:szCs w:val="14"/>
                <w:color w:val="auto"/>
              </w:rPr>
              <w:t>of September 30, 2018 and December 31, 2017, respectively</w:t>
            </w:r>
          </w:p>
        </w:tc>
        <w:tc>
          <w:tcPr>
            <w:tcW w:w="5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56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277,721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273,128</w:t>
            </w:r>
          </w:p>
        </w:tc>
        <w:tc>
          <w:tcPr>
            <w:tcW w:w="0" w:type="dxa"/>
            <w:vAlign w:val="bottom"/>
          </w:tcPr>
          <w:p>
            <w:pPr>
              <w:spacing w:after="0"/>
              <w:rPr>
                <w:sz w:val="1"/>
                <w:szCs w:val="1"/>
                <w:color w:val="auto"/>
              </w:rPr>
            </w:pPr>
          </w:p>
        </w:tc>
      </w:tr>
      <w:tr>
        <w:trPr>
          <w:trHeight w:val="68"/>
        </w:trPr>
        <w:tc>
          <w:tcPr>
            <w:tcW w:w="7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4"/>
                <w:szCs w:val="14"/>
                <w:color w:val="auto"/>
              </w:rPr>
              <w:t>Receivable from stock option exercises</w:t>
            </w:r>
          </w:p>
        </w:tc>
        <w:tc>
          <w:tcPr>
            <w:tcW w:w="5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4"/>
                <w:szCs w:val="14"/>
                <w:color w:val="auto"/>
              </w:rPr>
              <w:t>Accumulated deficit</w:t>
            </w:r>
          </w:p>
        </w:tc>
        <w:tc>
          <w:tcPr>
            <w:tcW w:w="5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(263,154)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(216,897)</w:t>
            </w:r>
          </w:p>
        </w:tc>
        <w:tc>
          <w:tcPr>
            <w:tcW w:w="0" w:type="dxa"/>
            <w:vAlign w:val="bottom"/>
          </w:tcPr>
          <w:p>
            <w:pPr>
              <w:spacing w:after="0"/>
              <w:rPr>
                <w:sz w:val="1"/>
                <w:szCs w:val="1"/>
                <w:color w:val="auto"/>
              </w:rPr>
            </w:pPr>
          </w:p>
        </w:tc>
      </w:tr>
      <w:tr>
        <w:trPr>
          <w:trHeight w:val="68"/>
        </w:trPr>
        <w:tc>
          <w:tcPr>
            <w:tcW w:w="7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5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(4,517)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73"/>
        </w:trPr>
        <w:tc>
          <w:tcPr>
            <w:tcW w:w="76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56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51,814</w:t>
            </w:r>
          </w:p>
        </w:tc>
        <w:tc>
          <w:tcPr>
            <w:tcW w:w="0" w:type="dxa"/>
            <w:vAlign w:val="bottom"/>
          </w:tcPr>
          <w:p>
            <w:pPr>
              <w:spacing w:after="0"/>
              <w:rPr>
                <w:sz w:val="1"/>
                <w:szCs w:val="1"/>
                <w:color w:val="auto"/>
              </w:rPr>
            </w:pPr>
          </w:p>
        </w:tc>
      </w:tr>
      <w:tr>
        <w:trPr>
          <w:trHeight w:val="73"/>
        </w:trPr>
        <w:tc>
          <w:tcPr>
            <w:tcW w:w="76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4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5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60,323</w:t>
            </w:r>
          </w:p>
        </w:tc>
        <w:tc>
          <w:tcPr>
            <w:tcW w:w="100" w:type="dxa"/>
            <w:vAlign w:val="bottom"/>
          </w:tcPr>
          <w:p>
            <w:pPr>
              <w:spacing w:after="0"/>
              <w:rPr>
                <w:sz w:val="15"/>
                <w:szCs w:val="15"/>
                <w:color w:val="auto"/>
              </w:rPr>
            </w:pPr>
          </w:p>
        </w:tc>
        <w:tc>
          <w:tcPr>
            <w:tcW w:w="5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101,100</w:t>
            </w:r>
          </w:p>
        </w:tc>
        <w:tc>
          <w:tcPr>
            <w:tcW w:w="0" w:type="dxa"/>
            <w:vAlign w:val="bottom"/>
          </w:tcPr>
          <w:p>
            <w:pPr>
              <w:spacing w:after="0"/>
              <w:rPr>
                <w:sz w:val="1"/>
                <w:szCs w:val="1"/>
                <w:color w:val="auto"/>
              </w:rPr>
            </w:pPr>
          </w:p>
        </w:tc>
      </w:tr>
      <w:tr>
        <w:trPr>
          <w:trHeight w:val="65"/>
        </w:trPr>
        <w:tc>
          <w:tcPr>
            <w:tcW w:w="764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80" w:top="85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6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11,885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9,504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37,431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31,542</w:t>
            </w: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4,056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4,377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13,092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13,155</w:t>
            </w:r>
          </w:p>
        </w:tc>
        <w:tc>
          <w:tcPr>
            <w:tcW w:w="0" w:type="dxa"/>
            <w:vAlign w:val="bottom"/>
          </w:tcPr>
          <w:p>
            <w:pPr>
              <w:spacing w:after="0"/>
              <w:rPr>
                <w:sz w:val="1"/>
                <w:szCs w:val="1"/>
                <w:color w:val="auto"/>
              </w:rPr>
            </w:pPr>
          </w:p>
        </w:tc>
      </w:tr>
      <w:tr>
        <w:trPr>
          <w:trHeight w:val="80"/>
        </w:trPr>
        <w:tc>
          <w:tcPr>
            <w:tcW w:w="5120" w:type="dxa"/>
            <w:vAlign w:val="bottom"/>
            <w:vMerge w:val="restart"/>
          </w:tcPr>
          <w:p>
            <w:pPr>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15,941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13,881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50,523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44,697</w:t>
            </w:r>
          </w:p>
        </w:tc>
        <w:tc>
          <w:tcPr>
            <w:tcW w:w="0" w:type="dxa"/>
            <w:vAlign w:val="bottom"/>
          </w:tcPr>
          <w:p>
            <w:pPr>
              <w:spacing w:after="0"/>
              <w:rPr>
                <w:sz w:val="1"/>
                <w:szCs w:val="1"/>
                <w:color w:val="auto"/>
              </w:rPr>
            </w:pPr>
          </w:p>
        </w:tc>
      </w:tr>
      <w:tr>
        <w:trPr>
          <w:trHeight w:val="66"/>
        </w:trPr>
        <w:tc>
          <w:tcPr>
            <w:tcW w:w="5120" w:type="dxa"/>
            <w:vAlign w:val="bottom"/>
            <w:vMerge w:val="restart"/>
          </w:tcPr>
          <w:p>
            <w:pPr>
              <w:spacing w:after="0"/>
              <w:rPr>
                <w:sz w:val="20"/>
                <w:szCs w:val="20"/>
                <w:color w:val="auto"/>
              </w:rPr>
            </w:pPr>
            <w:r>
              <w:rPr>
                <w:rFonts w:ascii="Arial" w:cs="Arial" w:eastAsia="Arial" w:hAnsi="Arial"/>
                <w:sz w:val="14"/>
                <w:szCs w:val="14"/>
                <w:color w:val="auto"/>
              </w:rPr>
              <w:t>Loss from operations</w:t>
            </w: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(15,941)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(13,854)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(50,523)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(44,507)</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0"/>
                <w:szCs w:val="20"/>
                <w:color w:val="auto"/>
              </w:rPr>
            </w:pPr>
            <w:r>
              <w:rPr>
                <w:rFonts w:ascii="Arial" w:cs="Arial" w:eastAsia="Arial" w:hAnsi="Arial"/>
                <w:sz w:val="14"/>
                <w:szCs w:val="14"/>
                <w:color w:val="auto"/>
              </w:rPr>
              <w:t>Investment income</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Foreign currency transaction gain (loss), net</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23"/>
                <w:szCs w:val="23"/>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80"/>
        </w:trPr>
        <w:tc>
          <w:tcPr>
            <w:tcW w:w="512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(16,001)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(14,676)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(50,685)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(45,777)</w:t>
            </w:r>
          </w:p>
        </w:tc>
        <w:tc>
          <w:tcPr>
            <w:tcW w:w="0" w:type="dxa"/>
            <w:vAlign w:val="bottom"/>
          </w:tcPr>
          <w:p>
            <w:pPr>
              <w:spacing w:after="0"/>
              <w:rPr>
                <w:sz w:val="1"/>
                <w:szCs w:val="1"/>
                <w:color w:val="auto"/>
              </w:rPr>
            </w:pPr>
          </w:p>
        </w:tc>
      </w:tr>
      <w:tr>
        <w:trPr>
          <w:trHeight w:val="66"/>
        </w:trPr>
        <w:tc>
          <w:tcPr>
            <w:tcW w:w="5120" w:type="dxa"/>
            <w:vAlign w:val="bottom"/>
            <w:vMerge w:val="restart"/>
          </w:tcPr>
          <w:p>
            <w:pPr>
              <w:spacing w:after="0"/>
              <w:rPr>
                <w:sz w:val="20"/>
                <w:szCs w:val="20"/>
                <w:color w:val="auto"/>
              </w:rPr>
            </w:pPr>
            <w:r>
              <w:rPr>
                <w:rFonts w:ascii="Arial" w:cs="Arial" w:eastAsia="Arial" w:hAnsi="Arial"/>
                <w:sz w:val="14"/>
                <w:szCs w:val="14"/>
                <w:color w:val="auto"/>
              </w:rPr>
              <w:t>Other comprehensive loss:</w:t>
            </w: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5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12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28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4"/>
                <w:szCs w:val="14"/>
                <w:color w:val="auto"/>
              </w:rPr>
              <w:t>Unrealized gain on securities</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80"/>
        </w:trPr>
        <w:tc>
          <w:tcPr>
            <w:tcW w:w="5120" w:type="dxa"/>
            <w:vAlign w:val="bottom"/>
            <w:vMerge w:val="restart"/>
          </w:tcPr>
          <w:p>
            <w:pPr>
              <w:spacing w:after="0"/>
              <w:rPr>
                <w:sz w:val="20"/>
                <w:szCs w:val="20"/>
                <w:color w:val="auto"/>
              </w:rPr>
            </w:pPr>
            <w:r>
              <w:rPr>
                <w:rFonts w:ascii="Arial" w:cs="Arial" w:eastAsia="Arial" w:hAnsi="Arial"/>
                <w:sz w:val="14"/>
                <w:szCs w:val="14"/>
                <w:color w:val="auto"/>
              </w:rPr>
              <w:t>Total comprehensive loss</w:t>
            </w: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120" w:type="dxa"/>
            <w:vAlign w:val="bottom"/>
            <w:vMerge w:val="continue"/>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(16,042)</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(14,672)</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(50,782)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(45,668)</w:t>
            </w:r>
          </w:p>
        </w:tc>
        <w:tc>
          <w:tcPr>
            <w:tcW w:w="0" w:type="dxa"/>
            <w:vAlign w:val="bottom"/>
          </w:tcPr>
          <w:p>
            <w:pPr>
              <w:spacing w:after="0"/>
              <w:rPr>
                <w:sz w:val="1"/>
                <w:szCs w:val="1"/>
                <w:color w:val="auto"/>
              </w:rPr>
            </w:pPr>
          </w:p>
        </w:tc>
      </w:tr>
      <w:tr>
        <w:trPr>
          <w:trHeight w:val="53"/>
        </w:trPr>
        <w:tc>
          <w:tcPr>
            <w:tcW w:w="512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(0.71)</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66"/>
        </w:trPr>
        <w:tc>
          <w:tcPr>
            <w:tcW w:w="512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512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28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22,403,954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22,082,207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22,368,574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19,803,551</w:t>
            </w:r>
          </w:p>
        </w:tc>
        <w:tc>
          <w:tcPr>
            <w:tcW w:w="0" w:type="dxa"/>
            <w:vAlign w:val="bottom"/>
          </w:tcPr>
          <w:p>
            <w:pPr>
              <w:spacing w:after="0"/>
              <w:rPr>
                <w:sz w:val="1"/>
                <w:szCs w:val="1"/>
                <w:color w:val="auto"/>
              </w:rPr>
            </w:pPr>
          </w:p>
        </w:tc>
      </w:tr>
      <w:tr>
        <w:trPr>
          <w:trHeight w:val="66"/>
        </w:trPr>
        <w:tc>
          <w:tcPr>
            <w:tcW w:w="5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John Leaman, MD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Selecta Biosciences, Inc.</w:t>
      </w:r>
    </w:p>
    <w:p>
      <w:pPr>
        <w:spacing w:after="0"/>
        <w:rPr>
          <w:sz w:val="20"/>
          <w:szCs w:val="20"/>
          <w:color w:val="auto"/>
        </w:rPr>
      </w:pPr>
      <w:r>
        <w:rPr>
          <w:rFonts w:ascii="Arial" w:cs="Arial" w:eastAsia="Arial" w:hAnsi="Arial"/>
          <w:sz w:val="20"/>
          <w:szCs w:val="20"/>
          <w:color w:val="auto"/>
        </w:rPr>
        <w:t>617-231-8081</w:t>
      </w:r>
    </w:p>
    <w:p>
      <w:pPr>
        <w:spacing w:after="0"/>
        <w:rPr>
          <w:sz w:val="20"/>
          <w:szCs w:val="20"/>
          <w:color w:val="auto"/>
        </w:rPr>
      </w:pPr>
      <w:r>
        <w:rPr>
          <w:rFonts w:ascii="Arial" w:cs="Arial" w:eastAsia="Arial" w:hAnsi="Arial"/>
          <w:sz w:val="20"/>
          <w:szCs w:val="20"/>
          <w:u w:val="single" w:color="auto"/>
          <w:color w:val="0000FF"/>
        </w:rPr>
        <w:t>jleaman@selectabio.com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Stern Investor Relations, Inc.</w:t>
      </w:r>
    </w:p>
    <w:p>
      <w:pPr>
        <w:spacing w:after="0"/>
        <w:rPr>
          <w:sz w:val="20"/>
          <w:szCs w:val="20"/>
          <w:color w:val="auto"/>
        </w:rPr>
      </w:pPr>
      <w:r>
        <w:rPr>
          <w:rFonts w:ascii="Arial" w:cs="Arial" w:eastAsia="Arial" w:hAnsi="Arial"/>
          <w:sz w:val="20"/>
          <w:szCs w:val="20"/>
          <w:color w:val="auto"/>
        </w:rPr>
        <w:t>+1-212-362-1200</w:t>
      </w:r>
    </w:p>
    <w:p>
      <w:pPr>
        <w:spacing w:after="0"/>
        <w:rPr>
          <w:sz w:val="20"/>
          <w:szCs w:val="20"/>
          <w:color w:val="auto"/>
        </w:rPr>
      </w:pPr>
      <w:r>
        <w:rPr>
          <w:rFonts w:ascii="Arial" w:cs="Arial" w:eastAsia="Arial" w:hAnsi="Arial"/>
          <w:sz w:val="20"/>
          <w:szCs w:val="20"/>
          <w:u w:val="single" w:color="auto"/>
          <w:color w:val="0000FF"/>
        </w:rPr>
        <w:t>sarah@sternir.com</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2019-12-28T18:01:22Z</dcterms:created>
  <dcterms:modified xsi:type="dcterms:W3CDTF">2019-12-28T18:01:22Z</dcterms:modified>
</cp:coreProperties>
</file>