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May 5, 2022</w:t>
      </w:r>
    </w:p>
    <w:p>
      <w:pPr>
        <w:spacing w:after="0" w:line="25" w:lineRule="exact"/>
        <w:rPr>
          <w:sz w:val="24"/>
          <w:szCs w:val="24"/>
          <w:color w:val="auto"/>
        </w:rPr>
      </w:pPr>
    </w:p>
    <w:p>
      <w:pPr>
        <w:ind w:left="9360"/>
        <w:spacing w:after="0"/>
        <w:rPr>
          <w:sz w:val="20"/>
          <w:szCs w:val="20"/>
          <w:color w:val="auto"/>
        </w:rPr>
      </w:pPr>
      <w:r>
        <w:rPr>
          <w:rFonts w:ascii="Times New Roman" w:cs="Times New Roman" w:eastAsia="Times New Roman" w:hAnsi="Times New Roman"/>
          <w:sz w:val="16"/>
          <w:szCs w:val="16"/>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77470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SELECTA BIOSCIENCES,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9"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26-1622110</w:t>
            </w:r>
          </w:p>
        </w:tc>
      </w:tr>
      <w:tr>
        <w:trPr>
          <w:trHeight w:val="168"/>
        </w:trPr>
        <w:tc>
          <w:tcPr>
            <w:tcW w:w="4420" w:type="dxa"/>
            <w:vAlign w:val="bottom"/>
          </w:tcPr>
          <w:p>
            <w:pPr>
              <w:jc w:val="center"/>
              <w:ind w:right="1799"/>
              <w:spacing w:after="0" w:line="168" w:lineRule="exact"/>
              <w:rPr>
                <w:sz w:val="20"/>
                <w:szCs w:val="20"/>
                <w:color w:val="auto"/>
              </w:rPr>
            </w:pPr>
            <w:r>
              <w:rPr>
                <w:rFonts w:ascii="Times New Roman" w:cs="Times New Roman" w:eastAsia="Times New Roman" w:hAnsi="Times New Roman"/>
                <w:sz w:val="16"/>
                <w:szCs w:val="16"/>
                <w:color w:val="auto"/>
              </w:rPr>
              <w:t>(State or other jurisdiction</w:t>
            </w:r>
          </w:p>
        </w:tc>
        <w:tc>
          <w:tcPr>
            <w:tcW w:w="3080" w:type="dxa"/>
            <w:vAlign w:val="bottom"/>
          </w:tcPr>
          <w:p>
            <w:pPr>
              <w:jc w:val="center"/>
              <w:ind w:left="177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of incorporation or organization)</w:t>
            </w:r>
          </w:p>
        </w:tc>
        <w:tc>
          <w:tcPr>
            <w:tcW w:w="3080" w:type="dxa"/>
            <w:vAlign w:val="bottom"/>
          </w:tcPr>
          <w:p>
            <w:pPr>
              <w:jc w:val="center"/>
              <w:ind w:left="17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70"/>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b w:val="1"/>
                <w:bCs w:val="1"/>
                <w:color w:val="auto"/>
              </w:rPr>
              <w:t>65 Grove Street</w:t>
            </w:r>
          </w:p>
        </w:tc>
        <w:tc>
          <w:tcPr>
            <w:tcW w:w="3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02472</w:t>
            </w:r>
          </w:p>
        </w:tc>
      </w:tr>
      <w:tr>
        <w:trPr>
          <w:trHeight w:val="212"/>
        </w:trPr>
        <w:tc>
          <w:tcPr>
            <w:tcW w:w="4420" w:type="dxa"/>
            <w:vAlign w:val="bottom"/>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Watertown, Massachusetts</w:t>
            </w:r>
          </w:p>
        </w:tc>
        <w:tc>
          <w:tcPr>
            <w:tcW w:w="3080" w:type="dxa"/>
            <w:vAlign w:val="bottom"/>
          </w:tcPr>
          <w:p>
            <w:pPr>
              <w:spacing w:after="0"/>
              <w:rPr>
                <w:sz w:val="18"/>
                <w:szCs w:val="18"/>
                <w:color w:val="auto"/>
              </w:rPr>
            </w:pPr>
          </w:p>
        </w:tc>
      </w:tr>
      <w:tr>
        <w:trPr>
          <w:trHeight w:val="214"/>
        </w:trPr>
        <w:tc>
          <w:tcPr>
            <w:tcW w:w="4420" w:type="dxa"/>
            <w:vAlign w:val="bottom"/>
          </w:tcPr>
          <w:p>
            <w:pPr>
              <w:jc w:val="center"/>
              <w:ind w:right="17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080" w:type="dxa"/>
            <w:vAlign w:val="bottom"/>
          </w:tcPr>
          <w:p>
            <w:pPr>
              <w:jc w:val="center"/>
              <w:ind w:left="17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06"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6"/>
          <w:szCs w:val="16"/>
          <w:b w:val="1"/>
          <w:bCs w:val="1"/>
          <w:color w:val="auto"/>
        </w:rPr>
        <w:t>Selecta Biosciences, Inc. 2016 Incentive Award Plan</w:t>
      </w:r>
    </w:p>
    <w:p>
      <w:pPr>
        <w:spacing w:after="0" w:line="28"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Selecta Biosciences, Inc. 2016 Employee Stock Purchase Plan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65 Grove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Watertown, Massachusetts 02472</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923-1400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New York Times Building</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620 Eighth Avenue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 York, New York 10018</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841-1000</w:t>
      </w:r>
    </w:p>
    <w:p>
      <w:pPr>
        <w:spacing w:after="0" w:line="203" w:lineRule="exact"/>
        <w:rPr>
          <w:sz w:val="24"/>
          <w:szCs w:val="24"/>
          <w:color w:val="auto"/>
        </w:rPr>
      </w:pPr>
    </w:p>
    <w:p>
      <w:pPr>
        <w:ind w:right="300" w:firstLine="324"/>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80" w:right="339" w:bottom="1440" w:gutter="0" w:footer="0" w:header="0"/>
        </w:sectPr>
      </w:pPr>
    </w:p>
    <w:p>
      <w:pPr>
        <w:spacing w:after="0" w:line="9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4" w:lineRule="exact"/>
        <w:rPr>
          <w:sz w:val="24"/>
          <w:szCs w:val="24"/>
          <w:color w:val="auto"/>
        </w:rPr>
      </w:pPr>
    </w:p>
    <w:p>
      <w:pPr>
        <w:sectPr>
          <w:pgSz w:w="11900" w:h="16838" w:orient="portrait"/>
          <w:cols w:equalWidth="0" w:num="4">
            <w:col w:w="3280" w:space="80"/>
            <w:col w:w="2300" w:space="720"/>
            <w:col w:w="1780" w:space="80"/>
            <w:col w:w="3000"/>
          </w:cols>
          <w:pgMar w:left="320" w:top="880" w:right="339" w:bottom="1440" w:gutter="0" w:footer="0" w:header="0"/>
          <w:type w:val="continuous"/>
        </w:sectPr>
      </w:pPr>
    </w:p>
    <w:p>
      <w:pPr>
        <w:ind w:right="260" w:firstLine="324"/>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for the purpose of registering an additional 1,236,229 shares of common stock, par value $0.0001 per share (the “Common Stock”), of Selecta Biosciences, Inc. (the “Registrant”) to be issued pursuant to the Registrant’s 2016 Employee Stock Purchase Plan and an additional 4,944,919 shares of the Registrant’s Common Stock to be issued pursuant to the Registrant’s 2016 Incentive Award Plan.</w:t>
      </w: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80"/>
          </w:cols>
          <w:pgMar w:left="320" w:top="873" w:right="39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by the Registrant with the Securities and Exchange Commission (the “Commission”), are incorporated herein by reference:</w:t>
      </w:r>
    </w:p>
    <w:p>
      <w:pPr>
        <w:spacing w:after="0" w:line="162" w:lineRule="exact"/>
        <w:rPr>
          <w:sz w:val="20"/>
          <w:szCs w:val="20"/>
          <w:color w:val="auto"/>
        </w:rPr>
      </w:pPr>
    </w:p>
    <w:p>
      <w:pPr>
        <w:ind w:left="660" w:right="1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definitive proxy statement on </w:t>
      </w:r>
      <w:hyperlink r:id="rId12">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2022 annual meeting of stockholders, filed with the Commission on May 3, 2022;</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3">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filed with the Commission on March 10, 2022, as amended on </w:t>
      </w:r>
      <w:hyperlink r:id="rId14">
        <w:r>
          <w:rPr>
            <w:rFonts w:ascii="Times New Roman" w:cs="Times New Roman" w:eastAsia="Times New Roman" w:hAnsi="Times New Roman"/>
            <w:sz w:val="18"/>
            <w:szCs w:val="18"/>
            <w:u w:val="single" w:color="auto"/>
            <w:color w:val="0000FF"/>
          </w:rPr>
          <w:t>April 28, 2022</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5">
        <w:r>
          <w:rPr>
            <w:rFonts w:ascii="Times New Roman" w:cs="Times New Roman" w:eastAsia="Times New Roman" w:hAnsi="Times New Roman"/>
            <w:sz w:val="18"/>
            <w:szCs w:val="18"/>
            <w:u w:val="single" w:color="auto"/>
            <w:color w:val="0000FF"/>
          </w:rPr>
          <w:t>January 10, 2022</w:t>
        </w:r>
      </w:hyperlink>
      <w:r>
        <w:rPr>
          <w:rFonts w:ascii="Times New Roman" w:cs="Times New Roman" w:eastAsia="Times New Roman" w:hAnsi="Times New Roman"/>
          <w:sz w:val="18"/>
          <w:szCs w:val="18"/>
          <w:color w:val="auto"/>
        </w:rPr>
        <w:t xml:space="preserve">, </w:t>
      </w:r>
      <w:hyperlink r:id="rId16">
        <w:r>
          <w:rPr>
            <w:rFonts w:ascii="Times New Roman" w:cs="Times New Roman" w:eastAsia="Times New Roman" w:hAnsi="Times New Roman"/>
            <w:sz w:val="18"/>
            <w:szCs w:val="18"/>
            <w:u w:val="single" w:color="auto"/>
            <w:color w:val="0000FF"/>
          </w:rPr>
          <w:t>February 10, 2022</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March 22, 2022</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April 6, 2022</w:t>
        </w:r>
      </w:hyperlink>
      <w:r>
        <w:rPr>
          <w:rFonts w:ascii="Times New Roman" w:cs="Times New Roman" w:eastAsia="Times New Roman" w:hAnsi="Times New Roman"/>
          <w:sz w:val="18"/>
          <w:szCs w:val="18"/>
          <w:color w:val="auto"/>
        </w:rPr>
        <w:t xml:space="preserve">, and </w:t>
      </w:r>
      <w:hyperlink r:id="rId19">
        <w:r>
          <w:rPr>
            <w:rFonts w:ascii="Times New Roman" w:cs="Times New Roman" w:eastAsia="Times New Roman" w:hAnsi="Times New Roman"/>
            <w:sz w:val="18"/>
            <w:szCs w:val="18"/>
            <w:u w:val="single" w:color="auto"/>
            <w:color w:val="0000FF"/>
          </w:rPr>
          <w:t>April 7, 2022</w:t>
        </w:r>
      </w:hyperlink>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left="660" w:right="460" w:hanging="328"/>
        <w:spacing w:after="0" w:line="312" w:lineRule="auto"/>
        <w:tabs>
          <w:tab w:leader="none" w:pos="65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Registrant’s Common Stock contained in </w:t>
      </w:r>
      <w:hyperlink r:id="rId20">
        <w:r>
          <w:rPr>
            <w:rFonts w:ascii="Times New Roman" w:cs="Times New Roman" w:eastAsia="Times New Roman" w:hAnsi="Times New Roman"/>
            <w:sz w:val="17"/>
            <w:szCs w:val="17"/>
            <w:u w:val="single" w:color="auto"/>
            <w:color w:val="0000FF"/>
          </w:rPr>
          <w:t>Exhibit 4.10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Registrant’s Annual Report on Form 10-K, filed with the Commission on March 10, 2022, and any amendment or report filed with the Commission for the purpose of updating such description; and</w:t>
      </w:r>
    </w:p>
    <w:p>
      <w:pPr>
        <w:spacing w:after="0" w:line="139" w:lineRule="exact"/>
        <w:rPr>
          <w:rFonts w:ascii="Times New Roman" w:cs="Times New Roman" w:eastAsia="Times New Roman" w:hAnsi="Times New Roman"/>
          <w:sz w:val="17"/>
          <w:szCs w:val="17"/>
          <w:color w:val="auto"/>
        </w:rPr>
      </w:pPr>
    </w:p>
    <w:p>
      <w:pPr>
        <w:ind w:left="660" w:right="380" w:hanging="328"/>
        <w:spacing w:after="0" w:line="282" w:lineRule="auto"/>
        <w:tabs>
          <w:tab w:leader="none" w:pos="655" w:val="left"/>
        </w:tabs>
        <w:numPr>
          <w:ilvl w:val="0"/>
          <w:numId w:val="1"/>
        </w:numPr>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auto"/>
          </w:rPr>
          <w:t xml:space="preserve">The Registrant’s Registration Statements on Form S-8 (File Nos. </w:t>
        </w:r>
        <w:r>
          <w:rPr>
            <w:rFonts w:ascii="Times New Roman" w:cs="Times New Roman" w:eastAsia="Times New Roman" w:hAnsi="Times New Roman"/>
            <w:sz w:val="18"/>
            <w:szCs w:val="18"/>
            <w:u w:val="single" w:color="auto"/>
            <w:color w:val="0000FF"/>
          </w:rPr>
          <w:t>333-212215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333-224109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333-228264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333-230501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333-2390975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333-</w:t>
        </w:r>
      </w:hyperlink>
      <w:hyperlink r:id="rId21">
        <w:r>
          <w:rPr>
            <w:rFonts w:ascii="Times New Roman" w:cs="Times New Roman" w:eastAsia="Times New Roman" w:hAnsi="Times New Roman"/>
            <w:sz w:val="18"/>
            <w:szCs w:val="18"/>
            <w:u w:val="single" w:color="auto"/>
            <w:color w:val="0000FF"/>
          </w:rPr>
          <w:t>256061</w:t>
        </w:r>
        <w:r>
          <w:rPr>
            <w:rFonts w:ascii="Times New Roman" w:cs="Times New Roman" w:eastAsia="Times New Roman" w:hAnsi="Times New Roman"/>
            <w:sz w:val="18"/>
            <w:szCs w:val="18"/>
            <w:color w:val="000000"/>
          </w:rPr>
          <w:t>) filed with the Securities and Exchange Commission, relating to the ESPP and the Incentive Plan.</w:t>
        </w:r>
      </w:hyperlink>
    </w:p>
    <w:p>
      <w:pPr>
        <w:spacing w:after="0" w:line="162" w:lineRule="exact"/>
        <w:rPr>
          <w:rFonts w:ascii="Times New Roman" w:cs="Times New Roman" w:eastAsia="Times New Roman" w:hAnsi="Times New Roman"/>
          <w:sz w:val="18"/>
          <w:szCs w:val="18"/>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Securities Exchange Act of 1934, as amended,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86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77"/>
        </w:trPr>
        <w:tc>
          <w:tcPr>
            <w:tcW w:w="360" w:type="dxa"/>
            <w:vAlign w:val="bottom"/>
            <w:gridSpan w:val="3"/>
          </w:tcPr>
          <w:p>
            <w:pPr>
              <w:ind w:left="20"/>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60" w:type="dxa"/>
            <w:vAlign w:val="bottom"/>
            <w:gridSpan w:val="13"/>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Restated Certificate of Incorporation of the Registrant (incorporated by reference to Exhibit 3.1 to the Registrant’s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7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Report on Form 8-K (File No. 001-37798) filed on June 29, 2016)</w:t>
              </w:r>
            </w:hyperlink>
          </w:p>
        </w:tc>
        <w:tc>
          <w:tcPr>
            <w:tcW w:w="404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360" w:type="dxa"/>
            <w:vAlign w:val="bottom"/>
            <w:gridSpan w:val="3"/>
          </w:tcPr>
          <w:p>
            <w:pPr>
              <w:ind w:left="20"/>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gridSpan w:val="13"/>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Amended and Restated By-laws of the Registrant (incorporated by reference to Exhibit 3.2 to the Registrant’s Current</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23">
              <w:r>
                <w:rPr>
                  <w:rFonts w:ascii="Times New Roman" w:cs="Times New Roman" w:eastAsia="Times New Roman" w:hAnsi="Times New Roman"/>
                  <w:sz w:val="18"/>
                  <w:szCs w:val="18"/>
                  <w:color w:val="0000FF"/>
                  <w:w w:val="99"/>
                </w:rPr>
                <w:t>Report on Form 8-K (File No. 001-37798) filed on September 30, 2021)</w:t>
              </w:r>
            </w:hyperlink>
          </w:p>
        </w:tc>
        <w:tc>
          <w:tcPr>
            <w:tcW w:w="3280" w:type="dxa"/>
            <w:vAlign w:val="bottom"/>
            <w:tcBorders>
              <w:top w:val="single" w:sz="8" w:color="0000FF"/>
            </w:tcBorders>
            <w:gridSpan w:val="6"/>
          </w:tcPr>
          <w:p>
            <w:pPr>
              <w:spacing w:after="0"/>
              <w:rPr>
                <w:sz w:val="13"/>
                <w:szCs w:val="13"/>
                <w:color w:val="auto"/>
              </w:rPr>
            </w:pPr>
          </w:p>
        </w:tc>
        <w:tc>
          <w:tcPr>
            <w:tcW w:w="360" w:type="dxa"/>
            <w:vAlign w:val="bottom"/>
            <w:gridSpan w:val="2"/>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5.</w:t>
            </w:r>
            <w:r>
              <w:rPr>
                <w:rFonts w:ascii="Times New Roman" w:cs="Times New Roman" w:eastAsia="Times New Roman" w:hAnsi="Times New Roman"/>
                <w:sz w:val="18"/>
                <w:szCs w:val="18"/>
                <w:u w:val="single" w:color="auto"/>
                <w:color w:val="0000FF"/>
                <w:w w:val="91"/>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Opinion of Covington &amp; Burling LLP, counsel to the Registrant</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23.</w:t>
            </w:r>
            <w:r>
              <w:rPr>
                <w:rFonts w:ascii="Times New Roman" w:cs="Times New Roman" w:eastAsia="Times New Roman" w:hAnsi="Times New Roman"/>
                <w:sz w:val="18"/>
                <w:szCs w:val="18"/>
                <w:u w:val="single" w:color="auto"/>
                <w:color w:val="0000FF"/>
                <w:w w:val="91"/>
              </w:rPr>
              <w:t>1+</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2"/>
              </w:rPr>
              <w:t>23.</w:t>
            </w:r>
            <w:r>
              <w:rPr>
                <w:rFonts w:ascii="Times New Roman" w:cs="Times New Roman" w:eastAsia="Times New Roman" w:hAnsi="Times New Roman"/>
                <w:sz w:val="18"/>
                <w:szCs w:val="18"/>
                <w:u w:val="single" w:color="auto"/>
                <w:color w:val="0000FF"/>
                <w:w w:val="82"/>
              </w:rPr>
              <w:t>2</w:t>
            </w:r>
            <w:r>
              <w:rPr>
                <w:rFonts w:ascii="Times New Roman" w:cs="Times New Roman" w:eastAsia="Times New Roman" w:hAnsi="Times New Roman"/>
                <w:sz w:val="18"/>
                <w:szCs w:val="18"/>
                <w:color w:val="0000FF"/>
                <w:w w:val="82"/>
              </w:rPr>
              <w:t xml:space="preserve"> +</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Covington &amp; Burling LLP (included in Exhibit 5.1)</w:t>
            </w: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80" w:type="dxa"/>
            <w:vAlign w:val="bottom"/>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1"/>
              </w:rPr>
              <w:t>24.1+</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Power of attorney (included on signature pages below)</w:t>
            </w:r>
          </w:p>
        </w:tc>
      </w:tr>
      <w:tr>
        <w:trPr>
          <w:trHeight w:val="194"/>
        </w:trPr>
        <w:tc>
          <w:tcPr>
            <w:tcW w:w="360" w:type="dxa"/>
            <w:vAlign w:val="bottom"/>
            <w:gridSpan w:val="3"/>
          </w:tcPr>
          <w:p>
            <w:pPr>
              <w:ind w:left="20"/>
              <w:spacing w:after="0" w:line="194" w:lineRule="exact"/>
              <w:rPr>
                <w:rFonts w:ascii="Times New Roman" w:cs="Times New Roman" w:eastAsia="Times New Roman" w:hAnsi="Times New Roman"/>
                <w:sz w:val="18"/>
                <w:szCs w:val="18"/>
                <w:color w:val="0000FF"/>
                <w:w w:val="95"/>
              </w:rPr>
            </w:pPr>
            <w:hyperlink r:id="rId2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60" w:type="dxa"/>
            <w:vAlign w:val="bottom"/>
            <w:gridSpan w:val="13"/>
          </w:tcPr>
          <w:p>
            <w:pPr>
              <w:spacing w:after="0" w:line="194"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Selecta Biosciences, Inc. 2016 Incentive Award Plan (incorporated by reference to Exhibit 10.2 to the Registrant’s</w:t>
              </w:r>
            </w:hyperlink>
          </w:p>
        </w:tc>
      </w:tr>
      <w:tr>
        <w:trPr>
          <w:trHeight w:val="155"/>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Registration Statement on Form S-1 (Reg. No. 333-2111555) filed on June 8, 2016)</w:t>
              </w:r>
            </w:hyperlink>
          </w:p>
        </w:tc>
        <w:tc>
          <w:tcPr>
            <w:tcW w:w="640" w:type="dxa"/>
            <w:vAlign w:val="bottom"/>
            <w:gridSpan w:val="3"/>
          </w:tcPr>
          <w:p>
            <w:pPr>
              <w:spacing w:after="0"/>
              <w:rPr>
                <w:sz w:val="13"/>
                <w:szCs w:val="13"/>
                <w:color w:val="auto"/>
              </w:rPr>
            </w:pPr>
          </w:p>
        </w:tc>
      </w:tr>
      <w:tr>
        <w:trPr>
          <w:trHeight w:val="20"/>
        </w:trPr>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r>
      <w:tr>
        <w:trPr>
          <w:trHeight w:val="223"/>
        </w:trPr>
        <w:tc>
          <w:tcPr>
            <w:tcW w:w="360" w:type="dxa"/>
            <w:vAlign w:val="bottom"/>
            <w:gridSpan w:val="3"/>
          </w:tcPr>
          <w:p>
            <w:pPr>
              <w:ind w:left="20"/>
              <w:spacing w:after="0"/>
              <w:rPr>
                <w:rFonts w:ascii="Times New Roman" w:cs="Times New Roman" w:eastAsia="Times New Roman" w:hAnsi="Times New Roman"/>
                <w:sz w:val="18"/>
                <w:szCs w:val="18"/>
                <w:color w:val="0000FF"/>
                <w:w w:val="95"/>
              </w:rPr>
            </w:pPr>
            <w:hyperlink r:id="rId24">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2</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60" w:type="dxa"/>
            <w:vAlign w:val="bottom"/>
            <w:gridSpan w:val="13"/>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Selecta Biosciences, Inc. 2016 Employee Stock Purchase Plan (incorporated by reference to Exhibit 10.3 to the</w:t>
              </w:r>
            </w:hyperlink>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Registrant’s Registration Statement on Form S-1 (Reg. No. 333-211555) filed on June 8, 2016)</w:t>
              </w:r>
            </w:hyperlink>
          </w:p>
        </w:tc>
        <w:tc>
          <w:tcPr>
            <w:tcW w:w="840" w:type="dxa"/>
            <w:vAlign w:val="bottom"/>
            <w:gridSpan w:val="4"/>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107.</w:t>
            </w:r>
            <w:r>
              <w:rPr>
                <w:rFonts w:ascii="Times New Roman" w:cs="Times New Roman" w:eastAsia="Times New Roman" w:hAnsi="Times New Roman"/>
                <w:sz w:val="18"/>
                <w:szCs w:val="18"/>
                <w:u w:val="single" w:color="auto"/>
                <w:color w:val="0000FF"/>
                <w:w w:val="98"/>
              </w:rPr>
              <w:t>1+</w:t>
            </w: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2020" w:type="dxa"/>
            <w:vAlign w:val="bottom"/>
            <w:gridSpan w:val="5"/>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06" w:right="3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this 5th day of May, 2022.</w:t>
      </w:r>
    </w:p>
    <w:p>
      <w:pPr>
        <w:spacing w:after="0" w:line="2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297" w:lineRule="exact"/>
        <w:rPr>
          <w:sz w:val="20"/>
          <w:szCs w:val="20"/>
          <w:color w:val="auto"/>
        </w:rPr>
      </w:pPr>
    </w:p>
    <w:p>
      <w:pPr>
        <w:ind w:left="6460"/>
        <w:spacing w:after="0"/>
        <w:tabs>
          <w:tab w:leader="none" w:pos="6940" w:val="left"/>
        </w:tabs>
        <w:rPr>
          <w:sz w:val="20"/>
          <w:szCs w:val="20"/>
          <w:color w:val="auto"/>
        </w:rPr>
      </w:pPr>
      <w:r>
        <w:rPr>
          <w:rFonts w:ascii="Times New Roman" w:cs="Times New Roman" w:eastAsia="Times New Roman" w:hAnsi="Times New Roman"/>
          <w:sz w:val="18"/>
          <w:szCs w:val="18"/>
          <w:color w:val="auto"/>
        </w:rPr>
        <w:t>By:</w:t>
        <w:tab/>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72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Carsten Brunn, Ph.D.</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765" w:right="41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the undersigned officers and directors of Selecta Biosciences, Inc. (the “Company”), hereby severally constitute and appoint the Chief Executive Officer of the Company, who is currently Carsten Brunn, Ph.D., and the Chief Financial Officer of the Company, who is currently Kevin Tan,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8"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20" w:type="dxa"/>
            <w:vAlign w:val="bottom"/>
          </w:tcPr>
          <w:p>
            <w:pPr>
              <w:spacing w:after="0"/>
              <w:rPr>
                <w:sz w:val="17"/>
                <w:szCs w:val="17"/>
                <w:color w:val="auto"/>
              </w:rPr>
            </w:pPr>
          </w:p>
        </w:tc>
        <w:tc>
          <w:tcPr>
            <w:tcW w:w="5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920" w:type="dxa"/>
            <w:vAlign w:val="bottom"/>
          </w:tcPr>
          <w:p>
            <w:pPr>
              <w:spacing w:after="0"/>
              <w:rPr>
                <w:sz w:val="17"/>
                <w:szCs w:val="17"/>
                <w:color w:val="auto"/>
              </w:rPr>
            </w:pPr>
          </w:p>
        </w:tc>
        <w:tc>
          <w:tcPr>
            <w:tcW w:w="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0"/>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Carsten Brunn, Ph.D.</w:t>
            </w:r>
          </w:p>
        </w:tc>
        <w:tc>
          <w:tcPr>
            <w:tcW w:w="5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Carsten Brunn, Ph.D.</w:t>
            </w:r>
          </w:p>
        </w:tc>
        <w:tc>
          <w:tcPr>
            <w:tcW w:w="5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Kevin Tan</w:t>
            </w:r>
          </w:p>
        </w:tc>
        <w:tc>
          <w:tcPr>
            <w:tcW w:w="5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Kevin Tan</w:t>
            </w:r>
          </w:p>
        </w:tc>
        <w:tc>
          <w:tcPr>
            <w:tcW w:w="5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Göran A. Ando, M.D.</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Göran A. Ando, M.D.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Timothy C. Barabe</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C. Barabe</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Carrie S. Cox</w:t>
            </w:r>
          </w:p>
        </w:tc>
        <w:tc>
          <w:tcPr>
            <w:tcW w:w="5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Carrie S. Cox</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Nishan de Silva, M.D.</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Nishan de Silva, M.D.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Scott D. Myers</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Scott D. Myers</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Aymeric Sallin</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Aymeric Sallin</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Timothy Springer, Ph.D.</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Timothy Springer, Ph.D.</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95"/>
        </w:trPr>
        <w:tc>
          <w:tcPr>
            <w:tcW w:w="4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Patrick Zenner</w:t>
            </w:r>
          </w:p>
        </w:tc>
        <w:tc>
          <w:tcPr>
            <w:tcW w:w="5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Director</w:t>
            </w:r>
          </w:p>
        </w:tc>
        <w:tc>
          <w:tcPr>
            <w:tcW w:w="156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May 5, 2022</w:t>
            </w:r>
          </w:p>
        </w:tc>
      </w:tr>
      <w:tr>
        <w:trPr>
          <w:trHeight w:val="228"/>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Patrick Zenner</w:t>
            </w:r>
          </w:p>
        </w:tc>
        <w:tc>
          <w:tcPr>
            <w:tcW w:w="2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765" w:right="499" w:bottom="1440" w:gutter="0" w:footer="0" w:header="0"/>
        </w:sectPr>
      </w:pPr>
    </w:p>
    <w:bookmarkStart w:id="6" w:name="page7"/>
    <w:bookmarkEnd w:id="6"/>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Selecta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60" w:type="dxa"/>
            <w:vAlign w:val="bottom"/>
            <w:tcBorders>
              <w:top w:val="single" w:sz="8" w:color="auto"/>
              <w:left w:val="single" w:sz="8" w:color="auto"/>
              <w:right w:val="single" w:sz="8" w:color="auto"/>
            </w:tcBorders>
          </w:tcPr>
          <w:p>
            <w:pPr>
              <w:spacing w:after="0"/>
              <w:rPr>
                <w:sz w:val="16"/>
                <w:szCs w:val="16"/>
                <w:color w:val="auto"/>
              </w:rPr>
            </w:pPr>
          </w:p>
        </w:tc>
        <w:tc>
          <w:tcPr>
            <w:tcW w:w="2060" w:type="dxa"/>
            <w:vAlign w:val="bottom"/>
            <w:tcBorders>
              <w:top w:val="single" w:sz="8" w:color="auto"/>
              <w:right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3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4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Proposed</w:t>
            </w:r>
          </w:p>
        </w:tc>
        <w:tc>
          <w:tcPr>
            <w:tcW w:w="148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Proposed</w:t>
            </w:r>
          </w:p>
        </w:tc>
        <w:tc>
          <w:tcPr>
            <w:tcW w:w="1260" w:type="dxa"/>
            <w:vAlign w:val="bottom"/>
            <w:tcBorders>
              <w:top w:val="single" w:sz="8" w:color="auto"/>
              <w:right w:val="single" w:sz="8" w:color="auto"/>
            </w:tcBorders>
          </w:tcPr>
          <w:p>
            <w:pPr>
              <w:spacing w:after="0"/>
              <w:rPr>
                <w:sz w:val="16"/>
                <w:szCs w:val="16"/>
                <w:color w:val="auto"/>
              </w:rPr>
            </w:pPr>
          </w:p>
        </w:tc>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right w:val="single" w:sz="8" w:color="auto"/>
            </w:tcBorders>
          </w:tcPr>
          <w:p>
            <w:pPr>
              <w:spacing w:after="0"/>
              <w:rPr>
                <w:sz w:val="7"/>
                <w:szCs w:val="7"/>
                <w:color w:val="auto"/>
              </w:rPr>
            </w:pPr>
          </w:p>
        </w:tc>
        <w:tc>
          <w:tcPr>
            <w:tcW w:w="206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30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480" w:type="dxa"/>
            <w:vAlign w:val="bottom"/>
            <w:tcBorders>
              <w:right w:val="single" w:sz="8" w:color="auto"/>
            </w:tcBorders>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6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260" w:type="dxa"/>
            <w:vAlign w:val="bottom"/>
            <w:tcBorders>
              <w:left w:val="single" w:sz="8" w:color="auto"/>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Security Type</w:t>
            </w:r>
          </w:p>
        </w:tc>
        <w:tc>
          <w:tcPr>
            <w:tcW w:w="20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Security Class Title</w:t>
            </w:r>
          </w:p>
        </w:tc>
        <w:tc>
          <w:tcPr>
            <w:tcW w:w="126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to be</w:t>
            </w:r>
          </w:p>
        </w:tc>
        <w:tc>
          <w:tcPr>
            <w:tcW w:w="124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Fee Rate</w:t>
            </w:r>
          </w:p>
        </w:tc>
        <w:tc>
          <w:tcPr>
            <w:tcW w:w="140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Registration</w:t>
            </w:r>
          </w:p>
        </w:tc>
        <w:tc>
          <w:tcPr>
            <w:tcW w:w="0" w:type="dxa"/>
            <w:vAlign w:val="bottom"/>
          </w:tcPr>
          <w:p>
            <w:pPr>
              <w:spacing w:after="0"/>
              <w:rPr>
                <w:sz w:val="1"/>
                <w:szCs w:val="1"/>
                <w:color w:val="auto"/>
              </w:rPr>
            </w:pPr>
          </w:p>
        </w:tc>
      </w:tr>
      <w:tr>
        <w:trPr>
          <w:trHeight w:val="94"/>
        </w:trPr>
        <w:tc>
          <w:tcPr>
            <w:tcW w:w="1260" w:type="dxa"/>
            <w:vAlign w:val="bottom"/>
            <w:tcBorders>
              <w:left w:val="single" w:sz="8" w:color="auto"/>
              <w:right w:val="single" w:sz="8" w:color="auto"/>
            </w:tcBorders>
            <w:vMerge w:val="continue"/>
          </w:tcPr>
          <w:p>
            <w:pPr>
              <w:spacing w:after="0"/>
              <w:rPr>
                <w:sz w:val="8"/>
                <w:szCs w:val="8"/>
                <w:color w:val="auto"/>
              </w:rPr>
            </w:pPr>
          </w:p>
        </w:tc>
        <w:tc>
          <w:tcPr>
            <w:tcW w:w="206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0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26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Registered </w:t>
            </w:r>
            <w:r>
              <w:rPr>
                <w:rFonts w:ascii="Times New Roman" w:cs="Times New Roman" w:eastAsia="Times New Roman" w:hAnsi="Times New Roman"/>
                <w:sz w:val="18"/>
                <w:szCs w:val="18"/>
                <w:b w:val="1"/>
                <w:bCs w:val="1"/>
                <w:color w:val="auto"/>
                <w:vertAlign w:val="superscript"/>
              </w:rPr>
              <w:t>(1)</w:t>
            </w:r>
          </w:p>
        </w:tc>
        <w:tc>
          <w:tcPr>
            <w:tcW w:w="1240" w:type="dxa"/>
            <w:vAlign w:val="bottom"/>
            <w:tcBorders>
              <w:right w:val="single" w:sz="8" w:color="auto"/>
            </w:tcBorders>
            <w:vMerge w:val="continue"/>
          </w:tcPr>
          <w:p>
            <w:pPr>
              <w:spacing w:after="0"/>
              <w:rPr>
                <w:sz w:val="14"/>
                <w:szCs w:val="14"/>
                <w:color w:val="auto"/>
              </w:rPr>
            </w:pPr>
          </w:p>
        </w:tc>
        <w:tc>
          <w:tcPr>
            <w:tcW w:w="1480" w:type="dxa"/>
            <w:vAlign w:val="bottom"/>
            <w:tcBorders>
              <w:right w:val="single" w:sz="8" w:color="auto"/>
            </w:tcBorders>
            <w:vMerge w:val="continue"/>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62"/>
        </w:trPr>
        <w:tc>
          <w:tcPr>
            <w:tcW w:w="1260" w:type="dxa"/>
            <w:vAlign w:val="bottom"/>
            <w:tcBorders>
              <w:left w:val="single" w:sz="8" w:color="auto"/>
              <w:bottom w:val="single" w:sz="8" w:color="auto"/>
              <w:right w:val="single" w:sz="8" w:color="auto"/>
            </w:tcBorders>
          </w:tcPr>
          <w:p>
            <w:pPr>
              <w:spacing w:after="0"/>
              <w:rPr>
                <w:sz w:val="14"/>
                <w:szCs w:val="14"/>
                <w:color w:val="auto"/>
              </w:rPr>
            </w:pPr>
          </w:p>
        </w:tc>
        <w:tc>
          <w:tcPr>
            <w:tcW w:w="206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Per Share</w:t>
            </w:r>
          </w:p>
        </w:tc>
        <w:tc>
          <w:tcPr>
            <w:tcW w:w="148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260" w:type="dxa"/>
            <w:vAlign w:val="bottom"/>
            <w:tcBorders>
              <w:bottom w:val="single" w:sz="8" w:color="auto"/>
              <w:right w:val="single" w:sz="8" w:color="auto"/>
            </w:tcBorders>
          </w:tcPr>
          <w:p>
            <w:pPr>
              <w:spacing w:after="0"/>
              <w:rPr>
                <w:sz w:val="14"/>
                <w:szCs w:val="14"/>
                <w:color w:val="auto"/>
              </w:rPr>
            </w:pPr>
          </w:p>
        </w:tc>
        <w:tc>
          <w:tcPr>
            <w:tcW w:w="14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 xml:space="preserve">1,236,229 </w:t>
            </w:r>
            <w:r>
              <w:rPr>
                <w:rFonts w:ascii="Times New Roman" w:cs="Times New Roman" w:eastAsia="Times New Roman" w:hAnsi="Times New Roman"/>
                <w:sz w:val="22"/>
                <w:szCs w:val="22"/>
                <w:color w:val="auto"/>
                <w:vertAlign w:val="superscript"/>
              </w:rPr>
              <w:t>(2)</w:t>
            </w:r>
          </w:p>
        </w:tc>
        <w:tc>
          <w:tcPr>
            <w:tcW w:w="12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 xml:space="preserve">$0.7939 </w:t>
            </w:r>
            <w:r>
              <w:rPr>
                <w:rFonts w:ascii="Times New Roman" w:cs="Times New Roman" w:eastAsia="Times New Roman" w:hAnsi="Times New Roman"/>
                <w:sz w:val="22"/>
                <w:szCs w:val="22"/>
                <w:color w:val="auto"/>
                <w:vertAlign w:val="superscript"/>
              </w:rPr>
              <w:t>(3)</w:t>
            </w:r>
          </w:p>
        </w:tc>
        <w:tc>
          <w:tcPr>
            <w:tcW w:w="14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$981,442.21</w:t>
            </w:r>
          </w:p>
        </w:tc>
        <w:tc>
          <w:tcPr>
            <w:tcW w:w="12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$92.70 per</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$90.98</w:t>
            </w: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$1,000,000</w:t>
            </w: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Registrant’s 2016</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Employee Stock Purchase</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Equity</w:t>
            </w:r>
          </w:p>
        </w:tc>
        <w:tc>
          <w:tcPr>
            <w:tcW w:w="20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Common Stock, par value</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Rules 457(c)</w:t>
            </w:r>
          </w:p>
        </w:tc>
        <w:tc>
          <w:tcPr>
            <w:tcW w:w="13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 xml:space="preserve">4,944,919 </w:t>
            </w:r>
            <w:r>
              <w:rPr>
                <w:rFonts w:ascii="Times New Roman" w:cs="Times New Roman" w:eastAsia="Times New Roman" w:hAnsi="Times New Roman"/>
                <w:sz w:val="19"/>
                <w:szCs w:val="19"/>
                <w:color w:val="auto"/>
                <w:vertAlign w:val="superscript"/>
              </w:rPr>
              <w:t>(4)</w:t>
            </w:r>
          </w:p>
        </w:tc>
        <w:tc>
          <w:tcPr>
            <w:tcW w:w="12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color w:val="auto"/>
              </w:rPr>
              <w:t xml:space="preserve">$0.7939 </w:t>
            </w:r>
            <w:r>
              <w:rPr>
                <w:rFonts w:ascii="Times New Roman" w:cs="Times New Roman" w:eastAsia="Times New Roman" w:hAnsi="Times New Roman"/>
                <w:sz w:val="19"/>
                <w:szCs w:val="19"/>
                <w:color w:val="auto"/>
                <w:vertAlign w:val="superscript"/>
              </w:rPr>
              <w:t>(3)</w:t>
            </w:r>
          </w:p>
        </w:tc>
        <w:tc>
          <w:tcPr>
            <w:tcW w:w="14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$3,925,771.20</w:t>
            </w:r>
          </w:p>
        </w:tc>
        <w:tc>
          <w:tcPr>
            <w:tcW w:w="12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$92.70 per</w:t>
            </w:r>
          </w:p>
        </w:tc>
        <w:tc>
          <w:tcPr>
            <w:tcW w:w="14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$363.92</w:t>
            </w:r>
          </w:p>
        </w:tc>
        <w:tc>
          <w:tcPr>
            <w:tcW w:w="0" w:type="dxa"/>
            <w:vAlign w:val="bottom"/>
          </w:tcPr>
          <w:p>
            <w:pPr>
              <w:spacing w:after="0"/>
              <w:rPr>
                <w:sz w:val="1"/>
                <w:szCs w:val="1"/>
                <w:color w:val="auto"/>
              </w:rPr>
            </w:pPr>
          </w:p>
        </w:tc>
      </w:tr>
      <w:tr>
        <w:trPr>
          <w:trHeight w:val="225"/>
        </w:trPr>
        <w:tc>
          <w:tcPr>
            <w:tcW w:w="1260" w:type="dxa"/>
            <w:vAlign w:val="bottom"/>
            <w:tcBorders>
              <w:left w:val="single" w:sz="8" w:color="auto"/>
              <w:right w:val="single" w:sz="8" w:color="auto"/>
            </w:tcBorders>
          </w:tcPr>
          <w:p>
            <w:pPr>
              <w:spacing w:after="0"/>
              <w:rPr>
                <w:sz w:val="19"/>
                <w:szCs w:val="19"/>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 share, to be</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457(h)</w:t>
            </w:r>
          </w:p>
        </w:tc>
        <w:tc>
          <w:tcPr>
            <w:tcW w:w="13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4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right w:val="single" w:sz="8" w:color="auto"/>
            </w:tcBorders>
          </w:tcPr>
          <w:p>
            <w:pPr>
              <w:spacing w:after="0"/>
              <w:rPr>
                <w:sz w:val="16"/>
                <w:szCs w:val="16"/>
                <w:color w:val="auto"/>
              </w:rPr>
            </w:pPr>
          </w:p>
        </w:tc>
        <w:tc>
          <w:tcPr>
            <w:tcW w:w="20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issued under the</w:t>
            </w:r>
          </w:p>
        </w:tc>
        <w:tc>
          <w:tcPr>
            <w:tcW w:w="12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uto"/>
              <w:right w:val="single" w:sz="8" w:color="auto"/>
            </w:tcBorders>
          </w:tcPr>
          <w:p>
            <w:pPr>
              <w:spacing w:after="0"/>
              <w:rPr>
                <w:sz w:val="17"/>
                <w:szCs w:val="17"/>
                <w:color w:val="auto"/>
              </w:rPr>
            </w:pPr>
          </w:p>
        </w:tc>
        <w:tc>
          <w:tcPr>
            <w:tcW w:w="20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Registrant’s 2016 Incentive</w:t>
            </w:r>
          </w:p>
        </w:tc>
        <w:tc>
          <w:tcPr>
            <w:tcW w:w="12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60" w:type="dxa"/>
            <w:vAlign w:val="bottom"/>
            <w:tcBorders>
              <w:left w:val="single" w:sz="8" w:color="auto"/>
              <w:right w:val="single" w:sz="8" w:color="auto"/>
            </w:tcBorders>
          </w:tcPr>
          <w:p>
            <w:pPr>
              <w:spacing w:after="0"/>
              <w:rPr>
                <w:sz w:val="20"/>
                <w:szCs w:val="20"/>
                <w:color w:val="auto"/>
              </w:rPr>
            </w:pP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Award Plan</w:t>
            </w:r>
          </w:p>
        </w:tc>
        <w:tc>
          <w:tcPr>
            <w:tcW w:w="1260" w:type="dxa"/>
            <w:vAlign w:val="bottom"/>
            <w:tcBorders>
              <w:right w:val="single" w:sz="8" w:color="auto"/>
            </w:tcBorders>
          </w:tcPr>
          <w:p>
            <w:pPr>
              <w:spacing w:after="0"/>
              <w:rPr>
                <w:sz w:val="20"/>
                <w:szCs w:val="20"/>
                <w:color w:val="auto"/>
              </w:rPr>
            </w:pPr>
          </w:p>
        </w:tc>
        <w:tc>
          <w:tcPr>
            <w:tcW w:w="13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$4,907,213.41</w:t>
            </w: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$454.90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line="223" w:lineRule="exact"/>
              <w:rPr>
                <w:sz w:val="20"/>
                <w:szCs w:val="20"/>
                <w:color w:val="auto"/>
              </w:rPr>
            </w:pPr>
            <w:r>
              <w:rPr>
                <w:rFonts w:ascii="Times New Roman" w:cs="Times New Roman" w:eastAsia="Times New Roman" w:hAnsi="Times New Roman"/>
                <w:sz w:val="18"/>
                <w:szCs w:val="18"/>
                <w:color w:val="auto"/>
                <w:w w:val="94"/>
              </w:rPr>
              <w:t xml:space="preserve">Total Fee Offsets </w:t>
            </w:r>
            <w:r>
              <w:rPr>
                <w:rFonts w:ascii="Times New Roman" w:cs="Times New Roman" w:eastAsia="Times New Roman" w:hAnsi="Times New Roman"/>
                <w:sz w:val="23"/>
                <w:szCs w:val="23"/>
                <w:color w:val="auto"/>
                <w:w w:val="94"/>
                <w:vertAlign w:val="superscript"/>
              </w:rPr>
              <w:t>(5)</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Fee Due</w:t>
            </w:r>
          </w:p>
        </w:tc>
        <w:tc>
          <w:tcPr>
            <w:tcW w:w="13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$454.90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right="120" w:hanging="328"/>
        <w:spacing w:after="0" w:line="261"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(the “Securities Act”), this registration statement (this “Registration Statement”) shall be deemed to cover any additional securities that may from time to time be offered or issued under the Selecta Biosciences, Inc. 2016 Employee Stock Purchase Plan (“ESPP”) and the Selecta Biosciences, Inc. 2016 Incentive Award Plan (the “Incentive Plan”) to prevent dilution resulting from stock splits, stock dividends or similar transactions.</w:t>
      </w:r>
    </w:p>
    <w:p>
      <w:pPr>
        <w:spacing w:after="0" w:line="7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1,236,229 shares of the Registrant’s common stock, par value $0.0001 per share (the “Common Stock”) that may become issuable under the ESPP pursuant to its terms.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 of the Securities Act and based upon the average of the high and low prices of the Registrant’s Common Stock as reported on the Nasdaq Global Market on April 29, 2022.</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4,944,919 shares of Common Stock that may become issuable under the Incentive Plan pursuant to its terms.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have any fee offsets.</w:t>
      </w:r>
    </w:p>
    <w:p>
      <w:pPr>
        <w:sectPr>
          <w:pgSz w:w="11900" w:h="16838" w:orient="portrait"/>
          <w:cols w:equalWidth="0" w:num="1">
            <w:col w:w="11260"/>
          </w:cols>
          <w:pgMar w:left="320" w:top="765"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328295</wp:posOffset>
            </wp:positionV>
            <wp:extent cx="5134610"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extLst>
                    </a:blip>
                    <a:srcRect/>
                    <a:stretch>
                      <a:fillRect/>
                    </a:stretch>
                  </pic:blipFill>
                  <pic:spPr bwMode="auto">
                    <a:xfrm>
                      <a:off x="0" y="0"/>
                      <a:ext cx="513461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Selecta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 Grove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acted as counsel to Selecta Biosciences, Inc., a Delaware corporation (the “Company”), in connection with the registration by the Company under the Securities Act of 1933, as amended (the “Act”), of 6,181,148 shares of the Company’s common stock, par value $0.0001 per share (the “Shares”), issuable under the Company’s 2016 Incentive Award Plan (the “Incentive Plan”) and under the Company’s 2016 Employee Stock Purchase Plan (the “ESPP”), pursuant to the registration statement on Form S-8 being filed with the Securities and Exchange Commission on the date hereof (such registration statement is referred to herein as the “Registration Statement”).</w:t>
      </w:r>
    </w:p>
    <w:p>
      <w:pPr>
        <w:spacing w:after="0" w:line="21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203"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We have relied as to certain matters on information obtained from public officials, officers of the Company and other sources believed by us to be responsible.</w:t>
      </w:r>
    </w:p>
    <w:p>
      <w:pPr>
        <w:spacing w:after="0" w:line="18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authorized and, when issued and paid for in accordance with the terms of the Company’s Restated Certificate of Incorporation, the Incentive Plan and the ESPP and any individual agreements relating to such Shares, will be validly issued, fully paid and nonassessable.</w:t>
      </w:r>
    </w:p>
    <w:p>
      <w:pPr>
        <w:spacing w:after="0" w:line="20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are members of the bar of the State of New York. We do not express any opinion herein on any laws other than the General Corporation Law of the State of Delaware and reported judicial decisions interpreting such law.</w:t>
      </w:r>
    </w:p>
    <w:p>
      <w:pPr>
        <w:spacing w:after="0" w:line="18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In giving such consent, we do not thereby admit that we are in the category of persons whose consent is required under Section 7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Covington &amp; Burling LLP</w:t>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pertaining to the 2016 Incentive Award Plan and the 2016 Employee Stock Purchase Plan of Selecta Biosciences, Inc. of our report dated March 10, 2022, with respect to the consolidated financial statements of Selecta Biosciences, Inc. included in its Annual Report (Form 10-K) for the year ended December 31, 2021, filed with the Securities and Exchange Commission.</w:t>
      </w:r>
    </w:p>
    <w:p>
      <w:pPr>
        <w:spacing w:after="0" w:line="200" w:lineRule="exact"/>
        <w:rPr>
          <w:sz w:val="20"/>
          <w:szCs w:val="20"/>
          <w:color w:val="auto"/>
        </w:rPr>
      </w:pPr>
    </w:p>
    <w:p>
      <w:pPr>
        <w:spacing w:after="0" w:line="322"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5, 2022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jpeg"/><Relationship Id="rId12" Type="http://schemas.openxmlformats.org/officeDocument/2006/relationships/hyperlink" Target="http://www.sec.gov/Archives/edgar/data/1453687/000145368722000075/selectabiosciences_defr14a.htm" TargetMode="External"/><Relationship Id="rId13" Type="http://schemas.openxmlformats.org/officeDocument/2006/relationships/hyperlink" Target="http://www.sec.gov/ix?doc=/Archives/edgar/data/1453687/000145368722000051/selb-20211231.htm" TargetMode="External"/><Relationship Id="rId14" Type="http://schemas.openxmlformats.org/officeDocument/2006/relationships/hyperlink" Target="http://www.sec.gov/ix?doc=/Archives/edgar/data/1453687/000145368722000069/selb-20211231.htm" TargetMode="External"/><Relationship Id="rId15" Type="http://schemas.openxmlformats.org/officeDocument/2006/relationships/hyperlink" Target="http://www.sec.gov/ix?doc=/Archives/edgar/data/1453687/000114036122001019/brhc10032669_8k.htm" TargetMode="External"/><Relationship Id="rId16" Type="http://schemas.openxmlformats.org/officeDocument/2006/relationships/hyperlink" Target="http://www.sec.gov/ix?doc=/Archives/edgar/data/1453687/000145368722000039/selb-20220209.htm" TargetMode="External"/><Relationship Id="rId17" Type="http://schemas.openxmlformats.org/officeDocument/2006/relationships/hyperlink" Target="http://www.sec.gov/ix?doc=/Archives/edgar/data/1453687/000145368722000053/selb-20220321.htm" TargetMode="External"/><Relationship Id="rId18" Type="http://schemas.openxmlformats.org/officeDocument/2006/relationships/hyperlink" Target="http://www.sec.gov/ix?doc=/Archives/edgar/data/1453687/000119312522097460/d311981d8k.htm" TargetMode="External"/><Relationship Id="rId19" Type="http://schemas.openxmlformats.org/officeDocument/2006/relationships/hyperlink" Target="http://www.sec.gov/ix?doc=/Archives/edgar/data/1453687/000119312522098074/d535347d8k.htm" TargetMode="External"/><Relationship Id="rId20" Type="http://schemas.openxmlformats.org/officeDocument/2006/relationships/hyperlink" Target="http://www.sec.gov/Archives/edgar/data/1453687/000145368722000051/exhibit410_12312021.htm" TargetMode="External"/><Relationship Id="rId21" Type="http://schemas.openxmlformats.org/officeDocument/2006/relationships/hyperlink" Target="http://www.sec.gov/Archives/edgar/data/1453687/000145368721000070/selectabiosciences_s8-2021.htm" TargetMode="External"/><Relationship Id="rId22" Type="http://schemas.openxmlformats.org/officeDocument/2006/relationships/hyperlink" Target="http://www.sec.gov/Archives/edgar/data/1453687/000110465916129891/a16-14002_1ex3d1.htm" TargetMode="External"/><Relationship Id="rId23" Type="http://schemas.openxmlformats.org/officeDocument/2006/relationships/hyperlink" Target="http://www.sec.gov/Archives/edgar/data/1453687/000145368721000124/exhibit32_amendedandrestat.htm" TargetMode="External"/><Relationship Id="rId24" Type="http://schemas.openxmlformats.org/officeDocument/2006/relationships/hyperlink" Target="http://www.sec.gov/Archives/edgar/data/1453687/000104746916013718/a2228810z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2022-05-05T07:06:36Z</dcterms:created>
  <dcterms:modified xsi:type="dcterms:W3CDTF">2022-05-05T07:06:36Z</dcterms:modified>
</cp:coreProperties>
</file>