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1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54" w:lineRule="exact"/>
        <w:rPr>
          <w:sz w:val="24"/>
          <w:szCs w:val="24"/>
          <w:color w:val="auto"/>
        </w:rPr>
      </w:pPr>
    </w:p>
    <w:p>
      <w:pPr>
        <w:ind w:left="20"/>
        <w:spacing w:after="0" w:line="207" w:lineRule="exact"/>
        <w:tabs>
          <w:tab w:leader="none" w:pos="200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32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6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9" w:lineRule="exact"/>
        <w:rPr>
          <w:rFonts w:ascii="MS PGothic" w:cs="MS PGothic" w:eastAsia="MS PGothic" w:hAnsi="MS PGothic"/>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637540</wp:posOffset>
            </wp:positionV>
            <wp:extent cx="329184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2918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2025 Annual Meeting of Stockholders (the “Annual Meeting”) of Cartesian Therapeutics, Inc. (the “Company”) to be held on Friday, June 13, 2025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www.virtualshareholdermeeting.com/RNAC2025</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2025 Annual Meeting?” on page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Cartesian Therapeutics, Inc.</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April 28, 2025 and is first being mailed to stockholders on or about April 28,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Notice of 2025 Annual Meeting of Stockholders</w:t>
            </w: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380" w:type="dxa"/>
            <w:vAlign w:val="bottom"/>
            <w:gridSpan w:val="6"/>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Questions and Answers About the 2025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7"/>
          </w:tcPr>
          <w:p>
            <w:pPr>
              <w:spacing w:after="0"/>
              <w:rPr>
                <w:sz w:val="18"/>
                <w:szCs w:val="18"/>
                <w:color w:val="auto"/>
              </w:rPr>
            </w:pPr>
          </w:p>
        </w:tc>
        <w:tc>
          <w:tcPr>
            <w:tcW w:w="5600" w:type="dxa"/>
            <w:vAlign w:val="bottom"/>
            <w:gridSpan w:val="3"/>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3 Ratification of Appointment of Independent Registered Public Accounting Firm</w:t>
            </w:r>
          </w:p>
        </w:tc>
        <w:tc>
          <w:tcPr>
            <w:tcW w:w="3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w:t>
            </w:r>
          </w:p>
        </w:tc>
        <w:tc>
          <w:tcPr>
            <w:tcW w:w="766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2"/>
          </w:tcPr>
          <w:p>
            <w:pPr>
              <w:spacing w:after="0"/>
              <w:rPr>
                <w:sz w:val="18"/>
                <w:szCs w:val="18"/>
                <w:color w:val="auto"/>
              </w:rPr>
            </w:pPr>
          </w:p>
        </w:tc>
        <w:tc>
          <w:tcPr>
            <w:tcW w:w="56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Certain Relationships</w:t>
            </w:r>
          </w:p>
        </w:tc>
        <w:tc>
          <w:tcPr>
            <w:tcW w:w="3320" w:type="dxa"/>
            <w:vAlign w:val="bottom"/>
            <w:tcBorders>
              <w:top w:val="single" w:sz="8" w:color="0000FF"/>
            </w:tcBorders>
            <w:gridSpan w:val="10"/>
          </w:tcPr>
          <w:p>
            <w:pPr>
              <w:spacing w:after="0"/>
              <w:rPr>
                <w:sz w:val="18"/>
                <w:szCs w:val="18"/>
                <w:color w:val="auto"/>
              </w:rPr>
            </w:pPr>
          </w:p>
        </w:tc>
        <w:tc>
          <w:tcPr>
            <w:tcW w:w="59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6"/>
          </w:tcPr>
          <w:p>
            <w:pPr>
              <w:spacing w:after="0"/>
              <w:rPr>
                <w:sz w:val="18"/>
                <w:szCs w:val="18"/>
                <w:color w:val="auto"/>
              </w:rPr>
            </w:pPr>
          </w:p>
        </w:tc>
        <w:tc>
          <w:tcPr>
            <w:tcW w:w="912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Cartesian Therapeutics, Inc.’s Annual Report on Form 10-K</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582930</wp:posOffset>
            </wp:positionV>
            <wp:extent cx="329184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13, 2025</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The Annual Meeting of Stockholders (the “Annual Meeting”) of Cartesian Therapeutics, Inc., a Delaware corporation (the “Company”), will be held at</w:t>
      </w:r>
    </w:p>
    <w:p>
      <w:pPr>
        <w:spacing w:after="0" w:line="39"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13, 2025, by virtual meeting online at </w:t>
      </w:r>
      <w:r>
        <w:rPr>
          <w:rFonts w:ascii="Times New Roman" w:cs="Times New Roman" w:eastAsia="Times New Roman" w:hAnsi="Times New Roman"/>
          <w:sz w:val="18"/>
          <w:szCs w:val="18"/>
          <w:i w:val="1"/>
          <w:iCs w:val="1"/>
          <w:color w:val="auto"/>
        </w:rPr>
        <w:t>www.virtualshareholdermeeting.com/RNAC2025</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4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M.B.A., Carsten Brunn, Ph.D., and Nishan de Silva, M.D., M.B.A. as Class III Directors to serve until the 2028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 and</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Holders of record of our common stock as of the close of business on April 14, 2025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StockholderRequests@cartesiantx.com, stating the purpose of the request and providing proof of ownership of our common stock. The Annual Meeting may be continued or adjourned from time to time without notice other than by announcement at the Annual Meeting.</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We encourage stockholders to submit their proxies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Frederick, Maryland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April 28, 2025</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582930</wp:posOffset>
            </wp:positionV>
            <wp:extent cx="205740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Cartesian Therapeutics, Inc. (the “Company”) of proxies to be voted at our Annual Meeting of Stockholders (the “Annual Meeting”) to be held on Friday, June 13, 2025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www.virtualshareholdermeeting.com/RNAC2025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14, 2025 (the “Record Date”), will be entitled to notice of and to vote at the Annual Meeting and any continuation, postponement, or adjournment of the Annual Meeting. As of the Record Date, there were 25,937,101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2024, (the “2024 Annual Report”) will be released on or about April 28, 2025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“Cartesian”, “Company”, “we”, “us”, and “our” refer to Cartesian Therapeutics,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13, 2025</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the 2024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3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M.B.A., Carsten Brunn, Ph.D., and Nishan de Silva, M.D., M.B.A. as Class III Directors to serve until the 2028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 and</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ectPr>
          <w:pgSz w:w="11900" w:h="16838" w:orient="portrait"/>
          <w:cols w:equalWidth="0" w:num="1">
            <w:col w:w="11160"/>
          </w:cols>
          <w:pgMar w:left="320" w:top="229" w:right="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Timothy C. Barabe, M.B.A., Carsten Brunn, Ph.D., and Nishan de Silva, M.D., M.B.A. as Class III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2025.</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Cartesian’s Board is soliciting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Cartesian is making this proxy statement and the 2024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stockholders electronically via the Internet. On or about April 28, 2025, we mailed to our stockholders an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14, 2025.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25,937,101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2025 Annual Meeting?</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Cartesian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www.virtualshareholdermeeting.com/RNAC2025</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Chairman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can vote at the Annual Meeting by visiting </w:t>
      </w:r>
      <w:r>
        <w:rPr>
          <w:rFonts w:ascii="Times New Roman" w:cs="Times New Roman" w:eastAsia="Times New Roman" w:hAnsi="Times New Roman"/>
          <w:sz w:val="18"/>
          <w:szCs w:val="18"/>
          <w:i w:val="1"/>
          <w:iCs w:val="1"/>
          <w:color w:val="auto"/>
        </w:rPr>
        <w:t>www.virtualshareholdermeeting.com/RNAC2025</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13, 2025.</w:t>
      </w:r>
    </w:p>
    <w:p>
      <w:pPr>
        <w:spacing w:after="0" w:line="6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12, 2025.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We encourage stockholders to submit their proxies via the Internet or telephone. If you submit your proxy, you may still decide to attend the Annual Meeting and vote your shares electronically.</w:t>
      </w:r>
    </w:p>
    <w:p>
      <w:pPr>
        <w:spacing w:after="0" w:line="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www.virtualshareholdermeeting.com/RNAC2025</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of the Company before your proxy is voted or you vote electronically at the virtual Annual Meeting.</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of this proxy statement, as well as with the description of each proposal in this proxy statement.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III Directors.</w:t>
      </w:r>
    </w:p>
    <w:p>
      <w:pPr>
        <w:spacing w:after="0" w:line="20" w:lineRule="exact"/>
        <w:rPr>
          <w:sz w:val="20"/>
          <w:szCs w:val="20"/>
          <w:color w:val="auto"/>
        </w:rPr>
      </w:pPr>
      <w:r>
        <w:rPr>
          <w:sz w:val="20"/>
          <w:szCs w:val="20"/>
          <w:color w:val="auto"/>
        </w:rPr>
        <w:br w:type="column"/>
      </w:r>
    </w:p>
    <w:p>
      <w:pPr>
        <w:ind w:right="300"/>
        <w:spacing w:after="0" w:line="237"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229"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2">
            <w:col w:w="7940" w:space="360"/>
            <w:col w:w="2940"/>
          </w:cols>
          <w:pgMar w:left="320" w:top="229" w:right="339" w:bottom="1440" w:gutter="0" w:footer="0" w:header="0"/>
          <w:type w:val="continuous"/>
        </w:sectPr>
      </w:pPr>
    </w:p>
    <w:p>
      <w:pPr>
        <w:spacing w:after="0" w:line="228"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8"/>
          <w:szCs w:val="18"/>
          <w:color w:val="auto"/>
        </w:rPr>
        <w:t>Proposal 3: Ratification of Appointment The affirmative vote of the holders of a majority of Independent Registered Public Accounting Firm in voting power of the votes cast.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2">
            <w:col w:w="7580" w:space="720"/>
            <w:col w:w="2940"/>
          </w:cols>
          <w:pgMar w:left="320" w:top="229" w:right="3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 “vote withheld,” in the case of the proposal regarding the election of directors, or an “abstention,” in the case of the second and third proposals,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second and third proposals.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and the non-binding, advisory vote on executive compensation. Broker non-votes count for purposes of determining whether a quorum is present.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Class III Directors have been nominated to be elected to hold office until the Annual Meeting of Stockholders to be held in 2028 and until such director’s successor is elected and qualified or until such director’s earlier death, resignation or removal.</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have nine directors on our Board, including three Class III Directors. Our current Class III Directors are Timothy C. Barabe, M.B.A., who has served on our Board since 2016, Carsten Brunn, Ph.D., who has served on our Board since 2018, and Nishan de Silva, M.D., M.B.A., who has served on our Board since 2021. Timothy C. Barabe, M.B.A., Carsten Brunn, Ph.D., and Nishan de Silva, M.D., M.B.A. were each nominated for election as a Class III Director at the Annual Meeting.</w:t>
      </w:r>
    </w:p>
    <w:p>
      <w:pPr>
        <w:spacing w:after="0" w:line="7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as amended (the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2026 Annual Meeting and whose subsequent term will expire at the 2029 Annual Meeting of Stockholders; Class II, whose current term will expire at the 2027 Annual Meeting and whose subsequent term will expire at the 2030 Annual Meeting of Stockholders; and Class III, whose current term expires at the Annual Meeting and whose subsequent term will expire at the 2028 Annual Meeting of Stockholders. The current Class I Directors are Michael Singer, M.D., Ph.D., Timothy A. Springer, Ph.D. and Patrick Zenner, M.B.A.; the current Class II Directors are Carrie S. Cox, Murat Kalayoglu, M.D., Ph.D., and Kemal Malik, M.B.B.S.; and the current Class III Directors are Timothy C. Barabe, M.B.A., Carsten Brunn, Ph.D. and Nishan de Silva, M.D., M.B.A.</w:t>
      </w:r>
    </w:p>
    <w:p>
      <w:pPr>
        <w:spacing w:after="0" w:line="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Charter and amended and restated by-laws (the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each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w:t>
      </w:r>
      <w:r>
        <w:rPr>
          <w:rFonts w:ascii="Times New Roman" w:cs="Times New Roman" w:eastAsia="Times New Roman" w:hAnsi="Times New Roman"/>
          <w:sz w:val="18"/>
          <w:szCs w:val="18"/>
          <w:b w:val="1"/>
          <w:bCs w:val="1"/>
          <w:i w:val="1"/>
          <w:iCs w:val="1"/>
          <w:color w:val="auto"/>
        </w:rPr>
        <w:t>Terms to Expire at 2028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have been nominated by the Board for election as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 M.B.A.</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Director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52</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8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 M.B.A.</w:t>
      </w:r>
      <w:r>
        <w:rPr>
          <w:sz w:val="20"/>
          <w:szCs w:val="20"/>
          <w:color w:val="auto"/>
        </w:rPr>
        <w:tab/>
      </w:r>
      <w:r>
        <w:rPr>
          <w:rFonts w:ascii="Times New Roman" w:cs="Times New Roman" w:eastAsia="Times New Roman" w:hAnsi="Times New Roman"/>
          <w:sz w:val="17"/>
          <w:szCs w:val="17"/>
          <w:i w:val="1"/>
          <w:iCs w:val="1"/>
          <w:color w:val="auto"/>
        </w:rPr>
        <w:t>Age 72</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M.B.A.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54</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52</w:t>
      </w:r>
    </w:p>
    <w:p>
      <w:pPr>
        <w:spacing w:after="0" w:line="2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Nishan de Silva, M.D., M.B.A. has served as a member of our Board 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finance, autoimmune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2026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Singer, M.D., Ph.D.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 M.B.A.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MICHAEL SINGER, M.D.,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Michael Singer, M.D., Ph.D. co-founded and served as Chief Scientific Officer, later Chief Strategy Officer, and Chairman of the Board of the private company then known as Cartesian Therapeutics, Inc.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 Dr. Singer received his B.S. in biology, M.Phil and Ph.D. in neuroscience, and M.D. from Yale University and completed internship and residency at Harvard. He is a registered U.S. patent agent. Dr. Singer’s extensive knowledge of our business and our product candidates contributed to the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77</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was a founder, investor and board member of Morphic Therapeutic until its acquisition by Eli Lilly &amp; Co. in 2024, and a founder, investor and former director of Scholar Rock, where he served as a director until May 2019. Dr. Springer is currently a founder and director of Tectonic Therapeutic since 2020 and Seismic Therapeutic since 2020. He is a founder and board member of the Institute for Protein Innovation since 2016 and trustee of the Marine Biological Laboratory since 2019 (both non-profit organizations). Dr. Springer is an elected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also received the Albert Lasker Basic Medical Research Award in 2022, and the Robert Koch Prize in 2023.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057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09"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 M.B.A.</w:t>
      </w:r>
      <w:r>
        <w:rPr>
          <w:sz w:val="20"/>
          <w:szCs w:val="20"/>
          <w:color w:val="auto"/>
        </w:rPr>
        <w:tab/>
      </w:r>
      <w:r>
        <w:rPr>
          <w:rFonts w:ascii="Times New Roman" w:cs="Times New Roman" w:eastAsia="Times New Roman" w:hAnsi="Times New Roman"/>
          <w:sz w:val="17"/>
          <w:szCs w:val="17"/>
          <w:i w:val="1"/>
          <w:iCs w:val="1"/>
          <w:color w:val="auto"/>
        </w:rPr>
        <w:t>Age 78</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Patrick Zenner, M.B.A.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2027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Cartesian</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Murat Kalayoglu, M.D.,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Kemal Malik, M.B.B.S.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67</w:t>
      </w:r>
    </w:p>
    <w:p>
      <w:pPr>
        <w:spacing w:after="0" w:line="13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MURAT KALAYOGLU, M.D., PH.D.</w:t>
      </w:r>
      <w:r>
        <w:rPr>
          <w:sz w:val="20"/>
          <w:szCs w:val="20"/>
          <w:color w:val="auto"/>
        </w:rPr>
        <w:tab/>
      </w:r>
      <w:r>
        <w:rPr>
          <w:rFonts w:ascii="Times New Roman" w:cs="Times New Roman" w:eastAsia="Times New Roman" w:hAnsi="Times New Roman"/>
          <w:sz w:val="17"/>
          <w:szCs w:val="17"/>
          <w:i w:val="1"/>
          <w:iCs w:val="1"/>
          <w:color w:val="auto"/>
        </w:rPr>
        <w:t>Age 52</w:t>
      </w:r>
    </w:p>
    <w:p>
      <w:pPr>
        <w:spacing w:after="0" w:line="13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Murat Kalayoglu, M.D., Ph.D. co-founded and served as Chief Executive Officer of Old Cartesian 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1"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KEMAL MALIK, M.B.B.S.</w:t>
      </w:r>
      <w:r>
        <w:rPr>
          <w:sz w:val="20"/>
          <w:szCs w:val="20"/>
          <w:color w:val="auto"/>
        </w:rPr>
        <w:tab/>
      </w:r>
      <w:r>
        <w:rPr>
          <w:rFonts w:ascii="Times New Roman" w:cs="Times New Roman" w:eastAsia="Times New Roman" w:hAnsi="Times New Roman"/>
          <w:sz w:val="17"/>
          <w:szCs w:val="17"/>
          <w:i w:val="1"/>
          <w:iCs w:val="1"/>
          <w:color w:val="auto"/>
        </w:rPr>
        <w:t>Age 62</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Kemal Malik, M.B.B.S. has served on our Board since July 2024, has served on the board of directors of Syncona Ltd. since June 2020. Dr. Malik 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extensive experience in the biotechnology and pharmaceutical industries, as well as his knowledge of cell therapies and autoimmune therapies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200" w:lineRule="exact"/>
        <w:rPr>
          <w:sz w:val="20"/>
          <w:szCs w:val="20"/>
          <w:color w:val="auto"/>
        </w:rPr>
      </w:pPr>
    </w:p>
    <w:p>
      <w:pPr>
        <w:spacing w:after="0" w:line="27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 as required pursuant to Section 14A of the Securities Exchange Act of 1934, as amended (the “Exchange Act”). At the 2022 Annual Meeting of Shareholders, our stockholders voted to hold advisory votes on an annual basis, and the Board subsequently adopted a resolution providing for such an annual vote.</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cell therapies for the treatment of autoimmune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jc w:val="both"/>
        <w:ind w:right="100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2025.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2024.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2026.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00" w:lineRule="exact"/>
        <w:rPr>
          <w:sz w:val="20"/>
          <w:szCs w:val="20"/>
          <w:color w:val="auto"/>
        </w:rPr>
      </w:pPr>
    </w:p>
    <w:p>
      <w:pPr>
        <w:spacing w:after="0" w:line="2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Cartesian Therapeutics, Inc. The Audit Committee also considered whether the independent registered public accounting firm’s provision of certain other non-audit related services to the Company is compatible with maintaining such firm’s independence.</w:t>
      </w:r>
    </w:p>
    <w:p>
      <w:pPr>
        <w:spacing w:after="0" w:line="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2024.</w:t>
      </w:r>
    </w:p>
    <w:p>
      <w:pPr>
        <w:spacing w:after="0" w:line="200" w:lineRule="exact"/>
        <w:rPr>
          <w:sz w:val="20"/>
          <w:szCs w:val="20"/>
          <w:color w:val="auto"/>
        </w:rPr>
      </w:pPr>
    </w:p>
    <w:p>
      <w:pPr>
        <w:spacing w:after="0" w:line="24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5880"/>
        <w:spacing w:after="0"/>
        <w:rPr>
          <w:sz w:val="20"/>
          <w:szCs w:val="20"/>
          <w:color w:val="auto"/>
        </w:rPr>
      </w:pPr>
      <w:r>
        <w:rPr>
          <w:rFonts w:ascii="Times New Roman" w:cs="Times New Roman" w:eastAsia="Times New Roman" w:hAnsi="Times New Roman"/>
          <w:sz w:val="18"/>
          <w:szCs w:val="18"/>
          <w:color w:val="auto"/>
        </w:rPr>
        <w:t>DIRECTORS OF CARTESIAN THERAPEUTICS, INC.</w:t>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Timothy C. Barabe, M.B.A. (Chair)</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Patrick Zenner, M.B.A.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2,185,000</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28,325</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(4)</w:t>
            </w:r>
          </w:p>
        </w:tc>
        <w:tc>
          <w:tcPr>
            <w:tcW w:w="50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r>
      <w:tr>
        <w:trPr>
          <w:trHeight w:val="214"/>
        </w:trPr>
        <w:tc>
          <w:tcPr>
            <w:tcW w:w="6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989,195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2,354,425</w:t>
            </w: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180" w:hanging="328"/>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and the review of the interim consolidated financial statements.</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audit-related services that are normally provided in connection with registration statements.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2024 and 2023 were pre-approved by the Audit Committee.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Blaine Davis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Christopher Jewell,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Milos Miljkovic,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r>
        <w:trPr>
          <w:trHeight w:val="24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Emily English, Ph.D. </w:t>
            </w:r>
            <w:r>
              <w:rPr>
                <w:rFonts w:ascii="Times New Roman" w:cs="Times New Roman" w:eastAsia="Times New Roman" w:hAnsi="Times New Roman"/>
                <w:sz w:val="18"/>
                <w:szCs w:val="18"/>
                <w:color w:val="auto"/>
                <w:vertAlign w:val="superscript"/>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Operations Officer</w:t>
            </w:r>
          </w:p>
        </w:tc>
      </w:tr>
    </w:tbl>
    <w:p>
      <w:pPr>
        <w:spacing w:after="0" w:line="367" w:lineRule="exact"/>
        <w:rPr>
          <w:sz w:val="20"/>
          <w:szCs w:val="20"/>
          <w:color w:val="auto"/>
        </w:rPr>
      </w:pPr>
    </w:p>
    <w:p>
      <w:pPr>
        <w:ind w:left="440" w:hanging="108"/>
        <w:spacing w:after="0"/>
        <w:tabs>
          <w:tab w:leader="none" w:pos="4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biography on page </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auto"/>
        </w:rPr>
        <w:t xml:space="preserve"> of this proxy statement.</w:t>
      </w:r>
    </w:p>
    <w:p>
      <w:pPr>
        <w:spacing w:after="0" w:line="90" w:lineRule="exact"/>
        <w:rPr>
          <w:sz w:val="20"/>
          <w:szCs w:val="20"/>
          <w:color w:val="auto"/>
        </w:rPr>
      </w:pPr>
    </w:p>
    <w:p>
      <w:pPr>
        <w:ind w:right="100" w:firstLine="332"/>
        <w:spacing w:after="0" w:line="244" w:lineRule="auto"/>
        <w:tabs>
          <w:tab w:leader="none" w:pos="42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Blaine Davis has served as our Chief Financial Officer since November 2022. Prior to joining the 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89" w:lineRule="exact"/>
        <w:rPr>
          <w:sz w:val="20"/>
          <w:szCs w:val="20"/>
          <w:color w:val="auto"/>
        </w:rPr>
      </w:pPr>
    </w:p>
    <w:p>
      <w:pPr>
        <w:ind w:right="40" w:firstLine="332"/>
        <w:spacing w:after="0" w:line="244" w:lineRule="auto"/>
        <w:tabs>
          <w:tab w:leader="none" w:pos="427"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Metin Kurtoglu, M.D., Ph.D. has served as the Chief Technology Officer of the Company since March 2024, prior to which Dr. Kurtoglu served as the Company’s Chief Operating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 Dr. Kurtoglu is a medical oncologist board certified in internal medicine. He completed his residency and graduate training at the University of Miami, and clinical and research fellowship at the NCI / NIH.</w:t>
      </w:r>
    </w:p>
    <w:p>
      <w:pPr>
        <w:spacing w:after="0" w:line="89" w:lineRule="exact"/>
        <w:rPr>
          <w:sz w:val="20"/>
          <w:szCs w:val="20"/>
          <w:color w:val="auto"/>
        </w:rPr>
      </w:pPr>
    </w:p>
    <w:p>
      <w:pPr>
        <w:ind w:firstLine="332"/>
        <w:spacing w:after="0" w:line="261" w:lineRule="auto"/>
        <w:tabs>
          <w:tab w:leader="none" w:pos="412"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Christopher Jewell, Ph.D. has served as the Chief Scientific Officer of the Company since November 2023. 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 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6" w:lineRule="exact"/>
        <w:rPr>
          <w:sz w:val="20"/>
          <w:szCs w:val="20"/>
          <w:color w:val="auto"/>
        </w:rPr>
      </w:pPr>
    </w:p>
    <w:p>
      <w:pPr>
        <w:ind w:right="100" w:firstLine="332"/>
        <w:spacing w:after="0" w:line="243" w:lineRule="auto"/>
        <w:tabs>
          <w:tab w:leader="none" w:pos="41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Milos Miljkovic, M.D. has served as the Chief Medical Officer of the Company since November 2023. 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88" w:lineRule="exact"/>
        <w:rPr>
          <w:sz w:val="20"/>
          <w:szCs w:val="20"/>
          <w:color w:val="auto"/>
        </w:rPr>
      </w:pPr>
    </w:p>
    <w:p>
      <w:pPr>
        <w:ind w:right="60" w:firstLine="332"/>
        <w:spacing w:after="0" w:line="243" w:lineRule="auto"/>
        <w:tabs>
          <w:tab w:leader="none" w:pos="412"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Emily English, Ph.D. has served as the Chief Operations Officer since January 2025. Prior to serving in this role, she served as Senior Vice President, Head of Manufacturing Operations of the 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“Merger Agreement”) by and among the Company, Old Cartesian, and the merger subsidiary parties thereto, dated as of November 13, 2023, the Company previously agreed to appoint each of Dr. Jewell and Dr. Kurtoglu to their roles as Chief Scientific Officer and Chief Operating Officer, respectively. Other than pursuant to the Merger Agreement, there are no known arrangements or understandings between either of Dr. Jewell or Dr. Kurtoglu and any other person pursuant to which either of them were selected as an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www.cartesiantherapeutics.com, or by writing to our Secretary at our offices at 7495 New Horizon Way, Frederick, Maryland 21703. The information contained on our website, and in all references to our website within this proxy statement, shall not be deemed incorporated by reference in this proxy statement or in any other filing we make under Exchange 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nine members: Timothy C. Barabe, M.B.A., Carsten Brunn, Ph.D., Carrie S. Cox, Nishan de Silva, M.D., M.B.A., Murat Kalayoglu, M.D., Ph.D., Kemal Malik, M.B.B.S., Michael Singer, M.D., Ph.D., Timothy A. Springer, Ph.D. and Patrick Zenner, M.B.A.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an entity affiliated with Dr. Kalayoglu was granted a right to designate one individual (initially, Dr. Kalayoglu) to be appointed to the Board for so long as such entity, collectively with its affiliates, directly or indirectly, holds at least 15% of the then-outstanding shares of Common Stock (assuming for such purposes that the conversion of our Series A Non-Voting Convertible Preferred Stock, par value $0.0001 per share (“Series A Preferred Stock”) into Common Stock, without regard to the application of any beneficial ownership limitation on such conversion, has occurred). The automatic conversion of the majority of our Series A Preferred Stock into Common Stock (the “Automatic Conversion”) occurred on April 8,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08"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All of our directors, Class III director nominees, and our former director, Aymeric Sallin, other than Carsten Brunn, Ph.D. and Timothy A. Springer, Ph.D., qualify as “independent” in accordance with the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7495 New Horizon Way, Frederick, Maryland 21703.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Cartesian Therapeutics, Inc., 7495 New Horizon Way, Frederick, Maryland 21703.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08"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Cartesian.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Board currently includes one female member and two of our directors self-identify as members of a racial or ethnic minority group. Our nomination process and our Board’s approach to assessment and evaluation of our nominees support our commitment to diversity and inclusion.</w:t>
      </w:r>
    </w:p>
    <w:p>
      <w:pPr>
        <w:spacing w:after="0" w:line="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Cartesian evaluates the effectiveness of this policy through annual self-evaluations completed by the Board and each of its committees.</w:t>
      </w:r>
    </w:p>
    <w:p>
      <w:pPr>
        <w:spacing w:after="0" w:line="7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Cartesian’s culture and in holding management accountable for the creation and stewardship of that culture. The Board regularly receives updates from management related to the Company’s people and culture, including key statistics related to employee demographics and turnover, updates on key personnel additions or changes within the company’s individual departments, and substantive updates on the Company’s developing culture and company engagements. Additionally, the Board believes an engaged and empowered workforce contributes significantly to the creation of stockholder value.</w:t>
      </w:r>
    </w:p>
    <w:p>
      <w:pPr>
        <w:spacing w:after="0" w:line="7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were twenty-six meetings of the Board during the fiscal year ended December 31, 2024. Our independent directors also held regularly scheduled executive sessions. During the fiscal year ended December 31, 2024, each director attended at least 75% of the aggregate of (i) all meetings of the Board and (ii) all meetings of the committees on which the director served, in each case during the period in which he or she served as a director.</w:t>
      </w:r>
    </w:p>
    <w:p>
      <w:pPr>
        <w:spacing w:after="0" w:line="68"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Under our Corporate Governance Guidelines, which are available on the “Corporate Governance” section of the “Investors” page of our website at www.cartesiantherapeutics.com,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all three of our stockholder meetings held in 2024, including the 2024 Annual Meeting of Stockholders.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Science and Technology.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each of the Board committees and committee Chairs are set forth in the following chart.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Science and</w:t>
            </w:r>
          </w:p>
        </w:tc>
        <w:tc>
          <w:tcPr>
            <w:tcW w:w="0" w:type="dxa"/>
            <w:vAlign w:val="bottom"/>
          </w:tcPr>
          <w:p>
            <w:pPr>
              <w:spacing w:after="0"/>
              <w:rPr>
                <w:sz w:val="1"/>
                <w:szCs w:val="1"/>
                <w:color w:val="auto"/>
              </w:rPr>
            </w:pPr>
          </w:p>
        </w:tc>
      </w:tr>
      <w:tr>
        <w:trPr>
          <w:trHeight w:val="146"/>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201"/>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 M.B.A.</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3"/>
        </w:trPr>
        <w:tc>
          <w:tcPr>
            <w:tcW w:w="5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Murat Kalayoglu, M.D., Ph.D. </w:t>
            </w:r>
            <w:r>
              <w:rPr>
                <w:rFonts w:ascii="Times New Roman" w:cs="Times New Roman" w:eastAsia="Times New Roman" w:hAnsi="Times New Roman"/>
                <w:sz w:val="18"/>
                <w:szCs w:val="18"/>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Kemal Malik, M.B.B.S.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Singer, M.D.,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 M.B.A.</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hanging="42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de Silva resigned from the Science and Technology Committee and joined the Compensation Committee on March 27, 2025.</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Kalayoglu joined the Nominating and Corporate Governance Committee on March 27,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03"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13 of this proxy statement).</w:t>
      </w:r>
    </w:p>
    <w:p>
      <w:pPr>
        <w:spacing w:after="0" w:line="11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charter is available on the “Corporate Governance” section of the “Investors” page of our website at www.cartesiantherapeutics.com. The members of the Audit Committee are Timothy C. Barabe, M.B.A., Carrie S. Cox, Nishan de Silva, M.D., M.B.A, and Patrick Zenner, M.B.A. Mr. Barabe serves as the Chairman of the Audit Committee. Our Board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the Audit Committee met five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Chief Executive Officer compensation;</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7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2024,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including the Chief Executive Officer, and to receive input and advice. The Compensation Committee has considered the adviser independence factors required under SEC rules as they relate to Compensia and does not believe Compensia’s prior work in 2023 or work in 2024 raised a conflict of interest.</w:t>
      </w:r>
    </w:p>
    <w:p>
      <w:pPr>
        <w:spacing w:after="0" w:line="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Carrie S. Cox, Nishan de Silva, M.D., MBA, Kemal Malik, M.B.B.S., and Patrick Zenner, M.B.A. Carrie S. Cox serves as Chairman of the Compensation Committee. Our Board has determined that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32" w:lineRule="exact"/>
        <w:rPr>
          <w:sz w:val="20"/>
          <w:szCs w:val="20"/>
          <w:color w:val="auto"/>
        </w:rPr>
      </w:pPr>
      <w:r>
        <w:rPr>
          <w:rFonts w:ascii="Times New Roman" w:cs="Times New Roman" w:eastAsia="Times New Roman" w:hAnsi="Times New Roman"/>
          <w:sz w:val="18"/>
          <w:szCs w:val="18"/>
          <w:color w:val="auto"/>
        </w:rPr>
        <w:t>each of Ms. Cox, Dr. Malik, and Mr. Zenner and our former director and Compensation Committee member Aymeric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the Compensation Committee met seven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page of our website at www.cartesiantherapeutics.com. The members of the Nominating and Corporate Governance Committee are Timothy C. Barabe, M.B.A., Murat Kalayoglu, M.D., Ph.D., Michael Singer, M.D., Ph.D., and Patrick Zenner, M.B.A. Mr. Zenner serves as the Chairman of the Nominating and Corporate Governance Committee. Our Board has determined that each of Mr. Barabe, Dr. Kalayoglu, Dr. Singer, and Mr. Zenner is independent under the applicable Nasdaq rules.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the Nominating and Corporate Governance Committee met four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Science and Technology Committee of the Board does not maintain a charter in order to preserve maximum flexibility for its activities. Some of the activities undertaken by the Science and Technology Committee include:</w:t>
      </w:r>
    </w:p>
    <w:p>
      <w:pPr>
        <w:spacing w:after="0" w:line="54" w:lineRule="exact"/>
        <w:rPr>
          <w:sz w:val="20"/>
          <w:szCs w:val="20"/>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chemistry, manufacturing, and controls, and clinical departments;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opining on the strategy for the Company’s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was formed in March 2024. The members of the Science and Technology Committee are Murat Kalayoglu, M.D., Ph.D., Kemal Malik, M.B.B.S., Michael Singer, M.D., Ph.D., and Timothy A. Springer, Ph.D. Dr. Kalayoglu serves as the Chairman of the Science and Technology Committee.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the Science and Technology Committee met seven times.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2024. It also explains how we determined the material elements of compensation for our principal executive officer, our principal financial officer, and the two executive officers (other than our principal executive officer and principal financial officer) who were our most highly compensated currently serving executive officers for the year ended December 31, 2024, whom we refer to collectively as our “Named Executive Officers.” For 2024, our Named Executive Officers were:</w:t>
      </w:r>
    </w:p>
    <w:p>
      <w:pPr>
        <w:spacing w:after="0" w:line="9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our Chief Technology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Jewell, Ph.D., our Chief Scientific Officer.</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We are a clinical-stage biotechnology company developing cell therapies for the treatment of autoimmune diseases. Unlike DNA cell therapies, our cell therapy method degrades naturally over time without integrating into the cell’s genetic material. Therefore, our cell therapies are distinguished by their capacity to be dosed repeatedly like conventional drugs, administered in an outpatient setting, and given without pre-treatment chemotherapy required with many conventional cell therapies. In our Phase 2b clinical trial in patients with myasthenia gravis (“MG”) a chronic autoimmune disease that causes disabling muscle weakness and fatigue, we observed that our lead product candidate, Descartes-08, generated a deep and durable clinical benefit, with 83% of participants maintaining improvements in MG severity scales considered clinically meaningful by expert consensus at six months and sustained improvements in MG severity scales considered clinically meaningful by expert consensus at 12 months. Durability of response in MG is commonly measured over a period of 26 to 52 weeks, and maintenance of response over that period is considered durable.</w:t>
      </w:r>
      <w:r>
        <w:rPr>
          <w:rFonts w:ascii="Times New Roman" w:cs="Times New Roman" w:eastAsia="Times New Roman" w:hAnsi="Times New Roman"/>
          <w:sz w:val="18"/>
          <w:szCs w:val="18"/>
          <w:color w:val="231F20"/>
        </w:rPr>
        <w:t>.</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Business Highlights</w:t>
      </w:r>
    </w:p>
    <w:p>
      <w:pPr>
        <w:spacing w:after="0" w:line="121" w:lineRule="exact"/>
        <w:rPr>
          <w:sz w:val="20"/>
          <w:szCs w:val="20"/>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completed several Merger integration activities, including holding a successful Special Meeting of Stockholders in March 2024, (the “March 2024 Special Meeting”) at which stockholders approved the conversion of Series A Preferred Stock to Common Stock.</w:t>
      </w:r>
    </w:p>
    <w:p>
      <w:pPr>
        <w:spacing w:after="0" w:line="5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announced the establishment of a new, state-of-the-art, approximately 20,000 square foot cell therapy cGMP manufacturing facility in Frederick, Maryland. All material company operations were transitioned to this facility as of October 2024, and we have since expanded our occupied space in the building to include over 29,000 square feet as of December 31, 2024.</w:t>
      </w:r>
    </w:p>
    <w:p>
      <w:pPr>
        <w:spacing w:after="0" w:line="67"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announced that the FDA had granted Regenerative Medicine Advanced Therapy (“RMAT”) designation for our Descartes-08 product candidate for the treatment of MG. Receiving RMAT designation offers sponsor companies the benefits of the fast track and breakthrough therapy designation programs with the goal of expediting drug development. Subsequently, in September 2024, we announced that the FDA had granted Rare Pediatric Disease Designation to Descartes-08 for the treatment of juvenile dermatomyositis (“JDM”). Under the FDA’s Rare Pediatric Disease Designation and Voucher Program, if Descartes-08 is approved for marketing in JDM, Cartesian may qualify for a priority review voucher that can be redeemed to receive priority review of a subsequent marketing application for a different product.</w:t>
      </w:r>
    </w:p>
    <w:p>
      <w:pPr>
        <w:spacing w:after="0" w:line="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October and December 2024, we announced positive results from our Phase 2b trial of Descartes-08 in patients with generalized MG with deepening responses observed over time that were sustained through 12 months. We also announced the dosing of the first patient in our Phase 2 open-label clinical trial evaluating Descartes-08 in patients with systematic lupus erythematosus, and the dosing of the first patient in our first-in-human Phase 1 trial of Descartes-15 in patients with multiple myeloma.</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a private placement in public equity financing resulting in gross proceeds of $130 million. We then held a successful Special Meeting of Stockholders in September 2024, at which stockholders approved the conversion of Series B Non-Voting Convertible Preferred Stock, par value $0.0001 per share (“Series B Preferred Stock”), issued in the July 2024 financing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Executive Compensation Highlights</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took the following compensation actions for our Named Executive Officers for 2024:</w:t>
      </w:r>
    </w:p>
    <w:p>
      <w:pPr>
        <w:spacing w:after="0" w:line="79" w:lineRule="exact"/>
        <w:rPr>
          <w:sz w:val="20"/>
          <w:szCs w:val="20"/>
          <w:color w:val="auto"/>
        </w:rPr>
      </w:pPr>
    </w:p>
    <w:tbl>
      <w:tblPr>
        <w:tblLayout w:type="fixed"/>
        <w:tblInd w:w="70" w:type="dxa"/>
        <w:tblCellMar>
          <w:top w:w="0" w:type="dxa"/>
          <w:left w:w="0" w:type="dxa"/>
          <w:bottom w:w="0" w:type="dxa"/>
          <w:right w:w="0" w:type="dxa"/>
        </w:tblCellMar>
      </w:tblPr>
      <w:tr>
        <w:trPr>
          <w:trHeight w:val="151"/>
        </w:trPr>
        <w:tc>
          <w:tcPr>
            <w:tcW w:w="288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2024 Base Salary Increase from</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 Bonus</w:t>
            </w:r>
          </w:p>
        </w:tc>
        <w:tc>
          <w:tcPr>
            <w:tcW w:w="20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2024 Annual Time-Based Stock</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 Time-Based RSU</w:t>
            </w:r>
          </w:p>
        </w:tc>
        <w:tc>
          <w:tcPr>
            <w:tcW w:w="0" w:type="dxa"/>
            <w:vAlign w:val="bottom"/>
          </w:tcPr>
          <w:p>
            <w:pPr>
              <w:spacing w:after="0"/>
              <w:rPr>
                <w:sz w:val="1"/>
                <w:szCs w:val="1"/>
                <w:color w:val="auto"/>
              </w:rPr>
            </w:pPr>
          </w:p>
        </w:tc>
      </w:tr>
      <w:tr>
        <w:trPr>
          <w:trHeight w:val="68"/>
        </w:trPr>
        <w:tc>
          <w:tcPr>
            <w:tcW w:w="2880" w:type="dxa"/>
            <w:vAlign w:val="bottom"/>
            <w:tcBorders>
              <w:left w:val="single" w:sz="8" w:color="auto"/>
              <w:right w:val="single" w:sz="8" w:color="auto"/>
            </w:tcBorders>
            <w:vMerge w:val="continue"/>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080" w:type="dxa"/>
            <w:vAlign w:val="bottom"/>
            <w:tcBorders>
              <w:right w:val="single" w:sz="8" w:color="auto"/>
            </w:tcBorders>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880" w:type="dxa"/>
            <w:vAlign w:val="bottom"/>
            <w:tcBorders>
              <w:left w:val="single" w:sz="8" w:color="auto"/>
              <w:right w:val="single" w:sz="8" w:color="auto"/>
            </w:tcBorders>
            <w:vMerge w:val="continue"/>
          </w:tcPr>
          <w:p>
            <w:pPr>
              <w:spacing w:after="0"/>
              <w:rPr>
                <w:sz w:val="6"/>
                <w:szCs w:val="6"/>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 Percentage of Target Bonus</w:t>
            </w:r>
          </w:p>
        </w:tc>
        <w:tc>
          <w:tcPr>
            <w:tcW w:w="208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 of shares)</w:t>
            </w:r>
          </w:p>
        </w:tc>
        <w:tc>
          <w:tcPr>
            <w:tcW w:w="0" w:type="dxa"/>
            <w:vAlign w:val="bottom"/>
          </w:tcPr>
          <w:p>
            <w:pPr>
              <w:spacing w:after="0"/>
              <w:rPr>
                <w:sz w:val="1"/>
                <w:szCs w:val="1"/>
                <w:color w:val="auto"/>
              </w:rPr>
            </w:pPr>
          </w:p>
        </w:tc>
      </w:tr>
      <w:tr>
        <w:trPr>
          <w:trHeight w:val="112"/>
        </w:trPr>
        <w:tc>
          <w:tcPr>
            <w:tcW w:w="2880" w:type="dxa"/>
            <w:vAlign w:val="bottom"/>
            <w:tcBorders>
              <w:left w:val="single" w:sz="8" w:color="auto"/>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88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vMerge w:val="continue"/>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199,033</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155,136</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Blaine Davis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103,666</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80,800</w:t>
            </w:r>
          </w:p>
        </w:tc>
        <w:tc>
          <w:tcPr>
            <w:tcW w:w="0" w:type="dxa"/>
            <w:vAlign w:val="bottom"/>
          </w:tcPr>
          <w:p>
            <w:pPr>
              <w:spacing w:after="0"/>
              <w:rPr>
                <w:sz w:val="1"/>
                <w:szCs w:val="1"/>
                <w:color w:val="auto"/>
              </w:rPr>
            </w:pPr>
          </w:p>
        </w:tc>
      </w:tr>
      <w:tr>
        <w:trPr>
          <w:trHeight w:val="203"/>
        </w:trPr>
        <w:tc>
          <w:tcPr>
            <w:tcW w:w="2880" w:type="dxa"/>
            <w:vAlign w:val="bottom"/>
            <w:tcBorders>
              <w:left w:val="single" w:sz="8" w:color="auto"/>
              <w:bottom w:val="single" w:sz="8" w:color="auto"/>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65,499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51,033</w:t>
            </w: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Christopher Jewell, Ph.D. </w:t>
            </w:r>
            <w:r>
              <w:rPr>
                <w:rFonts w:ascii="Times New Roman" w:cs="Times New Roman" w:eastAsia="Times New Roman" w:hAnsi="Times New Roman"/>
                <w:sz w:val="18"/>
                <w:szCs w:val="18"/>
                <w:color w:val="auto"/>
                <w:vertAlign w:val="superscript"/>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33,265</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25,940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440" w:hanging="328"/>
        <w:spacing w:after="0" w:line="282" w:lineRule="auto"/>
        <w:tabs>
          <w:tab w:leader="none" w:pos="7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2024, the majority of the target total direct compensation of our CEO consisted of variable pay, including cash awarded under our annual bonus plan and long-term incentives in the form of equity awards for which value is likely to be variable. In particular, 84.9% of our CEO’s 2024 target total direct compensation was delivered in equity awards, which derive their value from potential increases in our stock price. Fixed pay, primarily consisting of base salary, made up only 8.8% of our CEO’s target total direct compensation in 2024, while variable pay, consisting of annual incentives in the form of an annual bonus program and long-term incentives in the form of equity awards, made up 91.2%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2024:</w:t>
      </w:r>
    </w:p>
    <w:p>
      <w:pPr>
        <w:spacing w:after="0" w:line="111"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258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Pay (2024)</w:t>
            </w:r>
          </w:p>
        </w:tc>
        <w:tc>
          <w:tcPr>
            <w:tcW w:w="21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9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$7,314,211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91.2%</w:t>
            </w:r>
          </w:p>
        </w:tc>
      </w:tr>
      <w:tr>
        <w:trPr>
          <w:trHeight w:val="196"/>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Blaine Davis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$3,971,412</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11.6%</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88.4%</w:t>
            </w:r>
          </w:p>
        </w:tc>
      </w:tr>
      <w:tr>
        <w:trPr>
          <w:trHeight w:val="203"/>
        </w:trPr>
        <w:tc>
          <w:tcPr>
            <w:tcW w:w="2580" w:type="dxa"/>
            <w:vAlign w:val="bottom"/>
            <w:tcBorders>
              <w:left w:val="single" w:sz="8" w:color="auto"/>
              <w:bottom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4"/>
                <w:szCs w:val="14"/>
                <w:color w:val="auto"/>
              </w:rPr>
              <w:t>Metin Kurtoglu, M.D., Ph.D.</w:t>
            </w:r>
            <w:r>
              <w:rPr>
                <w:rFonts w:ascii="Times New Roman" w:cs="Times New Roman" w:eastAsia="Times New Roman" w:hAnsi="Times New Roman"/>
                <w:sz w:val="18"/>
                <w:szCs w:val="18"/>
                <w:color w:val="auto"/>
                <w:vertAlign w:val="superscript"/>
              </w:rPr>
              <w:t>(1)</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Technology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$2,713,064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15.9%</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84.1%</w:t>
            </w:r>
          </w:p>
        </w:tc>
      </w:tr>
      <w:tr>
        <w:trPr>
          <w:trHeight w:val="196"/>
        </w:trPr>
        <w:tc>
          <w:tcPr>
            <w:tcW w:w="258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4"/>
                <w:szCs w:val="14"/>
                <w:color w:val="auto"/>
              </w:rPr>
              <w:t>Christopher Jewell, Ph.D.</w:t>
            </w:r>
            <w:r>
              <w:rPr>
                <w:rFonts w:ascii="Times New Roman" w:cs="Times New Roman" w:eastAsia="Times New Roman" w:hAnsi="Times New Roman"/>
                <w:sz w:val="18"/>
                <w:szCs w:val="18"/>
                <w:color w:val="auto"/>
                <w:vertAlign w:val="superscript"/>
              </w:rPr>
              <w:t>(2)</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$1,687,754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75.6%</w:t>
            </w:r>
          </w:p>
        </w:tc>
      </w:tr>
    </w:tbl>
    <w:p>
      <w:pPr>
        <w:spacing w:after="0" w:line="157" w:lineRule="exact"/>
        <w:rPr>
          <w:sz w:val="20"/>
          <w:szCs w:val="20"/>
          <w:color w:val="auto"/>
        </w:rPr>
      </w:pPr>
    </w:p>
    <w:p>
      <w:pPr>
        <w:ind w:left="660" w:right="440" w:hanging="328"/>
        <w:spacing w:after="0" w:line="282" w:lineRule="auto"/>
        <w:tabs>
          <w:tab w:leader="none" w:pos="7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13, 2023 we entered into the Merger Agreement, pursuant to which Sakura Merger Sub I, Inc., a Delaware corporation and wholly owned subsidiary of ours (“First Merger Sub”) merged with and into Old Cartesian, pursuant to which Old Cartesian was the surviving corporation and became a wholly owned subsidiary of ours (the “First Merger”). Immediately following the First Merger, Old Cartesian merged with and into Sakura Merger Sub II, LLC, a Delaware limited liability company and wholly owned subsidiary of ours (“Second Merger Sub”), pursuant to which Second Merger Sub was the surviving entity (the “Second Merger” and, together with the First Merger,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provides that, among other things, upon the consummation of the First Merger:</w:t>
      </w:r>
    </w:p>
    <w:p>
      <w:pPr>
        <w:spacing w:after="0" w:line="117" w:lineRule="exact"/>
        <w:rPr>
          <w:sz w:val="20"/>
          <w:szCs w:val="20"/>
          <w:color w:val="auto"/>
        </w:rPr>
      </w:pPr>
    </w:p>
    <w:p>
      <w:pPr>
        <w:jc w:val="both"/>
        <w:ind w:left="660" w:right="8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acquire shares of Common Stock (a “Company Stock Option”) and each restricted stock unit (“RSU”) award with respect to shares of Common Stock, in each case that was outstanding and unvested immediately prior to the Effective Time (as defined in the Merger Agreement), vested in full at the Effective Time;</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was canceled at the Effective Time, and in exchange therefor, former holders of such canceled Company Stock Options became entitled to receive (without interest), in consideration of the cancellation of such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9" w:lineRule="exact"/>
        <w:rPr>
          <w:sz w:val="20"/>
          <w:szCs w:val="20"/>
          <w:color w:val="auto"/>
        </w:rPr>
      </w:pPr>
    </w:p>
    <w:p>
      <w:pPr>
        <w:ind w:left="660" w:right="4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the impact of these provisions on awards held by our Named Executive Officers: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 Stock</w:t>
            </w:r>
          </w:p>
        </w:tc>
        <w:tc>
          <w:tcPr>
            <w:tcW w:w="146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Received for</w:t>
            </w:r>
          </w:p>
        </w:tc>
        <w:tc>
          <w:tcPr>
            <w:tcW w:w="1260" w:type="dxa"/>
            <w:vAlign w:val="bottom"/>
            <w:tcBorders>
              <w:top w:val="single" w:sz="8" w:color="auto"/>
              <w:right w:val="single" w:sz="8" w:color="auto"/>
            </w:tcBorders>
          </w:tcPr>
          <w:p>
            <w:pPr>
              <w:spacing w:after="0"/>
              <w:rPr>
                <w:sz w:val="18"/>
                <w:szCs w:val="18"/>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Options Subject to</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RSUs Subject to</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Company Stock</w:t>
            </w:r>
          </w:p>
        </w:tc>
        <w:tc>
          <w:tcPr>
            <w:tcW w:w="11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Canceled</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Cash Received</w:t>
            </w: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Accelerated</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Accelerated</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1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RSUs</w:t>
            </w:r>
          </w:p>
        </w:tc>
        <w:tc>
          <w:tcPr>
            <w:tcW w:w="15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Company Stock</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Canceled</w:t>
            </w:r>
          </w:p>
        </w:tc>
      </w:tr>
      <w:tr>
        <w:trPr>
          <w:trHeight w:val="238"/>
        </w:trPr>
        <w:tc>
          <w:tcPr>
            <w:tcW w:w="290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Canceled</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Canceled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2,154,651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521,125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5,569,100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521,125</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$1,309,750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$1,073,518</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$987,500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Metin Kurtoglu, M.D.,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Christopher Jewell, Ph.D.</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Cartesian Options and Adoption of Old Cartesian’s 2016 Stock Incentive Plan</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 and Jewell (a “Continuing Officer Option”) that was outstanding and unexercised immediately prior to the Effective Time, whether or not vested, was converted into an option to purchase Series A Preferred Stock. Pursuant to the Merger Agreement, we assumed the Cartesian Therapeutics, Inc. Amended and Restated 2016 Incentive Award Plan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86" w:lineRule="exact"/>
        <w:rPr>
          <w:sz w:val="20"/>
          <w:szCs w:val="20"/>
          <w:color w:val="auto"/>
        </w:rPr>
      </w:pPr>
    </w:p>
    <w:p>
      <w:pPr>
        <w:ind w:left="660" w:right="24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4" w:lineRule="exact"/>
        <w:rPr>
          <w:rFonts w:ascii="Times New Roman" w:cs="Times New Roman" w:eastAsia="Times New Roman" w:hAnsi="Times New Roman"/>
          <w:sz w:val="18"/>
          <w:szCs w:val="18"/>
          <w:color w:val="auto"/>
        </w:rPr>
      </w:pPr>
    </w:p>
    <w:p>
      <w:pPr>
        <w:ind w:left="660" w:right="40" w:hanging="328"/>
        <w:spacing w:after="0"/>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40" w:hanging="328"/>
        <w:spacing w:after="0" w:line="24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8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Following the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Merger, Drs. Kurtoglu and Jewell were granted Continuing Officer Options as summarized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30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 Exercise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Expiration</w:t>
            </w:r>
          </w:p>
        </w:tc>
      </w:tr>
      <w:tr>
        <w:trPr>
          <w:trHeight w:val="202"/>
        </w:trPr>
        <w:tc>
          <w:tcPr>
            <w:tcW w:w="3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21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16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0"/>
        </w:trPr>
        <w:tc>
          <w:tcPr>
            <w:tcW w:w="330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Options Exercisable</w:t>
            </w:r>
            <w:r>
              <w:rPr>
                <w:rFonts w:ascii="Times New Roman" w:cs="Times New Roman" w:eastAsia="Times New Roman" w:hAnsi="Times New Roman"/>
                <w:sz w:val="22"/>
                <w:szCs w:val="22"/>
                <w:b w:val="1"/>
                <w:bCs w:val="1"/>
                <w:color w:val="auto"/>
                <w:vertAlign w:val="superscript"/>
              </w:rPr>
              <w:t>(1)</w:t>
            </w:r>
          </w:p>
        </w:tc>
        <w:tc>
          <w:tcPr>
            <w:tcW w:w="216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Options Not Yet</w:t>
            </w:r>
          </w:p>
        </w:tc>
        <w:tc>
          <w:tcPr>
            <w:tcW w:w="168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79"/>
        </w:trPr>
        <w:tc>
          <w:tcPr>
            <w:tcW w:w="33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Exercisable</w:t>
            </w:r>
            <w:r>
              <w:rPr>
                <w:rFonts w:ascii="Times New Roman" w:cs="Times New Roman" w:eastAsia="Times New Roman" w:hAnsi="Times New Roman"/>
                <w:sz w:val="23"/>
                <w:szCs w:val="23"/>
                <w:b w:val="1"/>
                <w:bCs w:val="1"/>
                <w:color w:val="auto"/>
                <w:w w:val="95"/>
                <w:vertAlign w:val="superscript"/>
              </w:rPr>
              <w:t>(1)</w:t>
            </w:r>
          </w:p>
        </w:tc>
        <w:tc>
          <w:tcPr>
            <w:tcW w:w="16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2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Metin Kurtoglu, M.D., Ph.D.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213,820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11/6/2026</w:t>
            </w:r>
          </w:p>
        </w:tc>
      </w:tr>
      <w:tr>
        <w:trPr>
          <w:trHeight w:val="22"/>
        </w:trPr>
        <w:tc>
          <w:tcPr>
            <w:tcW w:w="330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14,254</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4/25/2031</w:t>
            </w:r>
          </w:p>
        </w:tc>
      </w:tr>
      <w:tr>
        <w:trPr>
          <w:trHeight w:val="22"/>
        </w:trPr>
        <w:tc>
          <w:tcPr>
            <w:tcW w:w="330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3,563</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10,691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2/29/2032</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Christopher Jewell, Ph.D.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84,638</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57,909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1/15/2033</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right="140" w:hanging="328"/>
        <w:spacing w:after="0" w:line="266" w:lineRule="auto"/>
        <w:tabs>
          <w:tab w:leader="none" w:pos="7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August 25, 2023, our Board approved a one-time cash bonus payment (each, a “Retention Bonus” and together, the “Retention Bonuses”) to certain of our then-current executive officers equal to a multiplier of that executive officer’s annual base salary for 2023, including Dr. Brunn (2x annual base salary) and Mr. Davis (2x annual base salary), provided that each such Retention Bonus recipient remains employed by us in good standing on March 31, 2024. In connection with the Merger, the Compensation Committee of the Board approved the acceleration of the payment of each Retention Bonus, each of which was paid shortly following the closing of the Merger, pursuant to retention bonus letters with each Retention Bonus recipient, provided that each Retention Bonus recipient was required to repay his Retention Bonus in the event that he or she ceased to provide services to the Company prior to June 30, 2024, unless the recipient’s termination was due to an involuntary termination of all of the recipient’s services by the Company without cause.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2024,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60" w:hanging="470"/>
        <w:spacing w:after="0" w:line="286"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195" w:lineRule="exact"/>
        <w:rPr>
          <w:rFonts w:ascii="Wingdings" w:cs="Wingdings" w:eastAsia="Wingdings" w:hAnsi="Wingdings"/>
          <w:sz w:val="18"/>
          <w:szCs w:val="18"/>
          <w:b w:val="1"/>
          <w:bCs w:val="1"/>
          <w:color w:val="auto"/>
          <w:highlight w:val="black"/>
        </w:rPr>
      </w:pPr>
    </w:p>
    <w:p>
      <w:pPr>
        <w:ind w:left="820" w:right="66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In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re-engaged Compensia as compensation consultant to assist with its responsibilities. Compensia performs no consulting or other services for the Company.</w:t>
      </w:r>
    </w:p>
    <w:p>
      <w:pPr>
        <w:spacing w:after="0" w:line="209" w:lineRule="exact"/>
        <w:rPr>
          <w:rFonts w:ascii="Wingdings" w:cs="Wingdings" w:eastAsia="Wingdings" w:hAnsi="Wingdings"/>
          <w:sz w:val="18"/>
          <w:szCs w:val="18"/>
          <w:b w:val="1"/>
          <w:bCs w:val="1"/>
          <w:color w:val="auto"/>
          <w:highlight w:val="black"/>
        </w:rPr>
      </w:pPr>
    </w:p>
    <w:p>
      <w:pPr>
        <w:ind w:left="820" w:right="42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Wingdings" w:cs="Wingdings" w:eastAsia="Wingdings" w:hAnsi="Wingdings"/>
          <w:sz w:val="18"/>
          <w:szCs w:val="18"/>
          <w:b w:val="1"/>
          <w:bCs w:val="1"/>
          <w:color w:val="auto"/>
          <w:highlight w:val="black"/>
        </w:rPr>
      </w:pPr>
    </w:p>
    <w:p>
      <w:pPr>
        <w:ind w:left="820" w:right="10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09" w:lineRule="exact"/>
        <w:rPr>
          <w:rFonts w:ascii="Wingdings" w:cs="Wingdings" w:eastAsia="Wingdings" w:hAnsi="Wingdings"/>
          <w:sz w:val="18"/>
          <w:szCs w:val="18"/>
          <w:b w:val="1"/>
          <w:bCs w:val="1"/>
          <w:color w:val="auto"/>
          <w:highlight w:val="black"/>
        </w:rPr>
      </w:pPr>
    </w:p>
    <w:p>
      <w:pPr>
        <w:ind w:left="820" w:right="42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09" w:lineRule="exact"/>
        <w:rPr>
          <w:rFonts w:ascii="Wingdings" w:cs="Wingdings" w:eastAsia="Wingdings" w:hAnsi="Wingdings"/>
          <w:sz w:val="18"/>
          <w:szCs w:val="18"/>
          <w:b w:val="1"/>
          <w:bCs w:val="1"/>
          <w:color w:val="auto"/>
          <w:highlight w:val="black"/>
        </w:rPr>
      </w:pPr>
    </w:p>
    <w:p>
      <w:pPr>
        <w:ind w:left="820" w:right="10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09" w:lineRule="exact"/>
        <w:rPr>
          <w:rFonts w:ascii="Wingdings" w:cs="Wingdings" w:eastAsia="Wingdings" w:hAnsi="Wingdings"/>
          <w:sz w:val="18"/>
          <w:szCs w:val="18"/>
          <w:b w:val="1"/>
          <w:bCs w:val="1"/>
          <w:color w:val="auto"/>
          <w:highlight w:val="black"/>
        </w:rPr>
      </w:pPr>
    </w:p>
    <w:p>
      <w:pPr>
        <w:ind w:left="820" w:right="320" w:hanging="470"/>
        <w:spacing w:after="0" w:line="232"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94" w:lineRule="exact"/>
        <w:rPr>
          <w:rFonts w:ascii="Wingdings" w:cs="Wingdings" w:eastAsia="Wingdings" w:hAnsi="Wingdings"/>
          <w:sz w:val="18"/>
          <w:szCs w:val="18"/>
          <w:b w:val="1"/>
          <w:bCs w:val="1"/>
          <w:color w:val="auto"/>
          <w:highlight w:val="black"/>
        </w:rPr>
      </w:pPr>
    </w:p>
    <w:p>
      <w:pPr>
        <w:ind w:left="82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Executive Clawback Policy – </w:t>
      </w:r>
      <w:r>
        <w:rPr>
          <w:rFonts w:ascii="Times New Roman" w:cs="Times New Roman" w:eastAsia="Times New Roman" w:hAnsi="Times New Roman"/>
          <w:sz w:val="18"/>
          <w:szCs w:val="18"/>
          <w:color w:val="auto"/>
        </w:rPr>
        <w:t>Effective as of October 2, 2023, we instituted a new executive clawback policy, compliant with new SEC rules,</w:t>
      </w:r>
    </w:p>
    <w:p>
      <w:pPr>
        <w:ind w:left="820" w:right="260" w:hanging="470"/>
        <w:spacing w:after="0" w:line="183" w:lineRule="auto"/>
        <w:tabs>
          <w:tab w:leader="none" w:pos="820" w:val="left"/>
        </w:tabs>
        <w:numPr>
          <w:ilvl w:val="0"/>
          <w:numId w:val="31"/>
        </w:numPr>
        <w:rPr>
          <w:rFonts w:ascii="Wingdings" w:cs="Wingdings" w:eastAsia="Wingdings" w:hAnsi="Wingdings"/>
          <w:sz w:val="31"/>
          <w:szCs w:val="31"/>
          <w:b w:val="1"/>
          <w:bCs w:val="1"/>
          <w:color w:val="auto"/>
          <w:highlight w:val="black"/>
          <w:vertAlign w:val="superscript"/>
        </w:rPr>
      </w:pPr>
      <w:r>
        <w:rPr>
          <w:rFonts w:ascii="Times New Roman" w:cs="Times New Roman" w:eastAsia="Times New Roman" w:hAnsi="Times New Roman"/>
          <w:sz w:val="16"/>
          <w:szCs w:val="16"/>
          <w:color w:val="auto"/>
        </w:rPr>
        <w:t>which allows the Board to recover any incentive awards from any executive officer in the event the Company is required to file a restatement of its financial reporting as a result of that executive officer’s fraud or misconduct.</w:t>
      </w:r>
    </w:p>
    <w:p>
      <w:pPr>
        <w:spacing w:after="0" w:line="99" w:lineRule="exact"/>
        <w:rPr>
          <w:rFonts w:ascii="Wingdings" w:cs="Wingdings" w:eastAsia="Wingdings" w:hAnsi="Wingdings"/>
          <w:sz w:val="31"/>
          <w:szCs w:val="31"/>
          <w:b w:val="1"/>
          <w:bCs w:val="1"/>
          <w:color w:val="auto"/>
          <w:highlight w:val="black"/>
          <w:vertAlign w:val="superscript"/>
        </w:rPr>
      </w:pPr>
    </w:p>
    <w:p>
      <w:pPr>
        <w:ind w:left="820" w:right="48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Wingdings" w:cs="Wingdings" w:eastAsia="Wingdings" w:hAnsi="Wingdings"/>
          <w:sz w:val="18"/>
          <w:szCs w:val="18"/>
          <w:b w:val="1"/>
          <w:bCs w:val="1"/>
          <w:color w:val="auto"/>
          <w:highlight w:val="black"/>
        </w:rPr>
      </w:pPr>
    </w:p>
    <w:p>
      <w:pPr>
        <w:ind w:left="820" w:right="26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Wingdings" w:cs="Wingdings" w:eastAsia="Wingdings" w:hAnsi="Wingdings"/>
          <w:sz w:val="18"/>
          <w:szCs w:val="18"/>
          <w:b w:val="1"/>
          <w:bCs w:val="1"/>
          <w:color w:val="auto"/>
          <w:highlight w:val="black"/>
        </w:rPr>
      </w:pPr>
    </w:p>
    <w:p>
      <w:pPr>
        <w:ind w:left="820" w:right="500" w:hanging="470"/>
        <w:spacing w:after="0" w:line="239" w:lineRule="auto"/>
        <w:tabs>
          <w:tab w:leader="none" w:pos="820" w:val="left"/>
        </w:tabs>
        <w:numPr>
          <w:ilvl w:val="0"/>
          <w:numId w:val="3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27" w:lineRule="auto"/>
        <w:tabs>
          <w:tab w:leader="none" w:pos="8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2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RSUs and performance-based RSU awards.</w:t>
      </w:r>
    </w:p>
    <w:p>
      <w:pPr>
        <w:spacing w:after="0" w:line="6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32"/>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ectPr>
          <w:pgSz w:w="11900" w:h="16838" w:orient="portrait"/>
          <w:cols w:equalWidth="0" w:num="1">
            <w:col w:w="11240"/>
          </w:cols>
          <w:pgMar w:left="320" w:top="229" w:right="339" w:bottom="92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2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page of our website at www.cartesiantherapeutics.com.</w:t>
      </w:r>
    </w:p>
    <w:p>
      <w:pPr>
        <w:spacing w:after="0" w:line="7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pacing w:after="0" w:line="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2024 included:</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and operational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2024, pursuant to this authority, the Compensation Committee re-engaged Compensia, a national compensation consulting firm, to provide information, analysis, and other assistance relating to our executive compensation program on an ongoing basis. The nature and scope of the services provided to the Compensation Committee by Compensia in 2024 were as follows:</w:t>
      </w:r>
    </w:p>
    <w:p>
      <w:pPr>
        <w:spacing w:after="0" w:line="6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2024, Compensia met with various executive officers to collect data and obtain management’s perspective on various executive compensation proposals.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Compensia has not provided any other services to us nor received any compensation other than with respect to the services described above.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2024,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Compensia recommended to the Compensation Committee the following peer group to consist of 20 publicly traded biotechnology companies, which the Compensation Committee subsequently approved. The selected companies had market capitalizations ranging from approximately $120 million to approximately $1.3 billion, with a median of approximately $347 million. The companies comprising the updated compensation peer group were as follows:</w:t>
      </w:r>
    </w:p>
    <w:p>
      <w:pPr>
        <w:spacing w:after="0" w:line="207" w:lineRule="exact"/>
        <w:rPr>
          <w:sz w:val="20"/>
          <w:szCs w:val="20"/>
          <w:color w:val="auto"/>
        </w:rPr>
      </w:pPr>
    </w:p>
    <w:tbl>
      <w:tblPr>
        <w:tblLayout w:type="fixed"/>
        <w:tblInd w:w="21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4D Molecular Therapeutics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Cogent Biosciences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MeiraGTx</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Adicet Bio</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Editas Medicine</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Precigen</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Advernum Biotechnologies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Immunic</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REGENXBIO</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Allogene Therapeutics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Inovio Pharmaceuticals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Replimune Group</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iTeos Therapeutics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Sana Biotechnology</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Cabaletta Bio</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Jasper Therapeutics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Viridian Therapeutics</w:t>
            </w:r>
          </w:p>
        </w:tc>
      </w:tr>
      <w:tr>
        <w:trPr>
          <w:trHeight w:val="32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Caribou Biosciences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Lineage Cell Therapeutics</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Voyager Therapeutics</w:t>
            </w:r>
          </w:p>
        </w:tc>
      </w:tr>
    </w:tbl>
    <w:p>
      <w:pPr>
        <w:spacing w:after="0" w:line="18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08" w:lineRule="exact"/>
        <w:rPr>
          <w:sz w:val="20"/>
          <w:szCs w:val="20"/>
          <w:color w:val="auto"/>
        </w:rPr>
      </w:pPr>
    </w:p>
    <w:p>
      <w:pPr>
        <w:ind w:right="260" w:firstLine="324"/>
        <w:spacing w:after="0" w:line="250"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2024,</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manufacturing and Merger integration, culture and</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engagement, and the Company’s financials, as well</w:t>
            </w:r>
          </w:p>
        </w:tc>
        <w:tc>
          <w:tcPr>
            <w:tcW w:w="37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incentivize our executive officers to achieve 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as management objectives).</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exceed performance objectives. For 2024, payouts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 corporate performance objectives were not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had discretion to determine payouts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based on overall achievement of the corporate</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goals as a group, taking into account</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overachievement on certain objectives, if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applicable. Payouts for individual performance</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objectives could range from 0% to an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Retention bonuses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Maintain a stable management team and retain key</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Designed to stabilize the executive leadership team</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talent through short-term market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and reduce the possibility of turnover. These non-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volatility and changes in corporate strategy.</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recurring retention bonuses awarded during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ended December 31, 2023 were subject to</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repayment in the event the award recipient</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resigned other than for “Good Reason” or was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earlier terminated by the Board of Directors prior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June 30, 2024.</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Time-based vesting</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requirements promote retention of highly-valued</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officers.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also provide retentive value to key employees.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2024 under each of these elements.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2024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2024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$624,000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$642,720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$402,500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r>
    </w:tbl>
    <w:p>
      <w:pPr>
        <w:spacing w:after="0" w:line="171" w:lineRule="exact"/>
        <w:rPr>
          <w:sz w:val="20"/>
          <w:szCs w:val="20"/>
          <w:color w:val="auto"/>
        </w:rPr>
      </w:pPr>
    </w:p>
    <w:p>
      <w:pPr>
        <w:ind w:left="660" w:right="120" w:hanging="328"/>
        <w:spacing w:after="0" w:line="282" w:lineRule="auto"/>
        <w:tabs>
          <w:tab w:leader="none" w:pos="7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Operating Officer on November 13, 2023. On March 28, 2024, Dr. Kurtoglu’s title was changed to Chief Technology Officer. Dr. Kurtoglu’s 2024 base salary went into effect on March 28, 2024.</w:t>
      </w:r>
    </w:p>
    <w:p>
      <w:pPr>
        <w:spacing w:after="0" w:line="53"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77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Jewell was appointed to serve as the Company’s Chief Scientific Officer on November 13, 2023. Dr. Jewell’s 2024 base salary went into effect on March 26, 2024. In 2024 Dr. Jewell’s salary was increased by 40% to bring his total compensation in line with market benchmarking.</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2024, the Compensation Committee determined to award cash bonus opportunities to our executive officers, including our Named Executive Officers, pursuant to the 2024 Bonus Plan. Under the 2024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Under the 2024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2024, the Compensation Committee did not exercise any such individual discretion in determining bonus payouts.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2024, the target annual cash bonus opportunities for each of our Named Executive Officers under the 2024 Bonus Plan, expressed as a percentage of his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5"/>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95"/>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$642,720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$353,500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$459,545</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$462,000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$184,800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$240,240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$228,800</w:t>
            </w: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$168,000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$218,400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right="120" w:hanging="328"/>
        <w:spacing w:after="0" w:line="282" w:lineRule="auto"/>
        <w:tabs>
          <w:tab w:leader="none" w:pos="7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Objectives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For purposes of the 2024 Bonus Plan, the Compensation Committee selected certain pre-specified advancements to developing our candidate pipeline and advancing that pipeline in the clinic, developments in our corporate strategy regarding manufacturing and Merger integration, and financial objectives regarding operation within budget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Performance Results and Bonus Decisions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determined that our actual achievement with respect to the corporate performance objectives under the 2024 Bonus Plan was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2024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corporate performance measures that factored into the Compensation Committee’s determination included: (i) pipeline development goals, including advancing our clinical programs for Descartes-08 in MG, Descartes-08 in systemic lupus erythematosus, and Descartes-15; (ii) corporate strategy including considerations on manufacturing, successful Merger integration, and strengthening the Company’s position and reputation among the investment community; and (iii) financial goals, including operating within budget.</w:t>
      </w:r>
    </w:p>
    <w:p>
      <w:pPr>
        <w:spacing w:after="0" w:line="7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130% level. Based on its review of our overall corporate performance, the Compensation Committee approved bonus payments as follows for our Named Executive Officers:</w:t>
      </w:r>
    </w:p>
    <w:p>
      <w:pPr>
        <w:spacing w:after="0" w:line="93" w:lineRule="exact"/>
        <w:rPr>
          <w:sz w:val="20"/>
          <w:szCs w:val="20"/>
          <w:color w:val="auto"/>
        </w:rPr>
      </w:pPr>
    </w:p>
    <w:tbl>
      <w:tblPr>
        <w:tblLayout w:type="fixed"/>
        <w:tblInd w:w="130" w:type="dxa"/>
        <w:tblCellMar>
          <w:top w:w="0" w:type="dxa"/>
          <w:left w:w="0" w:type="dxa"/>
          <w:bottom w:w="0" w:type="dxa"/>
          <w:right w:w="0" w:type="dxa"/>
        </w:tblCellMar>
      </w:tblPr>
      <w:tr>
        <w:trPr>
          <w:trHeight w:val="194"/>
        </w:trPr>
        <w:tc>
          <w:tcPr>
            <w:tcW w:w="3780" w:type="dxa"/>
            <w:vAlign w:val="bottom"/>
            <w:tcBorders>
              <w:top w:val="single" w:sz="8" w:color="auto"/>
              <w:left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86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Target</w:t>
            </w: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tcPr>
          <w:p>
            <w:pPr>
              <w:spacing w:after="0"/>
              <w:rPr>
                <w:sz w:val="8"/>
                <w:szCs w:val="8"/>
                <w:color w:val="auto"/>
              </w:rPr>
            </w:pPr>
          </w:p>
        </w:tc>
        <w:tc>
          <w:tcPr>
            <w:tcW w:w="16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Target Annual Cash</w:t>
            </w:r>
          </w:p>
        </w:tc>
        <w:tc>
          <w:tcPr>
            <w:tcW w:w="188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vMerge w:val="restart"/>
          </w:tcPr>
          <w:p>
            <w:pPr>
              <w:ind w:left="92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Annual Cash Bonus</w:t>
            </w:r>
          </w:p>
        </w:tc>
        <w:tc>
          <w:tcPr>
            <w:tcW w:w="0" w:type="dxa"/>
            <w:vAlign w:val="bottom"/>
          </w:tcPr>
          <w:p>
            <w:pPr>
              <w:spacing w:after="0"/>
              <w:rPr>
                <w:sz w:val="1"/>
                <w:szCs w:val="1"/>
                <w:color w:val="auto"/>
              </w:rPr>
            </w:pPr>
          </w:p>
        </w:tc>
      </w:tr>
      <w:tr>
        <w:trPr>
          <w:trHeight w:val="94"/>
        </w:trPr>
        <w:tc>
          <w:tcPr>
            <w:tcW w:w="3780" w:type="dxa"/>
            <w:vAlign w:val="bottom"/>
            <w:tcBorders>
              <w:left w:val="single" w:sz="8" w:color="auto"/>
              <w:right w:val="single" w:sz="8" w:color="auto"/>
            </w:tcBorders>
            <w:vMerge w:val="continue"/>
          </w:tcPr>
          <w:p>
            <w:pPr>
              <w:spacing w:after="0"/>
              <w:rPr>
                <w:sz w:val="8"/>
                <w:szCs w:val="8"/>
                <w:color w:val="auto"/>
              </w:rPr>
            </w:pPr>
          </w:p>
        </w:tc>
        <w:tc>
          <w:tcPr>
            <w:tcW w:w="16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8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Payment</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0" w:type="dxa"/>
            <w:vAlign w:val="bottom"/>
          </w:tcPr>
          <w:p>
            <w:pPr>
              <w:spacing w:after="0"/>
              <w:rPr>
                <w:sz w:val="1"/>
                <w:szCs w:val="1"/>
                <w:color w:val="auto"/>
              </w:rPr>
            </w:pPr>
          </w:p>
        </w:tc>
      </w:tr>
      <w:tr>
        <w:trPr>
          <w:trHeight w:val="130"/>
        </w:trPr>
        <w:tc>
          <w:tcPr>
            <w:tcW w:w="3780" w:type="dxa"/>
            <w:vAlign w:val="bottom"/>
            <w:tcBorders>
              <w:left w:val="single" w:sz="8" w:color="auto"/>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Objectives</w:t>
            </w:r>
          </w:p>
        </w:tc>
        <w:tc>
          <w:tcPr>
            <w:tcW w:w="186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$353,500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$353,500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$459,545</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$184,800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$184,800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$240,240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0" w:type="dxa"/>
            <w:vAlign w:val="bottom"/>
          </w:tcPr>
          <w:p>
            <w:pPr>
              <w:spacing w:after="0"/>
              <w:rPr>
                <w:sz w:val="1"/>
                <w:szCs w:val="1"/>
                <w:color w:val="auto"/>
              </w:rPr>
            </w:pP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$228,800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Christopher Jewell, Ph.D.</w:t>
            </w:r>
            <w:r>
              <w:rPr>
                <w:rFonts w:ascii="Times New Roman" w:cs="Times New Roman" w:eastAsia="Times New Roman" w:hAnsi="Times New Roman"/>
                <w:sz w:val="23"/>
                <w:szCs w:val="23"/>
                <w:color w:val="auto"/>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$168,000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$218,400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29" w:right="3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00" w:hanging="328"/>
        <w:spacing w:after="0" w:line="282" w:lineRule="auto"/>
        <w:tabs>
          <w:tab w:leader="none" w:pos="7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08"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Compensation Committee approved equity awards for our executive officers, including our Named Executive Officers, in recognition of our financial and operational results and each executive officer’s individual performance for 2023,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RSU awards that may be settled for shares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equity awards approved in December 2023 and granted to our Named Executive Officers in January 2024 were as follows:</w:t>
      </w:r>
    </w:p>
    <w:p>
      <w:pPr>
        <w:spacing w:after="0" w:line="124" w:lineRule="exact"/>
        <w:rPr>
          <w:sz w:val="20"/>
          <w:szCs w:val="20"/>
          <w:color w:val="auto"/>
        </w:rPr>
      </w:pPr>
    </w:p>
    <w:tbl>
      <w:tblPr>
        <w:tblLayout w:type="fixed"/>
        <w:tblInd w:w="190" w:type="dxa"/>
        <w:tblCellMar>
          <w:top w:w="0" w:type="dxa"/>
          <w:left w:w="0" w:type="dxa"/>
          <w:bottom w:w="0" w:type="dxa"/>
          <w:right w:w="0" w:type="dxa"/>
        </w:tblCellMar>
      </w:tblPr>
      <w:tr>
        <w:trPr>
          <w:trHeight w:val="207"/>
        </w:trPr>
        <w:tc>
          <w:tcPr>
            <w:tcW w:w="5820" w:type="dxa"/>
            <w:vAlign w:val="bottom"/>
            <w:tcBorders>
              <w:top w:val="single" w:sz="8" w:color="auto"/>
              <w:left w:val="single" w:sz="8" w:color="auto"/>
              <w:right w:val="single" w:sz="8" w:color="auto"/>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 Awards</w:t>
            </w:r>
          </w:p>
        </w:tc>
        <w:tc>
          <w:tcPr>
            <w:tcW w:w="0" w:type="dxa"/>
            <w:vAlign w:val="bottom"/>
          </w:tcPr>
          <w:p>
            <w:pPr>
              <w:spacing w:after="0"/>
              <w:rPr>
                <w:sz w:val="1"/>
                <w:szCs w:val="1"/>
                <w:color w:val="auto"/>
              </w:rPr>
            </w:pPr>
          </w:p>
        </w:tc>
      </w:tr>
      <w:tr>
        <w:trPr>
          <w:trHeight w:val="130"/>
        </w:trPr>
        <w:tc>
          <w:tcPr>
            <w:tcW w:w="5820" w:type="dxa"/>
            <w:vAlign w:val="bottom"/>
            <w:tcBorders>
              <w:left w:val="single" w:sz="8" w:color="auto"/>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08"/>
        </w:trPr>
        <w:tc>
          <w:tcPr>
            <w:tcW w:w="582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82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199,033</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155,136</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103,666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80,800</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65,499</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51,033</w:t>
            </w:r>
          </w:p>
        </w:tc>
        <w:tc>
          <w:tcPr>
            <w:tcW w:w="0" w:type="dxa"/>
            <w:vAlign w:val="bottom"/>
          </w:tcPr>
          <w:p>
            <w:pPr>
              <w:spacing w:after="0"/>
              <w:rPr>
                <w:sz w:val="1"/>
                <w:szCs w:val="1"/>
                <w:color w:val="auto"/>
              </w:rPr>
            </w:pPr>
          </w:p>
        </w:tc>
      </w:tr>
      <w:tr>
        <w:trPr>
          <w:trHeight w:val="250"/>
        </w:trPr>
        <w:tc>
          <w:tcPr>
            <w:tcW w:w="582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33,265</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25,940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00" w:hanging="328"/>
        <w:spacing w:after="0" w:line="282" w:lineRule="auto"/>
        <w:tabs>
          <w:tab w:leader="none" w:pos="7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to serve as the Company’s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to serve as the Company’s Chief Scientific Officer on November 13, 2023.</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2024 were subject to a time-based vesting requirement providing that these options are to vest as to 25% of the shares of our Common Stock subject to the option on the first anniversary of the date of grant and as to the remaining 75% of the total number of shares to vest in equal annual installments thereafter, assuming the continued service of the executive officers on each such vesting date.</w:t>
      </w:r>
    </w:p>
    <w:p>
      <w:pPr>
        <w:spacing w:after="0" w:line="7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2024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2024,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a flexible vacation policy, including unlimited paid time off and other paid holidays to all employees, including our executive officers. We do not offer our employees a non-qualified deferred compensation plan or pension plan.</w:t>
      </w:r>
    </w:p>
    <w:p>
      <w:pPr>
        <w:spacing w:after="0" w:line="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08"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2024, none of the Named Executive Officers received perquisites or other personal benefits that were, in the aggregate, $10,000 or more for each Named Executive Officer.</w:t>
      </w:r>
    </w:p>
    <w:p>
      <w:pPr>
        <w:spacing w:after="0" w:line="8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Effective as of October 2, 2023, the Compensation Committee adopted a new executive compensation recovery policy (the “Clawback Policy”). Under the Clawback Policy, the Board, in its limited discretion, or, if so designated by the Board,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9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 we operate under the requirements of Section 304 of the Sarbanes-Oxley Act of 2002, as applicable to all public companies, under which our Board may seek reimbursement from our CEO and CFO if, as a result of their misconduct, we restate our financial results due to our material noncompliance with any financial reporting requirements under the federal securities laws.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40" w:lineRule="exact"/>
        <w:rPr>
          <w:sz w:val="20"/>
          <w:szCs w:val="20"/>
          <w:color w:val="auto"/>
        </w:rPr>
      </w:pPr>
    </w:p>
    <w:p>
      <w:pPr>
        <w:ind w:right="120" w:firstLine="324"/>
        <w:spacing w:after="0" w:line="239" w:lineRule="auto"/>
        <w:rPr>
          <w:sz w:val="20"/>
          <w:szCs w:val="20"/>
          <w:color w:val="auto"/>
        </w:rPr>
      </w:pPr>
      <w:r>
        <w:rPr>
          <w:rFonts w:ascii="Times New Roman" w:cs="Times New Roman" w:eastAsia="Times New Roman" w:hAnsi="Times New Roman"/>
          <w:sz w:val="18"/>
          <w:szCs w:val="18"/>
          <w:color w:val="auto"/>
        </w:rPr>
        <w:t>Under the current Cartesian Therapeutics, Inc. Amended and Restated 2016 Incentive Award Plan (as in effect as of the date hereof,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Cartesian Therapeutics, Inc. Amended and Restated 2018 Employment Inducement Incentive Award Plan (as in effect as of the date hereof, the “2018 Plan”) may only be granted to employees as a means of inducing them to commence employment with the Company as an initial equity grant, and equity awards under the 2018 Plan are granted with the same limitations on pricing and expiration as are included in the 2016 Plan. Equity awards under the Old Cartesian Plan may only be granted to employees and are granted with the same limitations on pricing and expiration as are included in the 2016 Plan. We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may grant up to $100,000 per year in incentive stock options to employees, subject to the limitations of Section 422 of the Code and the regulations issued thereunder.</w:t>
      </w:r>
    </w:p>
    <w:p>
      <w:pPr>
        <w:spacing w:after="0" w:line="6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 Old Cartesian Plan and how any awards granted thereunder to our Named Executive Officers were treated in the Merger, please see the section entitled “—Merger” above.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1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our securities that applies to directors, officers and employees of the Company, as well as certain other covered persons. We believe that our Insider Trading Policy is reasonably designed to promote compliance with insider trading laws, rules and regulations, and listing standards applicable to us. A full copy of the policy can be found filed as an exhibit to our Annual Report on Form 10-K for the year ended December 31, 2024. Our Insider Trading Policy prohibits our employees, including officers and directors, from (i) engaging in hedging transactions (whether through the use of financial instruments such as prepaid variable forwards, equity swaps, collars, exchange funds, or otherwise) involving the Company’s securities and (ii) pledging the Company’s securities as collateral for loans of any type without the prior approval of the Chief Executive Officer, Chief Financial Officer, or General Counsel. Executive officers seeking to pledge the Company’s securities as collateral must receive approval from the Compensation Committee. No such pledges by executive officers were approved during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2024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2024, our Named Executive Officers and their positions as of December 31, 2024 were:</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Jewell, Ph.D., our Chief Scientific Officer; and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who served as our Chief Operating Officer from November 13, 2023 until March 28, 2024, and then continued to serve as our Chief Technology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tcPr>
          <w:p>
            <w:pPr>
              <w:spacing w:after="0"/>
              <w:rPr>
                <w:sz w:val="13"/>
                <w:szCs w:val="13"/>
                <w:color w:val="auto"/>
              </w:rPr>
            </w:pPr>
          </w:p>
        </w:tc>
        <w:tc>
          <w:tcPr>
            <w:tcW w:w="6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vMerge w:val="continue"/>
          </w:tcPr>
          <w:p>
            <w:pPr>
              <w:spacing w:after="0"/>
              <w:rPr>
                <w:sz w:val="12"/>
                <w:szCs w:val="12"/>
                <w:color w:val="auto"/>
              </w:rPr>
            </w:pP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68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880" w:type="dxa"/>
            <w:vAlign w:val="bottom"/>
          </w:tcPr>
          <w:p>
            <w:pPr>
              <w:jc w:val="center"/>
              <w:ind w:right="188"/>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180" w:type="dxa"/>
            <w:vAlign w:val="bottom"/>
            <w:vMerge w:val="continue"/>
          </w:tcPr>
          <w:p>
            <w:pPr>
              <w:spacing w:after="0"/>
              <w:rPr>
                <w:sz w:val="17"/>
                <w:szCs w:val="17"/>
                <w:color w:val="auto"/>
              </w:rPr>
            </w:pPr>
          </w:p>
        </w:tc>
        <w:tc>
          <w:tcPr>
            <w:tcW w:w="680" w:type="dxa"/>
            <w:vAlign w:val="bottom"/>
          </w:tcPr>
          <w:p>
            <w:pPr>
              <w:jc w:val="center"/>
              <w:ind w:left="208"/>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Non-equity</w:t>
      </w:r>
    </w:p>
    <w:p>
      <w:pPr>
        <w:ind w:left="1240"/>
        <w:spacing w:after="0" w:line="189" w:lineRule="auto"/>
        <w:rPr>
          <w:sz w:val="20"/>
          <w:szCs w:val="20"/>
          <w:color w:val="auto"/>
        </w:rPr>
      </w:pPr>
      <w:r>
        <w:rPr>
          <w:rFonts w:ascii="Times New Roman" w:cs="Times New Roman" w:eastAsia="Times New Roman" w:hAnsi="Times New Roman"/>
          <w:sz w:val="11"/>
          <w:szCs w:val="11"/>
          <w:b w:val="1"/>
          <w:bCs w:val="1"/>
          <w:color w:val="auto"/>
        </w:rPr>
        <w:t>incentive plan</w:t>
      </w:r>
    </w:p>
    <w:p>
      <w:pPr>
        <w:spacing w:after="0" w:line="188" w:lineRule="auto"/>
        <w:tabs>
          <w:tab w:leader="none" w:pos="1140" w:val="left"/>
        </w:tabs>
        <w:rPr>
          <w:sz w:val="20"/>
          <w:szCs w:val="20"/>
          <w:color w:val="auto"/>
        </w:rPr>
      </w:pPr>
      <w:r>
        <w:rPr>
          <w:rFonts w:ascii="Times New Roman" w:cs="Times New Roman" w:eastAsia="Times New Roman" w:hAnsi="Times New Roman"/>
          <w:sz w:val="16"/>
          <w:szCs w:val="16"/>
          <w:b w:val="1"/>
          <w:bCs w:val="1"/>
          <w:color w:val="auto"/>
          <w:vertAlign w:val="superscript"/>
        </w:rPr>
        <w:t>Option awards</w:t>
      </w:r>
      <w:r>
        <w:rPr>
          <w:sz w:val="20"/>
          <w:szCs w:val="20"/>
          <w:color w:val="auto"/>
        </w:rPr>
        <w:tab/>
      </w:r>
      <w:r>
        <w:rPr>
          <w:rFonts w:ascii="Times New Roman" w:cs="Times New Roman" w:eastAsia="Times New Roman" w:hAnsi="Times New Roman"/>
          <w:sz w:val="13"/>
          <w:szCs w:val="13"/>
          <w:b w:val="1"/>
          <w:bCs w:val="1"/>
          <w:color w:val="auto"/>
        </w:rPr>
        <w:t>compensation ($)</w:t>
      </w:r>
    </w:p>
    <w:p>
      <w:pPr>
        <w:ind w:left="340"/>
        <w:spacing w:after="0"/>
        <w:tabs>
          <w:tab w:leader="none" w:pos="1600" w:val="left"/>
        </w:tabs>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(3)</w:t>
      </w:r>
      <w:r>
        <w:rPr>
          <w:sz w:val="20"/>
          <w:szCs w:val="20"/>
          <w:color w:val="auto"/>
        </w:rPr>
        <w:tab/>
      </w:r>
      <w:r>
        <w:rPr>
          <w:rFonts w:ascii="Times New Roman" w:cs="Times New Roman" w:eastAsia="Times New Roman" w:hAnsi="Times New Roman"/>
          <w:sz w:val="9"/>
          <w:szCs w:val="9"/>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All other</w:t>
      </w:r>
    </w:p>
    <w:p>
      <w:pPr>
        <w:spacing w:after="0" w:line="181" w:lineRule="auto"/>
        <w:tabs>
          <w:tab w:leader="none" w:pos="1420" w:val="left"/>
        </w:tabs>
        <w:rPr>
          <w:sz w:val="20"/>
          <w:szCs w:val="20"/>
          <w:color w:val="auto"/>
        </w:rPr>
      </w:pPr>
      <w:r>
        <w:rPr>
          <w:rFonts w:ascii="Times New Roman" w:cs="Times New Roman" w:eastAsia="Times New Roman" w:hAnsi="Times New Roman"/>
          <w:sz w:val="12"/>
          <w:szCs w:val="12"/>
          <w:b w:val="1"/>
          <w:bCs w:val="1"/>
          <w:color w:val="auto"/>
        </w:rPr>
        <w:t>compensation ($)</w:t>
      </w:r>
      <w:r>
        <w:rPr>
          <w:sz w:val="20"/>
          <w:szCs w:val="20"/>
          <w:color w:val="auto"/>
        </w:rPr>
        <w:tab/>
      </w:r>
      <w:r>
        <w:rPr>
          <w:rFonts w:ascii="Times New Roman" w:cs="Times New Roman" w:eastAsia="Times New Roman" w:hAnsi="Times New Roman"/>
          <w:sz w:val="12"/>
          <w:szCs w:val="12"/>
          <w:b w:val="1"/>
          <w:bCs w:val="1"/>
          <w:color w:val="auto"/>
          <w:vertAlign w:val="subscript"/>
        </w:rPr>
        <w:t>Total ($)</w:t>
      </w:r>
    </w:p>
    <w:p>
      <w:pPr>
        <w:ind w:left="480"/>
        <w:spacing w:after="0"/>
        <w:rPr>
          <w:sz w:val="20"/>
          <w:szCs w:val="20"/>
          <w:color w:val="auto"/>
        </w:rPr>
      </w:pPr>
      <w:r>
        <w:rPr>
          <w:rFonts w:ascii="Times New Roman" w:cs="Times New Roman" w:eastAsia="Times New Roman" w:hAnsi="Times New Roman"/>
          <w:sz w:val="9"/>
          <w:szCs w:val="9"/>
          <w:b w:val="1"/>
          <w:bCs w:val="1"/>
          <w:color w:val="auto"/>
        </w:rPr>
        <w:t>(5)</w:t>
      </w:r>
    </w:p>
    <w:p>
      <w:pPr>
        <w:spacing w:after="0" w:line="75" w:lineRule="exact"/>
        <w:rPr>
          <w:sz w:val="20"/>
          <w:szCs w:val="20"/>
          <w:color w:val="auto"/>
        </w:rPr>
      </w:pPr>
    </w:p>
    <w:p>
      <w:pPr>
        <w:sectPr>
          <w:pgSz w:w="11900" w:h="16838" w:orient="portrait"/>
          <w:cols w:equalWidth="0" w:num="3">
            <w:col w:w="6220" w:space="400"/>
            <w:col w:w="2200" w:space="240"/>
            <w:col w:w="21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16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642,720</w:t>
            </w:r>
          </w:p>
        </w:tc>
        <w:tc>
          <w:tcPr>
            <w:tcW w:w="10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3,071,706</w:t>
            </w:r>
          </w:p>
        </w:tc>
        <w:tc>
          <w:tcPr>
            <w:tcW w:w="126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3,138,074</w:t>
            </w:r>
          </w:p>
        </w:tc>
        <w:tc>
          <w:tcPr>
            <w:tcW w:w="12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459,545</w:t>
            </w:r>
          </w:p>
        </w:tc>
        <w:tc>
          <w:tcPr>
            <w:tcW w:w="118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2,166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7,314,211</w:t>
            </w:r>
          </w:p>
        </w:tc>
        <w:tc>
          <w:tcPr>
            <w:tcW w:w="0" w:type="dxa"/>
            <w:vAlign w:val="bottom"/>
          </w:tcPr>
          <w:p>
            <w:pPr>
              <w:spacing w:after="0"/>
              <w:rPr>
                <w:sz w:val="1"/>
                <w:szCs w:val="1"/>
                <w:color w:val="auto"/>
              </w:rPr>
            </w:pPr>
          </w:p>
        </w:tc>
      </w:tr>
      <w:tr>
        <w:trPr>
          <w:trHeight w:val="137"/>
        </w:trPr>
        <w:tc>
          <w:tcPr>
            <w:tcW w:w="238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11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618,228</w:t>
            </w: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1,323,000</w:t>
            </w:r>
          </w:p>
        </w:tc>
        <w:tc>
          <w:tcPr>
            <w:tcW w:w="10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319,564</w:t>
            </w:r>
          </w:p>
        </w:tc>
        <w:tc>
          <w:tcPr>
            <w:tcW w:w="12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1,123,658</w:t>
            </w: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343,200</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2,384,233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6,111,883</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1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Blaine Davis</w:t>
            </w:r>
          </w:p>
        </w:tc>
        <w:tc>
          <w:tcPr>
            <w:tcW w:w="11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462,000</w:t>
            </w:r>
          </w:p>
        </w:tc>
        <w:tc>
          <w:tcPr>
            <w:tcW w:w="10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1,599,840</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1,634,460</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240,240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34,872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3,971,412</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440,000</w:t>
            </w:r>
          </w:p>
        </w:tc>
        <w:tc>
          <w:tcPr>
            <w:tcW w:w="10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880,000</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176,000</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998,759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2,494,759</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(6)</w:t>
            </w:r>
          </w:p>
        </w:tc>
        <w:tc>
          <w:tcPr>
            <w:tcW w:w="11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431,539</w:t>
            </w:r>
          </w:p>
        </w:tc>
        <w:tc>
          <w:tcPr>
            <w:tcW w:w="10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1,010,460</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1,032,697</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228,800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9,568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2,713,064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Technology Officer</w:t>
            </w: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50,313</w:t>
            </w:r>
          </w:p>
        </w:tc>
        <w:tc>
          <w:tcPr>
            <w:tcW w:w="10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20,930</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71,243</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Christopher Jewell, Ph.D. </w:t>
            </w:r>
            <w:r>
              <w:rPr>
                <w:rFonts w:ascii="Times New Roman" w:cs="Times New Roman" w:eastAsia="Times New Roman" w:hAnsi="Times New Roman"/>
                <w:sz w:val="18"/>
                <w:szCs w:val="18"/>
                <w:color w:val="auto"/>
                <w:vertAlign w:val="superscript"/>
              </w:rPr>
              <w:t>(7)</w:t>
            </w:r>
          </w:p>
        </w:tc>
        <w:tc>
          <w:tcPr>
            <w:tcW w:w="11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411,923</w:t>
            </w:r>
          </w:p>
        </w:tc>
        <w:tc>
          <w:tcPr>
            <w:tcW w:w="10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513,612</w:t>
            </w:r>
          </w:p>
        </w:tc>
        <w:tc>
          <w:tcPr>
            <w:tcW w:w="126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524,476</w:t>
            </w:r>
          </w:p>
        </w:tc>
        <w:tc>
          <w:tcPr>
            <w:tcW w:w="12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218,400</w:t>
            </w:r>
          </w:p>
        </w:tc>
        <w:tc>
          <w:tcPr>
            <w:tcW w:w="11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19,343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1,687,754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37,500</w:t>
            </w:r>
          </w:p>
        </w:tc>
        <w:tc>
          <w:tcPr>
            <w:tcW w:w="10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15,600</w:t>
            </w: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20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a one-time bonus of $75,000 for Dr. Brunn for efforts to deliver the positive topline data for the Company’s DISSOLVE I and DISSOLVE II Phase 3 clinical trials and retention bonuses.</w:t>
      </w:r>
    </w:p>
    <w:p>
      <w:pPr>
        <w:spacing w:after="0" w:line="53"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in our 2024 Annual Report.</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under our annual performance-based bonus program. For additional information, see “—Performance Bonuses” below.</w:t>
      </w:r>
    </w:p>
    <w:p>
      <w:pPr>
        <w:spacing w:after="0" w:line="103" w:lineRule="exact"/>
        <w:rPr>
          <w:rFonts w:ascii="Times New Roman" w:cs="Times New Roman" w:eastAsia="Times New Roman" w:hAnsi="Times New Roman"/>
          <w:sz w:val="18"/>
          <w:szCs w:val="18"/>
          <w:color w:val="auto"/>
        </w:rPr>
      </w:pPr>
    </w:p>
    <w:p>
      <w:pPr>
        <w:ind w:left="340" w:hanging="332"/>
        <w:spacing w:after="0" w:line="227"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 for 2024 includes $966 representing payments on Dr. Brunn’s term life insurance policy and $1,200 representing reimbursement for cell phone expenses. The amount for 2023 includes $2,383,268 for settlement of outstanding awards as of November 13, 2023 in connection with the Merger and $965 representing payments on Dr. Brunn’s term life insurance policy. For Mr. Davis, the amount for 2024 includes $966 representing payments on Mr. Davis’ term life insurance policy, $900 representing reimbursement for cell phone expenses, $10,350 representing our 401(k) matching contributions, and $22,656 representing accrued vacation as of March 31, 2024 paid upon the adoption of unlimited paid time off policy.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Kurtoglu, the amount for 2024 includes $630 representing payments on Dr. Kurtoglu’s term life insurance policy, $900 representing reimbursement for cell phone expenses, and $8,038 representing accrued vacation as of March 31, 2024 paid upon the adoption of unlimited paid time off policy. For Dr. Jewell, the amount for 2024 includes $420 representing payments on Dr. Jewell’s term life insurance policy, $900 representing reimbursement for cell phone expenses, $10,350 representing our 401(k) matching contributions, and $7,673 representing accrued vacation as of March 31, 2024 paid upon the adoption of unlimited paid time off policy.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86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At the end of 2023, the Compensation Committee recommended to the Board, and the Board approved, an increase in Dr. Brunn’s annual base salary from $624,000 to $642,720 for 2024, an increase in Mr. Davis’ annual base salary from $440,000 to $462,000 for 2024, an increase in Dr. Kurtoglu’s annual base salary from $402,500 to $440,000 for 2024, and an increase in Dr. Jewell’s annual base salary from $300,000 to $420,000 for 2024. All base salaries for 2024, other than with respect to Dr. Kurtoglu and Dr. Jewell, were effective as of January 1, 2024. Dr. Kurtoglu and Dr. Jewell’s base salaries for 2024 were effective March 28, 2024 and March 26,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jc w:val="center"/>
        <w:ind w:right="220"/>
        <w:spacing w:after="0" w:line="289" w:lineRule="auto"/>
        <w:rPr>
          <w:sz w:val="20"/>
          <w:szCs w:val="20"/>
          <w:color w:val="auto"/>
        </w:rPr>
      </w:pPr>
      <w:r>
        <w:rPr>
          <w:rFonts w:ascii="Times New Roman" w:cs="Times New Roman" w:eastAsia="Times New Roman" w:hAnsi="Times New Roman"/>
          <w:sz w:val="17"/>
          <w:szCs w:val="17"/>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annual base salary. The 2024 target bonus amount for Dr. Brunn was 55% of his base salary, and for each of Mr. Davis and Drs. Kurtoglu and Jewell was 40% of his base salary.</w:t>
      </w:r>
    </w:p>
    <w:p>
      <w:pPr>
        <w:spacing w:after="0" w:line="5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2024, bonuses were entirely determined based on Company performance in meeting clinical, business development, manufacturing, culture and engagement, and financial goals and other corporate achievements.</w:t>
      </w:r>
    </w:p>
    <w:p>
      <w:pPr>
        <w:spacing w:after="0" w:line="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2024 are reported under the “Non-equity incentive plan compensation” column of the 2024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also maintain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Merger, we adopted the Old Cartesian Plan as described in the section entitled “Compensation Discussion and Analysis— Merger” above.</w:t>
      </w:r>
    </w:p>
    <w:p>
      <w:pPr>
        <w:spacing w:after="0" w:line="5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annual installments over the following three years, subject to the holder’s continued employment with us and potential accelerated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5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early 2024, we made the following grants under the 2016 Plan: (i) to Dr. Brunn options to purchase 199,033 shares of our Common Stock and 155,136 RSUs; (ii) to Mr. Davis options to purchase 103,666 shares of our Common Stock and 80,800 RSUs; (iii) to Dr. Kurtoglu options to purchase 65,499 shares of our Common Stock; and (iv) to Dr. Jewell options to purchase 33,265 shares of our Common Stock. Additionally, we made the following grants under the Old Cartesian Plan: (i) to Dr. Kurtoglu 51,033 RSUs and (ii) to Dr. Jewell 25,940 RSUs.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6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18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0" w:type="dxa"/>
            <w:vAlign w:val="bottom"/>
          </w:tcPr>
          <w:p>
            <w:pPr>
              <w:spacing w:after="0"/>
              <w:rPr>
                <w:sz w:val="1"/>
                <w:szCs w:val="1"/>
                <w:color w:val="auto"/>
              </w:rPr>
            </w:pPr>
          </w:p>
        </w:tc>
      </w:tr>
      <w:tr>
        <w:trPr>
          <w:trHeight w:val="135"/>
        </w:trPr>
        <w:tc>
          <w:tcPr>
            <w:tcW w:w="1900" w:type="dxa"/>
            <w:vAlign w:val="bottom"/>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vMerge w:val="restart"/>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18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89"/>
        </w:trPr>
        <w:tc>
          <w:tcPr>
            <w:tcW w:w="19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4"/>
              </w:rPr>
              <w:t xml:space="preserve">Date </w:t>
            </w:r>
            <w:r>
              <w:rPr>
                <w:rFonts w:ascii="Times New Roman" w:cs="Times New Roman" w:eastAsia="Times New Roman" w:hAnsi="Times New Roman"/>
                <w:sz w:val="17"/>
                <w:szCs w:val="17"/>
                <w:b w:val="1"/>
                <w:bCs w:val="1"/>
                <w:color w:val="auto"/>
                <w:w w:val="94"/>
                <w:vertAlign w:val="superscript"/>
              </w:rPr>
              <w:t>(1)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6"/>
              </w:rPr>
              <w:t xml:space="preserve">exercisable </w:t>
            </w:r>
            <w:r>
              <w:rPr>
                <w:rFonts w:ascii="Times New Roman" w:cs="Times New Roman" w:eastAsia="Times New Roman" w:hAnsi="Times New Roman"/>
                <w:sz w:val="17"/>
                <w:szCs w:val="17"/>
                <w:b w:val="1"/>
                <w:bCs w:val="1"/>
                <w:color w:val="auto"/>
                <w:w w:val="96"/>
                <w:vertAlign w:val="superscript"/>
              </w:rPr>
              <w:t>(2)(3)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6"/>
              </w:rPr>
              <w:t xml:space="preserve">unexercisable </w:t>
            </w:r>
            <w:r>
              <w:rPr>
                <w:rFonts w:ascii="Times New Roman" w:cs="Times New Roman" w:eastAsia="Times New Roman" w:hAnsi="Times New Roman"/>
                <w:sz w:val="17"/>
                <w:szCs w:val="17"/>
                <w:b w:val="1"/>
                <w:bCs w:val="1"/>
                <w:color w:val="auto"/>
                <w:w w:val="96"/>
                <w:vertAlign w:val="superscript"/>
              </w:rPr>
              <w:t>(2)(3)</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3"/>
              </w:rPr>
              <w:t xml:space="preserve">vested </w:t>
            </w:r>
            <w:r>
              <w:rPr>
                <w:rFonts w:ascii="Times New Roman" w:cs="Times New Roman" w:eastAsia="Times New Roman" w:hAnsi="Times New Roman"/>
                <w:sz w:val="17"/>
                <w:szCs w:val="17"/>
                <w:b w:val="1"/>
                <w:bCs w:val="1"/>
                <w:color w:val="auto"/>
                <w:w w:val="93"/>
                <w:vertAlign w:val="superscript"/>
              </w:rPr>
              <w:t>(3)(4)</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vested ($) </w:t>
            </w:r>
            <w:r>
              <w:rPr>
                <w:rFonts w:ascii="Times New Roman" w:cs="Times New Roman" w:eastAsia="Times New Roman" w:hAnsi="Times New Roman"/>
                <w:sz w:val="17"/>
                <w:szCs w:val="17"/>
                <w:b w:val="1"/>
                <w:bCs w:val="1"/>
                <w:color w:val="auto"/>
                <w:vertAlign w:val="superscript"/>
              </w:rPr>
              <w:t>(5)</w:t>
            </w:r>
          </w:p>
        </w:tc>
        <w:tc>
          <w:tcPr>
            <w:tcW w:w="0" w:type="dxa"/>
            <w:vAlign w:val="bottom"/>
          </w:tcPr>
          <w:p>
            <w:pPr>
              <w:spacing w:after="0"/>
              <w:rPr>
                <w:sz w:val="1"/>
                <w:szCs w:val="1"/>
                <w:color w:val="auto"/>
              </w:rPr>
            </w:pPr>
          </w:p>
        </w:tc>
      </w:tr>
      <w:tr>
        <w:trPr>
          <w:trHeight w:val="18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Carsten Brunn, Ph.D.</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199,033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19.656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155,136</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2,778,486</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Blaine Davis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103,666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19.656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80,800</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1,447,128</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Metin Kurtoglu, M.D., Ph.D. </w:t>
            </w:r>
            <w:r>
              <w:rPr>
                <w:rFonts w:ascii="Times New Roman" w:cs="Times New Roman" w:eastAsia="Times New Roman" w:hAnsi="Times New Roman"/>
                <w:sz w:val="17"/>
                <w:szCs w:val="17"/>
                <w:color w:val="auto"/>
                <w:vertAlign w:val="superscript"/>
              </w:rPr>
              <w:t>(6)</w:t>
            </w:r>
          </w:p>
        </w:tc>
        <w:tc>
          <w:tcPr>
            <w:tcW w:w="10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11/7/2016 </w:t>
            </w:r>
            <w:r>
              <w:rPr>
                <w:rFonts w:ascii="Times New Roman" w:cs="Times New Roman" w:eastAsia="Times New Roman" w:hAnsi="Times New Roman"/>
                <w:sz w:val="17"/>
                <w:szCs w:val="17"/>
                <w:color w:val="auto"/>
                <w:w w:val="98"/>
                <w:vertAlign w:val="superscript"/>
              </w:rPr>
              <w:t>(7)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11/7/2016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79,099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11/6/2026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4/26/2021 </w:t>
            </w:r>
            <w:r>
              <w:rPr>
                <w:rFonts w:ascii="Times New Roman" w:cs="Times New Roman" w:eastAsia="Times New Roman" w:hAnsi="Times New Roman"/>
                <w:sz w:val="17"/>
                <w:szCs w:val="17"/>
                <w:color w:val="auto"/>
                <w:w w:val="98"/>
                <w:vertAlign w:val="superscript"/>
              </w:rPr>
              <w:t>(7)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4/26/2021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14,254</w:t>
            </w:r>
          </w:p>
        </w:tc>
        <w:tc>
          <w:tcPr>
            <w:tcW w:w="10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4/25/2031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3/1/2022 </w:t>
            </w:r>
            <w:r>
              <w:rPr>
                <w:rFonts w:ascii="Times New Roman" w:cs="Times New Roman" w:eastAsia="Times New Roman" w:hAnsi="Times New Roman"/>
                <w:sz w:val="17"/>
                <w:szCs w:val="17"/>
                <w:color w:val="auto"/>
                <w:w w:val="98"/>
                <w:vertAlign w:val="superscript"/>
              </w:rPr>
              <w:t>(7)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3/1/2022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7,127</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7,127</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3.23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2/29/2032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65,499</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19.656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1/1/2034</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51,033</w:t>
            </w: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914,001</w:t>
            </w: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Christopher Jewell, Ph.D. </w:t>
            </w:r>
            <w:r>
              <w:rPr>
                <w:rFonts w:ascii="Times New Roman" w:cs="Times New Roman" w:eastAsia="Times New Roman" w:hAnsi="Times New Roman"/>
                <w:sz w:val="17"/>
                <w:szCs w:val="17"/>
                <w:color w:val="auto"/>
                <w:vertAlign w:val="superscript"/>
              </w:rPr>
              <w:t>(8)</w:t>
            </w:r>
          </w:p>
        </w:tc>
        <w:tc>
          <w:tcPr>
            <w:tcW w:w="104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color w:val="auto"/>
                <w:w w:val="98"/>
              </w:rPr>
              <w:t xml:space="preserve">1/16/2023 </w:t>
            </w:r>
            <w:r>
              <w:rPr>
                <w:rFonts w:ascii="Times New Roman" w:cs="Times New Roman" w:eastAsia="Times New Roman" w:hAnsi="Times New Roman"/>
                <w:sz w:val="17"/>
                <w:szCs w:val="17"/>
                <w:color w:val="auto"/>
                <w:w w:val="98"/>
                <w:vertAlign w:val="superscript"/>
              </w:rPr>
              <w:t>(7)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1/16/2023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60,089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16,343</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1/15/2033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33,265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19.656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1/2/2024</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25,940</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464,585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58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January 2, 2024 vest as to 25% of the total shares underlying the option on the first anniversary of the vesting commencement date and in equal annual installments over the following three years, subject to the holder’s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40" w:right="460" w:hanging="332"/>
        <w:spacing w:after="0" w:line="266"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2024, we held the March 2024 Special Meeting. At the March 2024 Special Meeting, our stockholders approved, and our Board subsequently implemented, a 1-for-30 reverse stock split of all then-outstanding shares of our Common Stock and the conversion of our Series A Preferred Stock into shares of Common Stock.</w:t>
      </w:r>
    </w:p>
    <w:p>
      <w:pPr>
        <w:spacing w:after="0" w:line="67"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vest in four equal annual installments beginning on the first anniversary of the vesting commencement date, subject to employees continued employment with us through the applicable vesting date.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$17.91 on December 31, 2024, the last trading day of the fiscal year ended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880" w:hanging="332"/>
        <w:spacing w:after="0" w:line="282"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Operating Officer on November 13, 2023. On March 28, 2024, Dr. Kurtoglu’s title was changed to Chief Technology Officer.</w:t>
      </w:r>
    </w:p>
    <w:p>
      <w:pPr>
        <w:spacing w:after="0" w:line="53"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2023, we acquired Old Cartesian in the Merger. These options to purchase Old Cartesian common stock were converted into options to purchase shares of Series A Preferred Stock in connection with the Merger. At the March 2024 Special Meeting, our stockholders approved, and our Board subsequently implemented, a 1-for-30 reverse stock split of all then-outstanding shares of our Common Stock and the conversion of our Series A Preferred Stock into shares of Common Stock. Following the Automatic Conversion, options previously exercisable for shares of Series A Preferred Stock may be exercised solely for shares of Common Stock.</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20" w:firstLine="8"/>
        <w:spacing w:after="0" w:line="249" w:lineRule="auto"/>
        <w:tabs>
          <w:tab w:leader="none" w:pos="2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base salary or bonus opportunity; (ii) a material diminution in his authority, title, duties or areas of responsibility; (iii) for Dr. Brunn and Mr. Davis, the requirement that he report to someone other than the Board with respect to our Chief Executive Officer or the Chief Executive Officer with respect to Mr. Davis; (iv) for Drs. Brunn and Mr. Davis, the relocation of his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8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termination of employment for a period of 12 months, as more fully set forth in the applicable agreement(s). For Dr. Brunn, during the period following the Named Executive Officer’s employment that he is subject to the non-competition covenants, and subject to limited exceptions, we have agreed to provide the Named Executive Officer with garden leave pay at a rate that equals 50% of his highest annual base salary within the two years prior to his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must annually disclose in our proxy statement the relationship between our performance and the “compensation actually paid” to our Principal Executive Officer (“PEO”) and our non-PEO Named Executive Officers (collectively, the “Non-PEO NEOs”).</w:t>
      </w:r>
    </w:p>
    <w:p>
      <w:pPr>
        <w:spacing w:after="0" w:line="6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additional compensation information of our PEO and our Non-PEO NEOs along with our total shareholder return and our net income (loss) for the fiscal years ended December 31, 2024, 2023, and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00" w:type="dxa"/>
            <w:vAlign w:val="bottom"/>
          </w:tcPr>
          <w:p>
            <w:pPr>
              <w:spacing w:after="0"/>
              <w:rPr>
                <w:sz w:val="13"/>
                <w:szCs w:val="13"/>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00" w:type="dxa"/>
            <w:vAlign w:val="bottom"/>
          </w:tcPr>
          <w:p>
            <w:pPr>
              <w:spacing w:after="0"/>
              <w:rPr>
                <w:sz w:val="13"/>
                <w:szCs w:val="13"/>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 Income (4) ($</w:t>
            </w:r>
          </w:p>
        </w:tc>
        <w:tc>
          <w:tcPr>
            <w:tcW w:w="0" w:type="dxa"/>
            <w:vAlign w:val="bottom"/>
          </w:tcPr>
          <w:p>
            <w:pPr>
              <w:spacing w:after="0"/>
              <w:rPr>
                <w:sz w:val="1"/>
                <w:szCs w:val="1"/>
                <w:color w:val="auto"/>
              </w:rPr>
            </w:pPr>
          </w:p>
        </w:tc>
      </w:tr>
      <w:tr>
        <w:trPr>
          <w:trHeight w:val="146"/>
        </w:trPr>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17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17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Investment Based on Total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4"/>
                <w:szCs w:val="14"/>
                <w:b w:val="1"/>
                <w:bCs w:val="1"/>
                <w:color w:val="auto"/>
                <w:w w:val="97"/>
              </w:rPr>
              <w:t>Table Total for PEO</w:t>
            </w:r>
            <w:r>
              <w:rPr>
                <w:rFonts w:ascii="Times New Roman" w:cs="Times New Roman" w:eastAsia="Times New Roman" w:hAnsi="Times New Roman"/>
                <w:sz w:val="18"/>
                <w:szCs w:val="18"/>
                <w:b w:val="1"/>
                <w:bCs w:val="1"/>
                <w:color w:val="auto"/>
                <w:w w:val="97"/>
                <w:vertAlign w:val="superscript"/>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4"/>
                <w:szCs w:val="14"/>
                <w:b w:val="1"/>
                <w:bCs w:val="1"/>
                <w:color w:val="auto"/>
                <w:w w:val="99"/>
              </w:rPr>
              <w:t>Paid to PEO</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Non-PEO NEOs</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Shareholder Return</w:t>
            </w:r>
            <w:r>
              <w:rPr>
                <w:rFonts w:ascii="Times New Roman" w:cs="Times New Roman" w:eastAsia="Times New Roman" w:hAnsi="Times New Roman"/>
                <w:sz w:val="9"/>
                <w:szCs w:val="9"/>
                <w:b w:val="1"/>
                <w:bCs w:val="1"/>
                <w:color w:val="auto"/>
              </w:rPr>
              <w:t>(3)</w:t>
            </w:r>
          </w:p>
        </w:tc>
        <w:tc>
          <w:tcPr>
            <w:tcW w:w="300" w:type="dxa"/>
            <w:vAlign w:val="bottom"/>
          </w:tcPr>
          <w:p>
            <w:pPr>
              <w:spacing w:after="0"/>
              <w:rPr>
                <w:sz w:val="16"/>
                <w:szCs w:val="16"/>
                <w:color w:val="auto"/>
              </w:rPr>
            </w:pPr>
          </w:p>
        </w:tc>
        <w:tc>
          <w:tcPr>
            <w:tcW w:w="13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0"/>
        </w:trPr>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300" w:type="dxa"/>
            <w:vAlign w:val="bottom"/>
          </w:tcPr>
          <w:p>
            <w:pPr>
              <w:spacing w:after="0"/>
              <w:rPr>
                <w:sz w:val="16"/>
                <w:szCs w:val="16"/>
                <w:color w:val="auto"/>
              </w:rPr>
            </w:pPr>
          </w:p>
        </w:tc>
        <w:tc>
          <w:tcPr>
            <w:tcW w:w="13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7,314,211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6,543,925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2,790,743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2,529,608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(77,424)</w:t>
            </w:r>
          </w:p>
        </w:tc>
        <w:tc>
          <w:tcPr>
            <w:tcW w:w="0" w:type="dxa"/>
            <w:vAlign w:val="bottom"/>
          </w:tcPr>
          <w:p>
            <w:pPr>
              <w:spacing w:after="0"/>
              <w:rPr>
                <w:sz w:val="1"/>
                <w:szCs w:val="1"/>
                <w:color w:val="auto"/>
              </w:rPr>
            </w:pPr>
          </w:p>
        </w:tc>
      </w:tr>
      <w:tr>
        <w:trPr>
          <w:trHeight w:val="195"/>
        </w:trPr>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6,111,883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6,379,295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1,819,522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1,836,461</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24.40</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4,292,242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140" w:hanging="332"/>
        <w:spacing w:after="0" w:line="274" w:lineRule="auto"/>
        <w:tabs>
          <w:tab w:leader="none" w:pos="40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(b) are the amounts of total compensation reported for Dr. Brunn for each corresponding year in the “Total” column of the Summary Compensation Table. The dollar amounts reported in column (d) represent the average of the amounts reported for our Company’s Non-PEO NEOs as a group in the “Total” column of the Summary Compensation Table in each applicable year. The names of the Non-PEO NEOs included for purposes of calculating the average amounts in each applicable year are as follows: for 2024, Blaine Davis, Metin Kurtoglu, M.D., Ph.D., and Christopher Jewell, Ph.D.; for 2023, Blaine Davis, Peter G. Traber, M.D., Lloyd Johnston, Ph.D., Metin Kurtoglu, M.D., Ph.D., and Christopher Jewell, Ph.D.; and for 2022, Blaine Davis, Kevin Tan, Peter G. Traber, M.D., Takashi Kei Kishimoto, Ph.D. and Lloyd Johnston, Ph.D.</w:t>
      </w:r>
    </w:p>
    <w:p>
      <w:pPr>
        <w:spacing w:after="0" w:line="64" w:lineRule="exact"/>
        <w:rPr>
          <w:rFonts w:ascii="Times New Roman" w:cs="Times New Roman" w:eastAsia="Times New Roman" w:hAnsi="Times New Roman"/>
          <w:sz w:val="17"/>
          <w:szCs w:val="17"/>
          <w:color w:val="auto"/>
        </w:rPr>
      </w:pPr>
    </w:p>
    <w:p>
      <w:pPr>
        <w:ind w:left="340" w:right="560" w:hanging="332"/>
        <w:spacing w:after="0" w:line="282" w:lineRule="auto"/>
        <w:tabs>
          <w:tab w:leader="none" w:pos="40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describes the adjustments, each of which is required by SEC rules, to calculate Compensation Actually Paid amounts from the Summary Compensation Total:</w:t>
      </w:r>
    </w:p>
    <w:p>
      <w:pPr>
        <w:spacing w:after="0" w:line="79" w:lineRule="exact"/>
        <w:rPr>
          <w:sz w:val="20"/>
          <w:szCs w:val="20"/>
          <w:color w:val="auto"/>
        </w:rPr>
      </w:pPr>
    </w:p>
    <w:tbl>
      <w:tblPr>
        <w:tblLayout w:type="fixed"/>
        <w:tblInd w:w="430" w:type="dxa"/>
        <w:tblCellMar>
          <w:top w:w="0" w:type="dxa"/>
          <w:left w:w="0" w:type="dxa"/>
          <w:bottom w:w="0" w:type="dxa"/>
          <w:right w:w="0" w:type="dxa"/>
        </w:tblCellMar>
      </w:tblPr>
      <w:tr>
        <w:trPr>
          <w:trHeight w:val="149"/>
        </w:trPr>
        <w:tc>
          <w:tcPr>
            <w:tcW w:w="52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rPr>
              <w:t>Add Year-End Fair</w:t>
            </w:r>
          </w:p>
        </w:tc>
        <w:tc>
          <w:tcPr>
            <w:tcW w:w="112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Add Fair Value as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Deduct Value of</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3"/>
                <w:szCs w:val="13"/>
                <w:color w:val="auto"/>
              </w:rPr>
              <w:t>Deduct Reported</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Value of</w:t>
            </w:r>
          </w:p>
        </w:tc>
        <w:tc>
          <w:tcPr>
            <w:tcW w:w="112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Year over Year</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Year over Year</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Prior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center"/>
              <w:ind w:right="73"/>
              <w:spacing w:after="0"/>
              <w:rPr>
                <w:sz w:val="20"/>
                <w:szCs w:val="20"/>
                <w:color w:val="auto"/>
              </w:rPr>
            </w:pPr>
            <w:r>
              <w:rPr>
                <w:rFonts w:ascii="Times New Roman" w:cs="Times New Roman" w:eastAsia="Times New Roman" w:hAnsi="Times New Roman"/>
                <w:sz w:val="13"/>
                <w:szCs w:val="13"/>
                <w:color w:val="auto"/>
              </w:rPr>
              <w:t>Summary</w:t>
            </w:r>
          </w:p>
        </w:tc>
        <w:tc>
          <w:tcPr>
            <w:tcW w:w="80" w:type="dxa"/>
            <w:vAlign w:val="bottom"/>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Outstanding and</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of Vesting Date of</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that Failed</w:t>
            </w:r>
          </w:p>
        </w:tc>
        <w:tc>
          <w:tcPr>
            <w:tcW w:w="1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Named Executive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Value of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Unvested Equity</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color w:val="auto"/>
              </w:rPr>
              <w:t>Equity Awards</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Change in Value of</w:t>
            </w:r>
          </w:p>
        </w:tc>
        <w:tc>
          <w:tcPr>
            <w:tcW w:w="1120" w:type="dxa"/>
            <w:vAlign w:val="bottom"/>
            <w:tcBorders>
              <w:right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Change in Value of</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to Meet Vesting</w:t>
            </w:r>
          </w:p>
        </w:tc>
        <w:tc>
          <w:tcPr>
            <w:tcW w:w="12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Compensation</w:t>
            </w:r>
          </w:p>
        </w:tc>
        <w:tc>
          <w:tcPr>
            <w:tcW w:w="0" w:type="dxa"/>
            <w:vAlign w:val="bottom"/>
          </w:tcPr>
          <w:p>
            <w:pPr>
              <w:spacing w:after="0"/>
              <w:rPr>
                <w:sz w:val="1"/>
                <w:szCs w:val="1"/>
                <w:color w:val="auto"/>
              </w:rPr>
            </w:pPr>
          </w:p>
        </w:tc>
      </w:tr>
      <w:tr>
        <w:trPr>
          <w:trHeight w:val="135"/>
        </w:trPr>
        <w:tc>
          <w:tcPr>
            <w:tcW w:w="52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Year</w:t>
            </w:r>
          </w:p>
        </w:tc>
        <w:tc>
          <w:tcPr>
            <w:tcW w:w="126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tcPr>
          <w:p>
            <w:pPr>
              <w:jc w:val="center"/>
              <w:ind w:right="73"/>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Granted in</w:t>
            </w:r>
          </w:p>
        </w:tc>
        <w:tc>
          <w:tcPr>
            <w:tcW w:w="11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rPr>
              <w:t>Awards Granted in</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Granted and Vested</w:t>
            </w:r>
          </w:p>
        </w:tc>
        <w:tc>
          <w:tcPr>
            <w:tcW w:w="120" w:type="dxa"/>
            <w:vAlign w:val="bottom"/>
          </w:tcPr>
          <w:p>
            <w:pPr>
              <w:spacing w:after="0"/>
              <w:rPr>
                <w:sz w:val="11"/>
                <w:szCs w:val="11"/>
                <w:color w:val="auto"/>
              </w:rPr>
            </w:pPr>
          </w:p>
        </w:tc>
        <w:tc>
          <w:tcPr>
            <w:tcW w:w="1000" w:type="dxa"/>
            <w:vAlign w:val="bottom"/>
            <w:tcBorders>
              <w:right w:val="single" w:sz="8" w:color="auto"/>
            </w:tcBorders>
          </w:tcPr>
          <w:p>
            <w:pPr>
              <w:jc w:val="right"/>
              <w:ind w:right="93"/>
              <w:spacing w:after="0" w:line="135" w:lineRule="exact"/>
              <w:rPr>
                <w:sz w:val="20"/>
                <w:szCs w:val="20"/>
                <w:color w:val="auto"/>
              </w:rPr>
            </w:pPr>
            <w:r>
              <w:rPr>
                <w:rFonts w:ascii="Times New Roman" w:cs="Times New Roman" w:eastAsia="Times New Roman" w:hAnsi="Times New Roman"/>
                <w:sz w:val="13"/>
                <w:szCs w:val="13"/>
                <w:color w:val="auto"/>
              </w:rPr>
              <w:t>Unvested Prior</w:t>
            </w:r>
          </w:p>
        </w:tc>
        <w:tc>
          <w:tcPr>
            <w:tcW w:w="1120" w:type="dxa"/>
            <w:vAlign w:val="bottom"/>
            <w:tcBorders>
              <w:right w:val="single" w:sz="8" w:color="auto"/>
            </w:tcBorders>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Vested Prior Equity</w:t>
            </w:r>
          </w:p>
        </w:tc>
        <w:tc>
          <w:tcPr>
            <w:tcW w:w="80" w:type="dxa"/>
            <w:vAlign w:val="bottom"/>
          </w:tcPr>
          <w:p>
            <w:pPr>
              <w:spacing w:after="0"/>
              <w:rPr>
                <w:sz w:val="11"/>
                <w:szCs w:val="11"/>
                <w:color w:val="auto"/>
              </w:rPr>
            </w:pPr>
          </w:p>
        </w:tc>
        <w:tc>
          <w:tcPr>
            <w:tcW w:w="1040" w:type="dxa"/>
            <w:vAlign w:val="bottom"/>
            <w:tcBorders>
              <w:right w:val="single" w:sz="8" w:color="auto"/>
            </w:tcBorders>
          </w:tcPr>
          <w:p>
            <w:pPr>
              <w:jc w:val="center"/>
              <w:ind w:right="33"/>
              <w:spacing w:after="0" w:line="135" w:lineRule="exact"/>
              <w:rPr>
                <w:sz w:val="20"/>
                <w:szCs w:val="20"/>
                <w:color w:val="auto"/>
              </w:rPr>
            </w:pPr>
            <w:r>
              <w:rPr>
                <w:rFonts w:ascii="Times New Roman" w:cs="Times New Roman" w:eastAsia="Times New Roman" w:hAnsi="Times New Roman"/>
                <w:sz w:val="13"/>
                <w:szCs w:val="13"/>
                <w:color w:val="auto"/>
              </w:rPr>
              <w:t>Conditions in the</w:t>
            </w:r>
          </w:p>
        </w:tc>
        <w:tc>
          <w:tcPr>
            <w:tcW w:w="120" w:type="dxa"/>
            <w:vAlign w:val="bottom"/>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Officers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Table Total</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the Year</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color w:val="auto"/>
              </w:rPr>
              <w:t>in the 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Equity Awards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rPr>
              <w:t>Awards</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color w:val="auto"/>
              </w:rPr>
              <w:t>Year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Actually Paid</w:t>
            </w: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7,314,211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(6,209,780)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5,439,494</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6,543,925</w:t>
            </w:r>
          </w:p>
        </w:tc>
        <w:tc>
          <w:tcPr>
            <w:tcW w:w="0" w:type="dxa"/>
            <w:vAlign w:val="bottom"/>
          </w:tcPr>
          <w:p>
            <w:pPr>
              <w:spacing w:after="0"/>
              <w:rPr>
                <w:sz w:val="1"/>
                <w:szCs w:val="1"/>
                <w:color w:val="auto"/>
              </w:rPr>
            </w:pPr>
          </w:p>
        </w:tc>
      </w:tr>
      <w:tr>
        <w:trPr>
          <w:trHeight w:val="55"/>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2,790,743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(2,105,182)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1,844,047</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2,529,608</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6,111,883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(1,443,222)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1,768,318</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(57,684)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6,379,295</w:t>
            </w:r>
          </w:p>
        </w:tc>
        <w:tc>
          <w:tcPr>
            <w:tcW w:w="0" w:type="dxa"/>
            <w:vAlign w:val="bottom"/>
          </w:tcPr>
          <w:p>
            <w:pPr>
              <w:spacing w:after="0"/>
              <w:rPr>
                <w:sz w:val="1"/>
                <w:szCs w:val="1"/>
                <w:color w:val="auto"/>
              </w:rPr>
            </w:pPr>
          </w:p>
        </w:tc>
      </w:tr>
      <w:tr>
        <w:trPr>
          <w:trHeight w:val="55"/>
        </w:trPr>
        <w:tc>
          <w:tcPr>
            <w:tcW w:w="520" w:type="dxa"/>
            <w:vAlign w:val="bottom"/>
            <w:tcBorders>
              <w:left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1,819,522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(310,158)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379,350</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(52,253)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1,836,461</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2022</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PEO</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4,292,242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(3,377,578)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934,511</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(1,415,406)</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(1,022,391)</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(588,622)</w:t>
            </w:r>
          </w:p>
        </w:tc>
        <w:tc>
          <w:tcPr>
            <w:tcW w:w="0" w:type="dxa"/>
            <w:vAlign w:val="bottom"/>
          </w:tcPr>
          <w:p>
            <w:pPr>
              <w:spacing w:after="0"/>
              <w:rPr>
                <w:sz w:val="1"/>
                <w:szCs w:val="1"/>
                <w:color w:val="auto"/>
              </w:rPr>
            </w:pPr>
          </w:p>
        </w:tc>
      </w:tr>
      <w:tr>
        <w:trPr>
          <w:trHeight w:val="81"/>
        </w:trPr>
        <w:tc>
          <w:tcPr>
            <w:tcW w:w="520" w:type="dxa"/>
            <w:vAlign w:val="bottom"/>
            <w:tcBorders>
              <w:left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2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Non-PEO NEOs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1,662,966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(1,163,216)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414,344</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(322,827)</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(196,484)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color w:val="auto"/>
              </w:rPr>
              <w:t>(229,900)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164,883</w:t>
            </w:r>
          </w:p>
        </w:tc>
        <w:tc>
          <w:tcPr>
            <w:tcW w:w="0" w:type="dxa"/>
            <w:vAlign w:val="bottom"/>
          </w:tcPr>
          <w:p>
            <w:pPr>
              <w:spacing w:after="0"/>
              <w:rPr>
                <w:sz w:val="1"/>
                <w:szCs w:val="1"/>
                <w:color w:val="auto"/>
              </w:rPr>
            </w:pPr>
          </w:p>
        </w:tc>
      </w:tr>
      <w:tr>
        <w:trPr>
          <w:trHeight w:val="107"/>
        </w:trPr>
        <w:tc>
          <w:tcPr>
            <w:tcW w:w="52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52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140" w:hanging="332"/>
        <w:spacing w:after="0" w:line="282" w:lineRule="auto"/>
        <w:tabs>
          <w:tab w:leader="none" w:pos="4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for each year reflects what the cumulative value of $100 would be if such amount were invested into our Company for that applicable year on December 31, 2021.</w:t>
      </w:r>
    </w:p>
    <w:p>
      <w:pPr>
        <w:spacing w:after="0" w:line="5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4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or income as reported in our consolidated statements of operations and comprehensive (loss) income in our Annual Report on Form 10-K for the applicable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total shareholder return over the period covering fiscal years 2022, 2023, and 2024. A large component of our executive compensation is equity-based to align compensation with performance, but also includes other appropriate incentives such as cash bonuses that are designed to incentivize our executives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achieve annual corporate goals. We believe the equity-based compensation strongly aligns our PEO and Non-PEO NEOs’ interests with those of our shareholders to maximize long-term value and encourage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45720</wp:posOffset>
            </wp:positionV>
            <wp:extent cx="5863590" cy="3034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maintain a compensation program for our non-employee directors. Under our non-employee director compensation program as in effect during 2024, each non-employee director received the following amounts for their services on our Board:</w:t>
      </w:r>
    </w:p>
    <w:p>
      <w:pPr>
        <w:spacing w:after="0" w:line="52"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7,600 shares (or,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Chairman of the Board, 8,266 shares) of our Common Stock, which award vests in substantially equal monthly installments over three years following the date of grant, subject to accelerated vesting upon a change in control and 5,933 RSUs to vest in three substantially equal annual installments, subject to accelerated vesting upon a change in control. Each non-employee director who was providing service on January 2, 2024 also received an initial equity award on such date.</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first business day in January of each year, the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received an option to purchase 3,800 shares of our Common Stock and 2,600 RSUs on that date, which awards vest in a single installment on the first anniversary of the date of grant, subject to accelerated vesting upon a change in control. If such non-employee director served as the Chairman of the Board as of the first business day in January of each year, that non-employee director received an option to purchase 4,000 shares of our Common Stock that date, subject to the same vesting terms.</w:t>
      </w:r>
    </w:p>
    <w:p>
      <w:pPr>
        <w:spacing w:after="0" w:line="7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$30,000 and lead independent director, $25,000;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chairman,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chairman,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Corporate Governance Committee, $10,000;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chairman, $5,000;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now-disbanded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now-disbanded Research and Development Committee other than the chairman, $6,000.</w:t>
      </w:r>
    </w:p>
    <w:p>
      <w:pPr>
        <w:spacing w:after="0" w:line="11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20, 2024, the Board approved the following amendment to our non-employee director compensation program:</w:t>
      </w:r>
    </w:p>
    <w:p>
      <w:pPr>
        <w:spacing w:after="0" w:line="117" w:lineRule="exact"/>
        <w:rPr>
          <w:sz w:val="20"/>
          <w:szCs w:val="20"/>
          <w:color w:val="auto"/>
        </w:rPr>
      </w:pPr>
    </w:p>
    <w:p>
      <w:pPr>
        <w:jc w:val="both"/>
        <w:ind w:left="660" w:right="28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disbanding of the Research &amp; Development Committee and the formation of the Science and Technology Committee, an annual retainer in the amount of $12,000 was established for the chairman of the Science and Technology Committee, and in the amount of $6,000 for each member of the Committee other than the chairman.</w:t>
      </w:r>
    </w:p>
    <w:p>
      <w:pPr>
        <w:spacing w:after="0" w:line="6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Compensia, effective December 12, 2024, the Board approved the following amendments to our non-employee director compensation program, which are intended to align our program with the median of market:</w:t>
      </w:r>
    </w:p>
    <w:p>
      <w:pPr>
        <w:spacing w:after="0" w:line="54" w:lineRule="exact"/>
        <w:rPr>
          <w:sz w:val="20"/>
          <w:szCs w:val="20"/>
          <w:color w:val="auto"/>
        </w:rPr>
      </w:pPr>
    </w:p>
    <w:p>
      <w:pPr>
        <w:ind w:left="660" w:hanging="328"/>
        <w:spacing w:after="0" w:line="277" w:lineRule="auto"/>
        <w:tabs>
          <w:tab w:leader="none" w:pos="65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annual equity awards from options to purchase 4,000 shares of Common Stock to options to purchase 8,000 shares of Common Stock for the Chairman of the Board and from options to purchase 3,800 shares of Common Stock to options to purchase 7,800 shares of Common Stock for each other non-employee director, and increasing the initial grant from options to purchase 8,266 shares of Common Stock to options to purchase 17,866 shares of Common Stock for the Chairman of the Board and from options to purchase 7,600 shares of Common Stock to options to purchase 17,200 shares of Common Stock for each other non-employee director and reducing the initial grant from 5,933 RSUs to 5,800 RSUs;</w:t>
      </w:r>
    </w:p>
    <w:p>
      <w:pPr>
        <w:spacing w:after="0" w:line="5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retainer for the Chairman of the Board from $30,000 to $35,000;</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additional annual retainer from $15,000 to $20,000 for the chairman of the Audit Committee and from $7,500 to $10,000 for any Audit Committee member other than the chairman;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additional annual retainer from $12,000 to $15,000 for the chairman of the Compensation Committee and from $6,000 to $7,500 for any Compensation Committee member other than the chairman; and</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additional annual retainer from $12,000 to $15,000 for the chairman of the Science and Technology Committee and from $6,000 to $7,500 for any Science and Technology Committee member other than the chairman.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52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 M.B.A.</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60,272</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291,522</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90,071</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124,676</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331,366</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53,717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284,967</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Murat Kalayoglu, M.D., Ph.D.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49,556</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280,806</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Kemal Malik, MBBS </w:t>
            </w:r>
            <w:r>
              <w:rPr>
                <w:rFonts w:ascii="Times New Roman" w:cs="Times New Roman" w:eastAsia="Times New Roman" w:hAnsi="Times New Roman"/>
                <w:sz w:val="18"/>
                <w:szCs w:val="18"/>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314,568</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238,917</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Singer, M.D., Ph.D.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49,778</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281,028</w:t>
            </w:r>
          </w:p>
        </w:tc>
        <w:tc>
          <w:tcPr>
            <w:tcW w:w="0" w:type="dxa"/>
            <w:vAlign w:val="bottom"/>
          </w:tcPr>
          <w:p>
            <w:pPr>
              <w:spacing w:after="0"/>
              <w:rPr>
                <w:sz w:val="1"/>
                <w:szCs w:val="1"/>
                <w:color w:val="auto"/>
              </w:rPr>
            </w:pP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46,082</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277,332</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 M.B.A.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63,717</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in our 2024 Annual Report.</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Malik was appointed to the Board on July 1, 2024.</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Sallin resigned from the Board on February 28, 2024.</w:t>
      </w:r>
    </w:p>
    <w:p>
      <w:pPr>
        <w:spacing w:after="0" w:line="200" w:lineRule="exact"/>
        <w:rPr>
          <w:sz w:val="20"/>
          <w:szCs w:val="20"/>
          <w:color w:val="auto"/>
        </w:rPr>
      </w:pPr>
    </w:p>
    <w:p>
      <w:pPr>
        <w:spacing w:after="0" w:line="2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and unvested stock awards held by each non-employee director as of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Unvested stock awards at fiscal</w:t>
            </w:r>
          </w:p>
        </w:tc>
        <w:tc>
          <w:tcPr>
            <w:tcW w:w="0" w:type="dxa"/>
            <w:vAlign w:val="bottom"/>
          </w:tcPr>
          <w:p>
            <w:pPr>
              <w:spacing w:after="0"/>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 fiscal year end</w:t>
            </w:r>
          </w:p>
        </w:tc>
        <w:tc>
          <w:tcPr>
            <w:tcW w:w="19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0" w:type="dxa"/>
            <w:vAlign w:val="bottom"/>
          </w:tcPr>
          <w:p>
            <w:pPr>
              <w:spacing w:after="0"/>
              <w:rPr>
                <w:sz w:val="1"/>
                <w:szCs w:val="1"/>
                <w:color w:val="auto"/>
              </w:rPr>
            </w:pPr>
          </w:p>
        </w:tc>
      </w:tr>
      <w:tr>
        <w:trPr>
          <w:trHeight w:val="201"/>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 M.B.A.</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19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19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Murat Kalayoglu, M.D., Ph.D.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Kemal Malik, MBBS </w:t>
            </w:r>
            <w:r>
              <w:rPr>
                <w:rFonts w:ascii="Times New Roman" w:cs="Times New Roman" w:eastAsia="Times New Roman" w:hAnsi="Times New Roman"/>
                <w:sz w:val="18"/>
                <w:szCs w:val="18"/>
                <w:color w:val="auto"/>
                <w:vertAlign w:val="superscript"/>
              </w:rPr>
              <w:t>(1)</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203"/>
        </w:trPr>
        <w:tc>
          <w:tcPr>
            <w:tcW w:w="71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(2)</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Singer, M.D., M.B.A.</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19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 M.B.A.</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Malik was appointed to the Board on July 1, 2024.</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Sallin resigned from the Board on February 28,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3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plans</w:t>
            </w:r>
            <w:r>
              <w:rPr>
                <w:rFonts w:ascii="Times New Roman" w:cs="Times New Roman" w:eastAsia="Times New Roman" w:hAnsi="Times New Roman"/>
                <w:sz w:val="18"/>
                <w:szCs w:val="18"/>
                <w:b w:val="1"/>
                <w:bCs w:val="1"/>
                <w:color w:val="auto"/>
                <w:w w:val="95"/>
                <w:vertAlign w:val="superscript"/>
              </w:rPr>
              <w:t>(2)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vMerge w:val="restart"/>
          </w:tcPr>
          <w:p>
            <w:pPr>
              <w:jc w:val="right"/>
              <w:ind w:right="173"/>
              <w:spacing w:after="0"/>
              <w:rPr>
                <w:sz w:val="20"/>
                <w:szCs w:val="20"/>
                <w:color w:val="auto"/>
              </w:rPr>
            </w:pPr>
            <w:r>
              <w:rPr>
                <w:rFonts w:ascii="Times New Roman" w:cs="Times New Roman" w:eastAsia="Times New Roman" w:hAnsi="Times New Roman"/>
                <w:sz w:val="9"/>
                <w:szCs w:val="9"/>
                <w:color w:val="auto"/>
                <w:w w:val="94"/>
              </w:rPr>
              <w:t>(4)</w:t>
            </w:r>
          </w:p>
        </w:tc>
        <w:tc>
          <w:tcPr>
            <w:tcW w:w="2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w w:val="94"/>
              </w:rPr>
              <w:t>(5)</w:t>
            </w: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r>
        <w:trPr>
          <w:trHeight w:val="175"/>
        </w:trPr>
        <w:tc>
          <w:tcPr>
            <w:tcW w:w="3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color w:val="auto"/>
                <w:vertAlign w:val="superscript"/>
              </w:rPr>
              <w:t>(3)</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912,419</w:t>
            </w:r>
          </w:p>
        </w:tc>
        <w:tc>
          <w:tcPr>
            <w:tcW w:w="340" w:type="dxa"/>
            <w:vAlign w:val="bottom"/>
            <w:vMerge w:val="continue"/>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19.66</w:t>
            </w:r>
          </w:p>
        </w:tc>
        <w:tc>
          <w:tcPr>
            <w:tcW w:w="320" w:type="dxa"/>
            <w:vAlign w:val="bottom"/>
            <w:vMerge w:val="continue"/>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3,565,969</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1,237,854</w:t>
            </w:r>
          </w:p>
        </w:tc>
        <w:tc>
          <w:tcPr>
            <w:tcW w:w="34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8.03</w:t>
            </w:r>
          </w:p>
        </w:tc>
        <w:tc>
          <w:tcPr>
            <w:tcW w:w="32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9"/>
                <w:szCs w:val="9"/>
                <w:color w:val="auto"/>
                <w:w w:val="94"/>
              </w:rPr>
              <w:t>(9)</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639,230</w:t>
            </w: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0" w:type="dxa"/>
            <w:vAlign w:val="bottom"/>
          </w:tcPr>
          <w:p>
            <w:pPr>
              <w:spacing w:after="0"/>
              <w:rPr>
                <w:sz w:val="1"/>
                <w:szCs w:val="1"/>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2,150,273</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11.99</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4,205,199</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RSUs.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subject to an aggregate limit of 63,460 shares of Common Stock that may be issued under the 2016 ESPP.</w:t>
      </w:r>
    </w:p>
    <w:p>
      <w:pPr>
        <w:spacing w:after="0" w:line="6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and the 2016 ESPP.</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581,700 shares of Common Stock and 330,719 outstanding RSUs to purchase shares of Common Stock under the 2016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weighted-average exercise price of outstanding options under the 2016 Plan was $19.66.</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3,520,174 shares available for issuance under the 2016 Plan and 45,795 shares available for issuance under the 2016 ESPP (of which 0 shares were issued with respect to the purchase period in effect as of December 31, 2024, which purchase period ended on February 29, 2024).</w:t>
      </w:r>
    </w:p>
    <w:p>
      <w:pPr>
        <w:spacing w:after="0" w:line="53"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and the Old Cartesian Plan. See Note 13 to our consolidated financial statements included in our 2024 Annual Report for a description of the material features of the 2018 Plan and the Old Cartesian Plan.</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348,083 shares of Common Stock under the 2018 Plan and outstanding options to purchase 776,252 shares of Common Stock and 113,519 outstanding RSUs to purchase shares of Common Stock under the Old Cartesian Plan.</w:t>
      </w:r>
    </w:p>
    <w:p>
      <w:pPr>
        <w:spacing w:after="0" w:line="53"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weighted-average exercise price of outstanding options under the 2018 Plan was $19.56 and the weighted-average exercise price of outstanding options under the Old Cartesian Plan was $2.86.</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611,960 shares available for issuance under the 2018 Plan and 27,270 shares available for issuance under the Old Cartesian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 Practices</w:t>
      </w:r>
    </w:p>
    <w:p>
      <w:pPr>
        <w:spacing w:after="0" w:line="121"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7"/>
          <w:szCs w:val="17"/>
          <w:color w:val="auto"/>
        </w:rPr>
        <w:t>We do not have any program, plan, or obligation that requires us to grant equity awards on specified dates, though the Company’s long-standing practice has been for the Compensation Committee to meet each December to discuss recommendations to the Board on executive compensation adjustments for the next fiscal year. As part of this process, the Compensation Committee typically recommends, and the Board approves, the grant of equity, which historically has taken the form of stock options and RSUs, to executive employees, which are ultimately granted on the first business day of the following fiscal year. Lining up the timing of equity grants to coincide with grants made to the Board under the Company’s Non-Employee Director</w:t>
      </w:r>
    </w:p>
    <w:p>
      <w:pPr>
        <w:spacing w:after="0" w:line="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Compensation Program serves to ensure that management and the Board have a stake in the Company’s success and growth. We also believe this allows management, the Compensation Committee, and the Board to conduct a fulsome review of all elements of compensation on a consistent basis each year. The Board, with respect to our CEO, and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Compensation Committee, with respect to our remaining Named Executive Officers, may also grant equity awards from time to time in recognition of a named executive officer’s expanded duties and responsibilities or continuing contributions to the Company’s performance.</w:t>
      </w:r>
    </w:p>
    <w:p>
      <w:pPr>
        <w:spacing w:after="0" w:line="5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Neither the Compensation Committee nor the Board takes material nonpublic information into account when determining the timing and terms of grants of equity compensation. Further, we do not have any program, plan or practice to time grant dates of equity compensation awards in coordination with the release of material nonpublic information and have not timed the disclosure of material nonpublic information for the purpose of affecting the value of executive compensation.</w:t>
      </w:r>
    </w:p>
    <w:p>
      <w:pPr>
        <w:spacing w:after="0" w:line="7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Pursuant to Item 402(x) of Regulation S-K under the Exchange Act, we are providing the following information regarding awards granted to named executive officers of the Company on January 2, 2024, which was four business days before the filing of a Current Report on Form 8-K with which the Company furnished a then-current version of its corporate presentation.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 exercise</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206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price of the award</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value of the 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w:t>
      </w:r>
    </w:p>
    <w:p>
      <w:pPr>
        <w:spacing w:after="0" w:line="6" w:lineRule="exact"/>
        <w:rPr>
          <w:sz w:val="20"/>
          <w:szCs w:val="20"/>
          <w:color w:val="auto"/>
        </w:rPr>
      </w:pPr>
    </w:p>
    <w:p>
      <w:pPr>
        <w:ind w:left="20" w:right="60" w:hanging="17"/>
        <w:spacing w:after="0" w:line="211" w:lineRule="auto"/>
        <w:rPr>
          <w:sz w:val="20"/>
          <w:szCs w:val="20"/>
          <w:color w:val="auto"/>
        </w:rPr>
      </w:pPr>
      <w:r>
        <w:rPr>
          <w:rFonts w:ascii="Times New Roman" w:cs="Times New Roman" w:eastAsia="Times New Roman" w:hAnsi="Times New Roman"/>
          <w:sz w:val="14"/>
          <w:szCs w:val="14"/>
          <w:b w:val="1"/>
          <w:bCs w:val="1"/>
          <w:color w:val="auto"/>
        </w:rPr>
        <w:t>price of the securities underlying the award between the trading day immediately prior</w:t>
      </w:r>
    </w:p>
    <w:p>
      <w:pPr>
        <w:jc w:val="center"/>
        <w:ind w:right="60"/>
        <w:spacing w:after="0" w:line="222" w:lineRule="auto"/>
        <w:rPr>
          <w:sz w:val="20"/>
          <w:szCs w:val="20"/>
          <w:color w:val="auto"/>
        </w:rPr>
      </w:pPr>
      <w:r>
        <w:rPr>
          <w:rFonts w:ascii="Times New Roman" w:cs="Times New Roman" w:eastAsia="Times New Roman" w:hAnsi="Times New Roman"/>
          <w:sz w:val="14"/>
          <w:szCs w:val="14"/>
          <w:b w:val="1"/>
          <w:bCs w:val="1"/>
          <w:color w:val="auto"/>
        </w:rPr>
        <w:t>to the disclosure of material nonpublic</w:t>
      </w:r>
    </w:p>
    <w:p>
      <w:pPr>
        <w:jc w:val="center"/>
        <w:ind w:left="20" w:right="60"/>
        <w:spacing w:after="0" w:line="211" w:lineRule="auto"/>
        <w:rPr>
          <w:sz w:val="20"/>
          <w:szCs w:val="20"/>
          <w:color w:val="auto"/>
        </w:rPr>
      </w:pPr>
      <w:r>
        <w:rPr>
          <w:rFonts w:ascii="Times New Roman" w:cs="Times New Roman" w:eastAsia="Times New Roman" w:hAnsi="Times New Roman"/>
          <w:sz w:val="14"/>
          <w:szCs w:val="14"/>
          <w:b w:val="1"/>
          <w:bCs w:val="1"/>
          <w:color w:val="auto"/>
        </w:rPr>
        <w:t>information and the trading day beginning immediately following the disclosure of</w:t>
      </w:r>
    </w:p>
    <w:p>
      <w:pPr>
        <w:ind w:left="360"/>
        <w:spacing w:after="0"/>
        <w:rPr>
          <w:sz w:val="20"/>
          <w:szCs w:val="20"/>
          <w:color w:val="auto"/>
        </w:rPr>
      </w:pPr>
      <w:r>
        <w:rPr>
          <w:rFonts w:ascii="Times New Roman" w:cs="Times New Roman" w:eastAsia="Times New Roman" w:hAnsi="Times New Roman"/>
          <w:sz w:val="14"/>
          <w:szCs w:val="14"/>
          <w:b w:val="1"/>
          <w:bCs w:val="1"/>
          <w:color w:val="auto"/>
        </w:rPr>
        <w:t>material nonpublic information</w:t>
      </w:r>
    </w:p>
    <w:p>
      <w:pPr>
        <w:spacing w:after="0" w:line="25" w:lineRule="exact"/>
        <w:rPr>
          <w:sz w:val="20"/>
          <w:szCs w:val="20"/>
          <w:color w:val="auto"/>
        </w:rPr>
      </w:pPr>
    </w:p>
    <w:p>
      <w:pPr>
        <w:sectPr>
          <w:pgSz w:w="11900" w:h="16838" w:orient="portrait"/>
          <w:cols w:equalWidth="0" w:num="2">
            <w:col w:w="8280" w:space="240"/>
            <w:col w:w="27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199,033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3,138,074</w:t>
            </w:r>
          </w:p>
        </w:tc>
        <w:tc>
          <w:tcPr>
            <w:tcW w:w="1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5"/>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Blaine Davis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1,634,460</w:t>
            </w:r>
          </w:p>
        </w:tc>
        <w:tc>
          <w:tcPr>
            <w:tcW w:w="10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21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Metin Kurtoglu, M.D., Ph.D.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1,032,697</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Jewell, Ph.D.</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524,476</w:t>
            </w:r>
          </w:p>
        </w:tc>
        <w:tc>
          <w:tcPr>
            <w:tcW w:w="10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14, 2025,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25,937,101 shares of Common Stock outstanding as of April 14, 2025.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14, 2025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7495 New Horizon Way, Frederick, Maryland 21703.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9,794,965</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Murat Kalayoglu, M.D., Ph.D.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5,187,271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FMR, LLC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2,423,213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JPMorgan Chase &amp; Co. </w:t>
            </w:r>
            <w:r>
              <w:rPr>
                <w:rFonts w:ascii="Times New Roman" w:cs="Times New Roman" w:eastAsia="Times New Roman" w:hAnsi="Times New Roman"/>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1,675,636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Blaine Davis </w:t>
            </w:r>
            <w:r>
              <w:rPr>
                <w:rFonts w:ascii="Times New Roman" w:cs="Times New Roman" w:eastAsia="Times New Roman" w:hAnsi="Times New Roman"/>
                <w:sz w:val="18"/>
                <w:szCs w:val="18"/>
                <w:color w:val="auto"/>
                <w:vertAlign w:val="superscript"/>
              </w:rPr>
              <w:t>(6)</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Metin Kurtoglu, M.D., Ph.D. </w:t>
            </w:r>
            <w:r>
              <w:rPr>
                <w:rFonts w:ascii="Times New Roman" w:cs="Times New Roman" w:eastAsia="Times New Roman" w:hAnsi="Times New Roman"/>
                <w:sz w:val="18"/>
                <w:szCs w:val="18"/>
                <w:color w:val="auto"/>
                <w:vertAlign w:val="superscript"/>
              </w:rPr>
              <w:t>(7)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Christopher Jewell, Ph.D. </w:t>
            </w:r>
            <w:r>
              <w:rPr>
                <w:rFonts w:ascii="Times New Roman" w:cs="Times New Roman" w:eastAsia="Times New Roman" w:hAnsi="Times New Roman"/>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82,135</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(9)</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M.B.A. </w:t>
            </w:r>
            <w:r>
              <w:rPr>
                <w:rFonts w:ascii="Times New Roman" w:cs="Times New Roman" w:eastAsia="Times New Roman" w:hAnsi="Times New Roman"/>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Murat Kalayoglu, M.D., Ph.D.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5,187,271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Kemal Malik, M.B.B.S.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Michael S. Singer, M.D., Ph.D.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725,433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02"/>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9,794,965</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M.B.A. </w:t>
            </w:r>
            <w:r>
              <w:rPr>
                <w:rFonts w:ascii="Times New Roman" w:cs="Times New Roman" w:eastAsia="Times New Roman" w:hAnsi="Times New Roman"/>
                <w:sz w:val="18"/>
                <w:szCs w:val="18"/>
                <w:color w:val="auto"/>
                <w:vertAlign w:val="superscript"/>
              </w:rPr>
              <w:t>(14)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(14 persons) </w:t>
            </w:r>
            <w:r>
              <w:rPr>
                <w:rFonts w:ascii="Times New Roman" w:cs="Times New Roman" w:eastAsia="Times New Roman" w:hAnsi="Times New Roman"/>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16,202,786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p>
      <w:pPr>
        <w:spacing w:after="0" w:line="212" w:lineRule="exact"/>
        <w:rPr>
          <w:sz w:val="20"/>
          <w:szCs w:val="20"/>
          <w:color w:val="auto"/>
        </w:rPr>
      </w:pPr>
    </w:p>
    <w:p>
      <w:pPr>
        <w:ind w:left="500" w:right="40" w:hanging="492"/>
        <w:spacing w:after="0" w:line="254"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January 15, 2025 and other information known to us, consists of (i) 8,637,129 shares of Common Stock held directly by Timothy A. Springer, Ph.D., a member of our Board, (ii) 113,587 shares of Common Stock issuable upon exercise of underlying warrants exercisable within 60 days of April 14, 2025 held by Timothy A. Springer, Ph.D., (iii) 3,588 shares of Common Stock issuable upon exercise of outstanding options within 60 days of April 14, 2025 and held directly by Timothy A. Springer, Ph.D., (iv) 656,513 shares of Common Stock held by TAS Partners LLC (“TAS”) directly, (v) 33,408 shares of Common Stock issuable upon exercise of underlying warrants exercisable within 60 days of April 14, 2025 held by TAS directly, (vi) 330,695 shares of Common Stock held by Dr. Chafen Lu, Dr. Springer’s wife, and (vii) 20,045 shares of Common Stock issuable upon exercise of underlying warrants exercisable within 60 days of April 14, 2025 held by Dr. Chafen Lu. Dr. Springer is the sole managing member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right="260"/>
        <w:spacing w:after="0" w:line="266" w:lineRule="auto"/>
        <w:rPr>
          <w:sz w:val="20"/>
          <w:szCs w:val="20"/>
          <w:color w:val="auto"/>
        </w:rPr>
      </w:pPr>
      <w:r>
        <w:rPr>
          <w:rFonts w:ascii="Times New Roman" w:cs="Times New Roman" w:eastAsia="Times New Roman" w:hAnsi="Times New Roman"/>
          <w:sz w:val="18"/>
          <w:szCs w:val="18"/>
          <w:color w:val="auto"/>
        </w:rPr>
        <w:t>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68" w:lineRule="exact"/>
        <w:rPr>
          <w:sz w:val="20"/>
          <w:szCs w:val="20"/>
          <w:color w:val="auto"/>
        </w:rPr>
      </w:pPr>
    </w:p>
    <w:p>
      <w:pPr>
        <w:ind w:left="500" w:hanging="492"/>
        <w:spacing w:after="0" w:line="25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October 15, 2024 and other information known to us, consists of (i) 502,421 shares of Common Stock held directly by Murat Kalayoglu, M.D., Ph.D., a member of our Board, (ii) 3,588 shares of Common Stock issuable upon exercise of outstanding options within 60 days of April 14, 2025 and held directly by Murat Kalayoglu, M.D., Ph.D., (iii) 4,555,260 shares of Common Stock held by Seven One Eight Three Four Irrevocable Trust directly, and (iv) up to 1,880,075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 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 of shares of Common Stock presented in this row include a total of 126,002 shares of Common Stock issuable upon conversion of the shares of Series A Preferred Stock held by Seven One Eight Three Four Irrevocable Trust and assumes Seven One Eight Three Four Irrevocable Trust does not convert any shares of Series A Preferred Stock beyond such limitation.</w:t>
      </w:r>
    </w:p>
    <w:p>
      <w:pPr>
        <w:spacing w:after="0" w:line="83" w:lineRule="exact"/>
        <w:rPr>
          <w:rFonts w:ascii="Times New Roman" w:cs="Times New Roman" w:eastAsia="Times New Roman" w:hAnsi="Times New Roman"/>
          <w:sz w:val="18"/>
          <w:szCs w:val="18"/>
          <w:color w:val="auto"/>
        </w:rPr>
      </w:pPr>
    </w:p>
    <w:p>
      <w:pPr>
        <w:ind w:left="500" w:hanging="492"/>
        <w:spacing w:after="0" w:line="271" w:lineRule="auto"/>
        <w:tabs>
          <w:tab w:leader="none" w:pos="49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13G/A filed with the SEC on February 12, 2025 and other information known to us, consists of 2,423,213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51" w:lineRule="exact"/>
        <w:rPr>
          <w:rFonts w:ascii="Times New Roman" w:cs="Times New Roman" w:eastAsia="Times New Roman" w:hAnsi="Times New Roman"/>
          <w:sz w:val="17"/>
          <w:szCs w:val="17"/>
          <w:color w:val="auto"/>
        </w:rPr>
      </w:pPr>
    </w:p>
    <w:p>
      <w:pPr>
        <w:ind w:left="500" w:right="140" w:hanging="492"/>
        <w:spacing w:after="0" w:line="24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April 25, 2025, consists of 1,675,636 shares of Common Stock beneficially owned by JPMorgan Chase &amp; Co. and held by J.P. Morgan Securities LLC, JPMorgan Chase Bank, National Association, and J.P. Morgan Investment Management Inc. This Schedule 13G reported that JPMorgan Chase &amp; Co. had sole voting power with respect to 1,569,254 shares of Common Stock and sole dispositive power with respect to 1,674,036 shares of Common Stock. The principal business address of JPMorgan Chase &amp; Co is 383 Madison Avenue, New York, NY 10179.</w:t>
      </w:r>
    </w:p>
    <w:p>
      <w:pPr>
        <w:spacing w:after="0" w:line="90"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30,244 shares of Common Stock held by Dr. Brunn directly and (ii) 49,759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12,211 shares of Common Stock held by Mr. Davis directly and (ii) 25,917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26,935 shares of Common Stock held by Dr. Kurtoglu directly and (ii) 120,418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7,884 shares of Common Stock held by Dr. Jewell directly and (ii) 74,251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560" w:hanging="492"/>
        <w:spacing w:after="0" w:line="282" w:lineRule="auto"/>
        <w:tabs>
          <w:tab w:leader="none" w:pos="4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9,073 shares of Common Stock held by Ms. Cox directly and (ii) 3,903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17,810 shares of Common Stock held by Mr. Barabe directly and (ii) 3,588 shares of Common Stock underlying outstanding stock options exercisable within 60 days of April 14,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right="320" w:hanging="492"/>
        <w:spacing w:after="0" w:line="282" w:lineRule="auto"/>
        <w:tabs>
          <w:tab w:leader="none" w:pos="4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2,210 shares of Common Stock held by Dr. de Silva directly and (ii) 3,588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2,322 shares of Common Stock issuable upon exercise of underlying warrants exercisable within 60 days of April 14, 2025 held by Dr. Malik directly.</w:t>
      </w:r>
    </w:p>
    <w:p>
      <w:pPr>
        <w:spacing w:after="0" w:line="53" w:lineRule="exact"/>
        <w:rPr>
          <w:rFonts w:ascii="Times New Roman" w:cs="Times New Roman" w:eastAsia="Times New Roman" w:hAnsi="Times New Roman"/>
          <w:sz w:val="18"/>
          <w:szCs w:val="18"/>
          <w:color w:val="auto"/>
        </w:rPr>
      </w:pPr>
    </w:p>
    <w:p>
      <w:pPr>
        <w:ind w:left="500" w:hanging="492"/>
        <w:spacing w:after="0" w:line="253" w:lineRule="auto"/>
        <w:tabs>
          <w:tab w:leader="none" w:pos="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10, 2024 and other information known to us, consists of (i) 66,977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 Dr. Singer is a trustee and beneficiary, (iv) 7,127 shares of Common Stock held by Bakezilla 2019 Irrevocable Trust, a trust for which 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3,588 shares of Common Stock issuable upon exercise of outstanding options within 60 days of April 14, 2025 held by Dr. Singer directly.</w:t>
      </w:r>
    </w:p>
    <w:p>
      <w:pPr>
        <w:spacing w:after="0" w:line="86" w:lineRule="exact"/>
        <w:rPr>
          <w:rFonts w:ascii="Times New Roman" w:cs="Times New Roman" w:eastAsia="Times New Roman" w:hAnsi="Times New Roman"/>
          <w:sz w:val="18"/>
          <w:szCs w:val="18"/>
          <w:color w:val="auto"/>
        </w:rPr>
      </w:pPr>
    </w:p>
    <w:p>
      <w:pPr>
        <w:ind w:left="500" w:hanging="492"/>
        <w:spacing w:after="0" w:line="282" w:lineRule="auto"/>
        <w:tabs>
          <w:tab w:leader="none" w:pos="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3,818 shares of Common Stock held by Mr. Zenner directly and (ii) 3,588 shares of Common Stock underlying outstanding stock options exercisable within 60 days of April 14, 2025.</w:t>
      </w:r>
    </w:p>
    <w:p>
      <w:pPr>
        <w:spacing w:after="0" w:line="53" w:lineRule="exact"/>
        <w:rPr>
          <w:rFonts w:ascii="Times New Roman" w:cs="Times New Roman" w:eastAsia="Times New Roman" w:hAnsi="Times New Roman"/>
          <w:sz w:val="18"/>
          <w:szCs w:val="18"/>
          <w:color w:val="auto"/>
        </w:rPr>
      </w:pPr>
    </w:p>
    <w:p>
      <w:pPr>
        <w:ind w:left="500" w:hanging="492"/>
        <w:spacing w:after="0" w:line="266" w:lineRule="auto"/>
        <w:tabs>
          <w:tab w:leader="none" w:pos="4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15,527,159 shares of Common Stock owned directly or beneficially by our executive officers or members of our Board, (ii) 549,625 shares of Common Stock underlying outstanding stock options and warrants exercisable within 60 days of April 14, 2025, and (iii) 126,002 shares of Common Stock issuable upon conversion of the shares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7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filed on the SEC’s EDGAR system and written representations that no other reports were required, during the fiscal year ended December 31, 2024, all Section 16(a) filing requirements applicable to its officers, directors and greater than ten percent beneficial owners were complied with except as follows: one Form 4 was filed delinquently by Timothy A. Springer, Ph.D., a member of our Board, reporting open-market purchases on ten separate days by Dr. Springer’s spouse, and one Form 4 filed by Michael Singer, M.D., Ph.D., a member of our Board, was delinquent in reporting a gift transaction.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Securities Purchase Agreement</w:t>
      </w:r>
    </w:p>
    <w:p>
      <w:pPr>
        <w:spacing w:after="0" w:line="108"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On November 13, 2023, the Company entered into the a securities purchase agreement with (i) Timothy A. Springer, Ph.D., (ii) TAS, an affiliate of Dr. Springer, and (iii) Seven One Eight Three Four Irrevocable Trust, a trust associated with Murat Kalayoglu, M.D., Ph.D., in which the Company agreed to issue and sell an aggregate of 149,330.115 shares of Series A Preferred Stock for an aggregate purchase price of $60.25 million (the “2023 Private Placement”). We granted customary registration rights to investors in connection with the 2023 Private Placement. For further description of the 2023 Private Placement, see Note 11 to our consolidated audited financial statements included in our 2024 Annual Report. The 2023 Private Placement included a delayed settlement mechanism, and as a result, the below issuances and sales to related parties of the Company were made during the year ended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9"/>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5"/>
        </w:trPr>
        <w:tc>
          <w:tcPr>
            <w:tcW w:w="80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26, 2024, TAS, an affiliate of Dr. Springer, exercised 65,681 warrants to purchase Common Stock, paid the per-share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$43.80 in cash for an aggregate exercise price of $2.9 million, and upon exercise received 65,681 shares of Common Stock and 1,970,443 contingent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Securities Purchase Agreement</w:t>
      </w:r>
    </w:p>
    <w:p>
      <w:pPr>
        <w:spacing w:after="0" w:line="108"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for a private investment in public equity financing (the “2024 Private Placement”), with certain institutional and accredited investors (the “Purchasers”). The Purchasers included (i) Timothy A. Springer, Ph.D.; (ii) TAS, an affiliate of Dr. Springer, and (iii) Dr. Chafen Lu, Dr. Springer’s wife. We granted customary registration rights to investors in connection with the 2024 Private Placement. For further description of the 2024 Private Placement, see Note 11 to our consolidated audited financial statements included in our 2024 Annual Report. The below issuances and sales to related parties of the Company were made during the year ended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Series B</w:t>
            </w:r>
          </w:p>
        </w:tc>
        <w:tc>
          <w:tcPr>
            <w:tcW w:w="180" w:type="dxa"/>
            <w:vAlign w:val="bottom"/>
          </w:tcPr>
          <w:p>
            <w:pPr>
              <w:spacing w:after="0"/>
              <w:rPr>
                <w:sz w:val="13"/>
                <w:szCs w:val="13"/>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37"/>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1"/>
                <w:szCs w:val="11"/>
                <w:color w:val="auto"/>
              </w:rPr>
            </w:pPr>
          </w:p>
        </w:tc>
        <w:tc>
          <w:tcPr>
            <w:tcW w:w="1340" w:type="dxa"/>
            <w:vAlign w:val="bottom"/>
          </w:tcPr>
          <w:p>
            <w:pPr>
              <w:jc w:val="center"/>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1,636,832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32,737</w:t>
            </w:r>
          </w:p>
        </w:tc>
        <w:tc>
          <w:tcPr>
            <w:tcW w:w="0" w:type="dxa"/>
            <w:vAlign w:val="bottom"/>
          </w:tcPr>
          <w:p>
            <w:pPr>
              <w:spacing w:after="0"/>
              <w:rPr>
                <w:sz w:val="1"/>
                <w:szCs w:val="1"/>
                <w:color w:val="auto"/>
              </w:rPr>
            </w:pP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721,361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Chafen Lu, Ph.D., wife of Timothy A. Springer, Ph.D.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or Nominations to be Brought Before the Annual Meeting. </w:t>
      </w:r>
      <w:r>
        <w:rPr>
          <w:rFonts w:ascii="Times New Roman" w:cs="Times New Roman" w:eastAsia="Times New Roman" w:hAnsi="Times New Roman"/>
          <w:sz w:val="17"/>
          <w:szCs w:val="17"/>
          <w:color w:val="auto"/>
        </w:rPr>
        <w:t>Stockholders intending to present a proposal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2026 Annual Meeting of Stockholders no earlier than the close of business on February 13, 2026 and no later than the close of business on March 15, 2026. The notice must contain the information required by the Bylaws, a copy of which is available upon request to our Secretary. In the event that the date of the 2026 Annual Meeting of Stockholders is more than 30 days before or more than 60 days after June 13, 2026, then our Secretary must receive such written notice not earlier than the close of business on the 120th day prior to the 2026 Annual Meeting of Stockholders and not later than the close of business on the 90th day prior to the 2026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2026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2026 Annual Meeting of Stockholders</w:t>
      </w:r>
      <w:r>
        <w:rPr>
          <w:rFonts w:ascii="Times New Roman" w:cs="Times New Roman" w:eastAsia="Times New Roman" w:hAnsi="Times New Roman"/>
          <w:sz w:val="18"/>
          <w:szCs w:val="18"/>
          <w:color w:val="auto"/>
        </w:rPr>
        <w:t>. Any stockholder who wishes to submit a proposal for inclusion in our proxy materials must comply with Rule 14a-8 promulgated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For such proposals to be included in our proxy materials for presentation at our 2026 Annual Meeting of Stockholders, all applicable requirements of Rule 14a-8 must be satisfied, and we must receive such proposals no later than December 29, 2025 at our offices at 7495 New Horizon Way, Frederick, Maryland 21703, Attn: Secretary.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Cartesian’s Annual Report on Form 10-K</w:t>
      </w:r>
    </w:p>
    <w:p>
      <w:pPr>
        <w:spacing w:after="0" w:line="200" w:lineRule="exact"/>
        <w:rPr>
          <w:sz w:val="20"/>
          <w:szCs w:val="20"/>
          <w:color w:val="auto"/>
        </w:rPr>
      </w:pPr>
    </w:p>
    <w:p>
      <w:pPr>
        <w:spacing w:after="0" w:line="27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Cartesian’s Annual Report on Form 10-K for the fiscal year ended December 31, 2024, including financial statements and schedules thereto but not including exhibits, as filed with the SEC, will be sent to any stockholder of record on April 14, 2025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11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2024 on the “Financial Information”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page of our website at </w:t>
      </w:r>
      <w:r>
        <w:rPr>
          <w:rFonts w:ascii="Times New Roman" w:cs="Times New Roman" w:eastAsia="Times New Roman" w:hAnsi="Times New Roman"/>
          <w:sz w:val="18"/>
          <w:szCs w:val="18"/>
          <w:i w:val="1"/>
          <w:iCs w:val="1"/>
          <w:color w:val="auto"/>
        </w:rPr>
        <w:t>www.cartesiantherapeutics.com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Maryland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8961755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367665</wp:posOffset>
            </wp:positionV>
            <wp:extent cx="5863590" cy="7552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3590" cy="75520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367665</wp:posOffset>
            </wp:positionV>
            <wp:extent cx="5863590" cy="7586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bullet"/>
      <w:start w:val="1"/>
    </w:lvl>
  </w:abstractNum>
  <w:abstractNum w:abstractNumId="10">
    <w:nsid w:val="614FD4A1"/>
    <w:multiLevelType w:val="hybridMultilevel"/>
    <w:lvl w:ilvl="0">
      <w:lvlJc w:val="left"/>
      <w:lvlText w:val="2"/>
      <w:numFmt w:val="bullet"/>
      <w:start w:val="1"/>
    </w:lvl>
  </w:abstractNum>
  <w:abstractNum w:abstractNumId="11">
    <w:nsid w:val="419AC241"/>
    <w:multiLevelType w:val="hybridMultilevel"/>
    <w:lvl w:ilvl="0">
      <w:lvlJc w:val="left"/>
      <w:lvlText w:val="3"/>
      <w:numFmt w:val="bullet"/>
      <w:start w:val="1"/>
    </w:lvl>
  </w:abstractNum>
  <w:abstractNum w:abstractNumId="12">
    <w:nsid w:val="5577F8E1"/>
    <w:multiLevelType w:val="hybridMultilevel"/>
    <w:lvl w:ilvl="0">
      <w:lvlJc w:val="left"/>
      <w:lvlText w:val="4"/>
      <w:numFmt w:val="bullet"/>
      <w:start w:val="1"/>
    </w:lvl>
  </w:abstractNum>
  <w:abstractNum w:abstractNumId="13">
    <w:nsid w:val="440BADFC"/>
    <w:multiLevelType w:val="hybridMultilevel"/>
    <w:lvl w:ilvl="0">
      <w:lvlJc w:val="left"/>
      <w:lvlText w:val="5"/>
      <w:numFmt w:val="bullet"/>
      <w:start w:val="1"/>
    </w:lvl>
  </w:abstractNum>
  <w:abstractNum w:abstractNumId="14">
    <w:nsid w:val="5072367"/>
    <w:multiLevelType w:val="hybridMultilevel"/>
    <w:lvl w:ilvl="0">
      <w:lvlJc w:val="left"/>
      <w:lvlText w:val="6"/>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ü"/>
      <w:numFmt w:val="bullet"/>
      <w:start w:val="1"/>
    </w:lvl>
  </w:abstractNum>
  <w:abstractNum w:abstractNumId="31">
    <w:nsid w:val="2CD89A32"/>
    <w:multiLevelType w:val="hybridMultilevel"/>
    <w:lvl w:ilvl="0">
      <w:lvlJc w:val="left"/>
      <w:lvlText w:val="X"/>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6"/>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6"/>
    </w:lvl>
  </w:abstractNum>
  <w:abstractNum w:abstractNumId="44">
    <w:nsid w:val="1BA026FA"/>
    <w:multiLevelType w:val="hybridMultilevel"/>
    <w:lvl w:ilvl="0">
      <w:lvlJc w:val="left"/>
      <w:lvlText w:val="(%1)"/>
      <w:numFmt w:val="lowerRoman"/>
      <w:start w:val="5"/>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3"/>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2"/>
    </w:lvl>
  </w:abstractNum>
  <w:abstractNum w:abstractNumId="56">
    <w:nsid w:val="1CF10FD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2025-04-28T15:52:52Z</dcterms:created>
  <dcterms:modified xsi:type="dcterms:W3CDTF">2025-04-28T15:52:52Z</dcterms:modified>
</cp:coreProperties>
</file>