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27, 2025</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10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January 27, 2025, Cartesian Therapeutics, Inc. (the “Company”) issued a press release announcing that it has received written agreement from the U.S. Food and Drug Administration under the Special Protocol Assessment process on the overall design of the Company’s Phase 3 AURORA trial for Descartes-08, its lead mRNA cell therapy candidate, in myasthenia gravis. A copy of the press release is attached hereto as Exhibit 99.1 and incorporated 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9440" w:type="dxa"/>
            <w:vAlign w:val="bottom"/>
            <w:gridSpan w:val="2"/>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6"/>
                <w:szCs w:val="16"/>
                <w:color w:val="auto"/>
              </w:rPr>
            </w:pPr>
          </w:p>
        </w:tc>
        <w:tc>
          <w:tcPr>
            <w:tcW w:w="9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0000FF"/>
              </w:rPr>
              <w:t>Press release of Cartesian Therapeutics, Inc. issued on January 27, 2025.</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2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10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27, 2025</w:t>
            </w:r>
          </w:p>
        </w:tc>
        <w:tc>
          <w:tcPr>
            <w:tcW w:w="24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14605</wp:posOffset>
            </wp:positionV>
            <wp:extent cx="1414145"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line="234" w:lineRule="auto"/>
        <w:rPr>
          <w:sz w:val="20"/>
          <w:szCs w:val="20"/>
          <w:color w:val="auto"/>
        </w:rPr>
      </w:pPr>
      <w:r>
        <w:rPr>
          <w:rFonts w:ascii="Calibri" w:cs="Calibri" w:eastAsia="Calibri" w:hAnsi="Calibri"/>
          <w:sz w:val="20"/>
          <w:szCs w:val="20"/>
          <w:b w:val="1"/>
          <w:bCs w:val="1"/>
          <w:color w:val="auto"/>
        </w:rPr>
        <w:t>Cartesian Therapeutcs Announces FDA Special Protocol Assessment Agreement for Phase 3 AURORA Trial of Descartes-08 in Myasthenia Gravis</w:t>
      </w: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Trial on track to commence in 1H25</w:t>
      </w:r>
    </w:p>
    <w:p>
      <w:pPr>
        <w:spacing w:after="0" w:line="265" w:lineRule="exact"/>
        <w:rPr>
          <w:sz w:val="20"/>
          <w:szCs w:val="20"/>
          <w:color w:val="auto"/>
        </w:rPr>
      </w:pPr>
    </w:p>
    <w:p>
      <w:pPr>
        <w:jc w:val="both"/>
        <w:spacing w:after="0" w:line="239" w:lineRule="auto"/>
        <w:rPr>
          <w:sz w:val="20"/>
          <w:szCs w:val="20"/>
          <w:color w:val="auto"/>
        </w:rPr>
      </w:pPr>
      <w:r>
        <w:rPr>
          <w:rFonts w:ascii="Calibri" w:cs="Calibri" w:eastAsia="Calibri" w:hAnsi="Calibri"/>
          <w:sz w:val="20"/>
          <w:szCs w:val="20"/>
          <w:color w:val="auto"/>
        </w:rPr>
        <w:t>FREDERICK, Md., Jan. 27, 2025 (GLOBE NEWSWIRE) – Cartesian Therapeutcs, Inc. (NASDAQ: RNAC) (the “Company”), a clinical-stage biotechnology company pioneering mRNA cell therapy for autoimmune diseases, today announced that it has received writen agreement from the U.S. Food and Drug Administraton (FDA) under the Special Protocol Assessment (SPA) process on the overall design of the Company’s planned Phase 3 AURORA trial for Descartes-08, its lead mRNA cell therapy candidate, in myasthenia gravis (MG). The SPA agreement indicates that the FDA has determined that the proposed trial design is acceptable to support a future Biologics License Applicaton for Descartes-08 in MG, subject to the ultmate outcome of the trial.</w:t>
      </w:r>
    </w:p>
    <w:p>
      <w:pPr>
        <w:spacing w:after="0" w:line="269" w:lineRule="exact"/>
        <w:rPr>
          <w:sz w:val="20"/>
          <w:szCs w:val="20"/>
          <w:color w:val="auto"/>
        </w:rPr>
      </w:pPr>
    </w:p>
    <w:p>
      <w:pPr>
        <w:jc w:val="both"/>
        <w:spacing w:after="0" w:line="239" w:lineRule="auto"/>
        <w:rPr>
          <w:sz w:val="20"/>
          <w:szCs w:val="20"/>
          <w:color w:val="auto"/>
        </w:rPr>
      </w:pPr>
      <w:r>
        <w:rPr>
          <w:rFonts w:ascii="Calibri" w:cs="Calibri" w:eastAsia="Calibri" w:hAnsi="Calibri"/>
          <w:sz w:val="20"/>
          <w:szCs w:val="20"/>
          <w:color w:val="auto"/>
        </w:rPr>
        <w:t>“This SPA agreement marks an important milestone in the development of Descartes-08 for MG, providing critcal regulatory clarity and a clear path toward potental approval,” said Carsten Brunn, Ph.D., President and Chief Executve Ofcer of Cartesian. “Supported by compelling Phase 2b results where we observed deep and durable improvements in patents with MG, we frmly believe that Descartes-08 has the potental to serve as a meaningful new therapy that can be delivered in the convenient outpatent setng without the need for preconditoning chemotherapy. We look forward to commencing the Phase 3 AURORA trial in the frst half of this year.”</w:t>
      </w:r>
    </w:p>
    <w:p>
      <w:pPr>
        <w:spacing w:after="0" w:line="256" w:lineRule="exact"/>
        <w:rPr>
          <w:sz w:val="20"/>
          <w:szCs w:val="20"/>
          <w:color w:val="auto"/>
        </w:rPr>
      </w:pPr>
    </w:p>
    <w:p>
      <w:pPr>
        <w:jc w:val="both"/>
        <w:ind w:right="20"/>
        <w:spacing w:after="0"/>
        <w:rPr>
          <w:sz w:val="20"/>
          <w:szCs w:val="20"/>
          <w:color w:val="auto"/>
        </w:rPr>
      </w:pPr>
      <w:r>
        <w:rPr>
          <w:rFonts w:ascii="Calibri" w:cs="Calibri" w:eastAsia="Calibri" w:hAnsi="Calibri"/>
          <w:sz w:val="20"/>
          <w:szCs w:val="20"/>
          <w:color w:val="auto"/>
        </w:rPr>
        <w:t>The randomized, double-blind, placebo-controlled Phase 3 AURORA trial is designed to assess Descartes-08 versus placebo (1:1 randomizaton) administered as six once weekly infusions without preconditoning chemotherapy in approximately 100 partcipants with acetylcholine receptor autoantbody positve (AChR Ab+) MG. The primary endpoint will assess the proporton of Descartes-08 partcipants with an improvement in MG-ADL score of three points or more at Month 4 compared to placebo.</w:t>
      </w:r>
    </w:p>
    <w:p>
      <w:pPr>
        <w:spacing w:after="0" w:line="22" w:lineRule="exact"/>
        <w:rPr>
          <w:sz w:val="20"/>
          <w:szCs w:val="20"/>
          <w:color w:val="auto"/>
        </w:rPr>
      </w:pPr>
    </w:p>
    <w:p>
      <w:pPr>
        <w:jc w:val="both"/>
        <w:spacing w:after="0" w:line="239" w:lineRule="auto"/>
        <w:rPr>
          <w:sz w:val="20"/>
          <w:szCs w:val="20"/>
          <w:color w:val="auto"/>
        </w:rPr>
      </w:pPr>
      <w:r>
        <w:rPr>
          <w:rFonts w:ascii="Calibri" w:cs="Calibri" w:eastAsia="Calibri" w:hAnsi="Calibri"/>
          <w:sz w:val="20"/>
          <w:szCs w:val="20"/>
          <w:color w:val="auto"/>
        </w:rPr>
        <w:t>In December 2024, the Company announced positve updated results from the Phase 2b trial of Descartes-08 in partcipants with MG. Deepening responses were observed over tme, with Descartes-08-treated partcipants included in the primary efcacy dataset (n=12) experiencing an average MG Actvites of Daily Living (MG-ADL) reducton of 5.5 (±1.1) at Month 4. Consistent with previously reported data, Descartes-08 was observed to be well-tolerated, supportng outpatent administraton without the need for lymphodepletng chemotherapy.</w:t>
      </w:r>
    </w:p>
    <w:p>
      <w:pPr>
        <w:spacing w:after="0" w:line="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Myasthenia Gravis</w:t>
      </w:r>
    </w:p>
    <w:p>
      <w:pPr>
        <w:spacing w:after="0" w:line="26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Myasthenia gravis (MG) is a chronic autoimmune disorder that causes disabling muscle weakness and fatgue. For most people with MG, the disease is characterized by the presence of antbodies against the acetylcholine receptor, a protein found on the surface of nerve cells that plays a key role in muscle contracton. There is currently no cure for MG, and treatment typically requires chronic immunosuppressive medicines, with their atendant risks and side efects.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Descartes-08</w:t>
      </w:r>
    </w:p>
    <w:p>
      <w:pPr>
        <w:spacing w:after="0" w:line="252" w:lineRule="exact"/>
        <w:rPr>
          <w:sz w:val="20"/>
          <w:szCs w:val="20"/>
          <w:color w:val="auto"/>
        </w:rPr>
      </w:pPr>
    </w:p>
    <w:p>
      <w:pPr>
        <w:jc w:val="both"/>
        <w:spacing w:after="0" w:line="241" w:lineRule="auto"/>
        <w:rPr>
          <w:sz w:val="20"/>
          <w:szCs w:val="20"/>
          <w:color w:val="auto"/>
        </w:rPr>
      </w:pPr>
      <w:r>
        <w:rPr>
          <w:rFonts w:ascii="Calibri" w:cs="Calibri" w:eastAsia="Calibri" w:hAnsi="Calibri"/>
          <w:sz w:val="20"/>
          <w:szCs w:val="20"/>
          <w:color w:val="auto"/>
        </w:rPr>
        <w:t>Descartes-08, Cartesian’s lead mRNA cell therapy candidate, is an autologous mRNA-engineered chimeric antgen receptor T-cell therapy (mRNA CAR-T) product targetng B-cell maturaton antgen (BCMA) in clinical development for generalized myasthenia gravis (MG) and systemic lupus erythematosus. In contrast to conventonal DNA-based CAR T-cell therapies, mRNA CAR-T administraton is designed to not require preconditoning chemotherapy, can be administered in the outpatent setng, and does not carry the risk of genomic integraton associated with cancerous transformaton. Descartes-08 has been granted Orphan Drug Designaton and Regeneratve Medicine Advanced Therapy Designaton by the U.S. Food and Drug Administraton for the treatment of MG, and Rare Pediatric Disease Designaton for the treatment of juvenile dermatomyosits.</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Cartesian Therapeutcs</w:t>
      </w:r>
    </w:p>
    <w:p>
      <w:pPr>
        <w:spacing w:after="0" w:line="265" w:lineRule="exact"/>
        <w:rPr>
          <w:sz w:val="20"/>
          <w:szCs w:val="20"/>
          <w:color w:val="auto"/>
        </w:rPr>
      </w:pPr>
    </w:p>
    <w:p>
      <w:pPr>
        <w:jc w:val="both"/>
        <w:spacing w:after="0" w:line="239" w:lineRule="auto"/>
        <w:rPr>
          <w:sz w:val="20"/>
          <w:szCs w:val="20"/>
          <w:color w:val="auto"/>
        </w:rPr>
      </w:pPr>
      <w:r>
        <w:rPr>
          <w:rFonts w:ascii="Calibri" w:cs="Calibri" w:eastAsia="Calibri" w:hAnsi="Calibri"/>
          <w:sz w:val="20"/>
          <w:szCs w:val="20"/>
          <w:color w:val="auto"/>
        </w:rPr>
        <w:t xml:space="preserve">Cartesian Therapeutcs is a clinical-stage company pioneering mRNA cell therapy for the treatment of autoimmune diseases. The Company’s lead asset, Descartes-08, is an mRNA CAR-T in Phase 2b clinical development for patents with generalized myasthenia gravis and Phase 2 development for systemic lupus erythematosus, with a Phase 2 basket trial planned in additonal autoimmune indicatons. The Company’s clinical-stage pipeline also includes Descartes-15, a next-generaton, autologous ant-BCMA mRNA CAR-T. For more informaton, please visit </w:t>
      </w:r>
      <w:r>
        <w:rPr>
          <w:rFonts w:ascii="Calibri" w:cs="Calibri" w:eastAsia="Calibri" w:hAnsi="Calibri"/>
          <w:sz w:val="20"/>
          <w:szCs w:val="20"/>
          <w:u w:val="single" w:color="auto"/>
          <w:color w:val="467886"/>
        </w:rPr>
        <w:t>www.cartesiantherapeutcs.com</w:t>
      </w:r>
      <w:r>
        <w:rPr>
          <w:rFonts w:ascii="Calibri" w:cs="Calibri" w:eastAsia="Calibri" w:hAnsi="Calibri"/>
          <w:sz w:val="20"/>
          <w:szCs w:val="20"/>
          <w:color w:val="auto"/>
        </w:rPr>
        <w:t xml:space="preserve"> or follow the Company on LinkedIn or X, formerly known as Twiter.</w:t>
      </w:r>
    </w:p>
    <w:p>
      <w:pPr>
        <w:spacing w:after="0" w:line="24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spacing w:after="0" w:line="265" w:lineRule="exact"/>
        <w:rPr>
          <w:sz w:val="20"/>
          <w:szCs w:val="20"/>
          <w:color w:val="auto"/>
        </w:rPr>
      </w:pPr>
    </w:p>
    <w:p>
      <w:pPr>
        <w:jc w:val="both"/>
        <w:spacing w:after="0" w:line="241" w:lineRule="auto"/>
        <w:rPr>
          <w:sz w:val="20"/>
          <w:szCs w:val="20"/>
          <w:color w:val="auto"/>
        </w:rPr>
      </w:pPr>
      <w:r>
        <w:rPr>
          <w:rFonts w:ascii="Calibri" w:cs="Calibri" w:eastAsia="Calibri" w:hAnsi="Calibri"/>
          <w:sz w:val="20"/>
          <w:szCs w:val="20"/>
          <w:color w:val="auto"/>
        </w:rPr>
        <w:t>Any statements in this press release about the future expectatons, plans and prospects of the Company, including without limitaton, statements about the Company’s planned Phase 3 AURORA trial, statements regarding observatons and data from the myasthenia gravis Phase 2a/2b trial, the ability of the Company’s product candidates to be administered in an outpatent setng or without the need for preconditoning lymphodepletng chemotherapy, the potental of Descartes-08, Descartes-15, or any of the Company’s other product candidates to treat myasthenia gravis, systemic lupus erythematosus, juvenile dermatomyosits, or any other disease, the antcipated tming or the outcome of ongoing and planned clinical trials, studies and data readouts, the antcipated tming or the outcome of the FDA’s review of the Company’s regulatory flings, the Company’s ability to conduct its clinical trials and preclinical studies, the tming or</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42" w:lineRule="auto"/>
        <w:rPr>
          <w:sz w:val="20"/>
          <w:szCs w:val="20"/>
          <w:color w:val="auto"/>
        </w:rPr>
      </w:pPr>
      <w:r>
        <w:rPr>
          <w:rFonts w:ascii="Calibri" w:cs="Calibri" w:eastAsia="Calibri" w:hAnsi="Calibri"/>
          <w:sz w:val="20"/>
          <w:szCs w:val="20"/>
          <w:color w:val="auto"/>
        </w:rPr>
        <w:t>making of any regulatory flings, the novelty of treatment paradigms that the Company is able to develop, the potental of any therapies developed by the Company to fulfll unmet medical needs, and enrollment in the Company’s clinical trials and other statements containing the words “antcipate,” “believe,” “contnue,” “could,” “estmate,” “expect,” “hypothesize,” “intend,” “may,” “plan,” “potental,” “predict,” “project,” “should,” “target,” “would,” and similar expressions, consttute forward-looking statements within the meaning of The Private Securites Litgaton Reform Act of 1995. Actual results may difer materially from those indicated by such forward-looking statements as a result of various important factors, including, but not limited to, the following: the uncertaintes inherent in the initaton, completon and cost of clinical trials including proof of concept trials, including uncertain outcomes, the availability and tming of data from ongoing and future clinical trials and the results of such trials, whether preliminary results from a partcular clinical trial will be predictve of the fnal results of that trial and whether results of early clinical trials will be indicatve of the results of later clinical trials, the ability to predict results of studies performed on human beings based on results of studies performed on non-human subjects, the unproven approach of the Company’s technology, potental delays in enrollment of patents, undesirable side efects of the Company’s product candidates, its reliance on third partes to conduct its clinical trials, the Company’s</w:t>
      </w:r>
    </w:p>
    <w:p>
      <w:pPr>
        <w:spacing w:after="0" w:line="16" w:lineRule="exact"/>
        <w:rPr>
          <w:sz w:val="20"/>
          <w:szCs w:val="20"/>
          <w:color w:val="auto"/>
        </w:rPr>
      </w:pPr>
    </w:p>
    <w:p>
      <w:pPr>
        <w:jc w:val="both"/>
        <w:spacing w:after="0" w:line="242" w:lineRule="auto"/>
        <w:rPr>
          <w:sz w:val="20"/>
          <w:szCs w:val="20"/>
          <w:color w:val="auto"/>
        </w:rPr>
      </w:pPr>
      <w:r>
        <w:rPr>
          <w:rFonts w:ascii="Calibri" w:cs="Calibri" w:eastAsia="Calibri" w:hAnsi="Calibri"/>
          <w:sz w:val="20"/>
          <w:szCs w:val="20"/>
          <w:color w:val="auto"/>
        </w:rPr>
        <w:t>inability to maintain its existng or future collaboratons, licenses or contractual relatonships, its inability to protect its proprietary technology and intellectual property, potental delays in regulatory approvals, the availability of funding sufcient for its foreseeable and unforeseeable operatng expenses and capital expenditure requirements, the Company’s recurring losses from operatons and negatve cash fows, substantal fuctuaton in the price of the Company’s common stock, risks related to geopolitcal conficts and pandemics and other important factors discussed in the “Risk Factors” secton of the Company’s most recent Annual Report on Form 10-K and subsequently fled Quarterly Reports on Form 10-Q, and in other flings that the Company makes with the Securites and Exchange Commission. In additon, any forward-looking statements included in this press release represent the Company’s views only as of the date of its publicaton and should not be relied upon as representng its views as of any subsequent date. The Company specifcally disclaims any intenton to update any forward-looking statements included in this press release, except as required by law.</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Contact</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Megan LeDuc</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Associate Director, Investor Relatons</w:t>
      </w:r>
    </w:p>
    <w:p>
      <w:pPr>
        <w:spacing w:after="0" w:line="238" w:lineRule="auto"/>
        <w:rPr>
          <w:sz w:val="20"/>
          <w:szCs w:val="20"/>
          <w:color w:val="auto"/>
        </w:rPr>
      </w:pPr>
      <w:r>
        <w:rPr>
          <w:rFonts w:ascii="Calibri" w:cs="Calibri" w:eastAsia="Calibri" w:hAnsi="Calibri"/>
          <w:sz w:val="20"/>
          <w:szCs w:val="20"/>
          <w:u w:val="single" w:color="auto"/>
          <w:color w:val="467886"/>
        </w:rPr>
        <w:t>megan.leduc@cartesiantx.com</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David Rosen</w:t>
      </w:r>
    </w:p>
    <w:p>
      <w:pPr>
        <w:spacing w:after="0" w:line="238" w:lineRule="auto"/>
        <w:rPr>
          <w:sz w:val="20"/>
          <w:szCs w:val="20"/>
          <w:color w:val="auto"/>
        </w:rPr>
      </w:pPr>
      <w:r>
        <w:rPr>
          <w:rFonts w:ascii="Calibri" w:cs="Calibri" w:eastAsia="Calibri" w:hAnsi="Calibri"/>
          <w:sz w:val="20"/>
          <w:szCs w:val="20"/>
          <w:color w:val="auto"/>
        </w:rPr>
        <w:t>Argot Partners</w:t>
      </w:r>
    </w:p>
    <w:p>
      <w:pPr>
        <w:spacing w:after="0"/>
        <w:rPr>
          <w:sz w:val="20"/>
          <w:szCs w:val="20"/>
          <w:color w:val="auto"/>
        </w:rPr>
      </w:pPr>
      <w:r>
        <w:rPr>
          <w:rFonts w:ascii="Calibri" w:cs="Calibri" w:eastAsia="Calibri" w:hAnsi="Calibri"/>
          <w:sz w:val="20"/>
          <w:szCs w:val="20"/>
          <w:u w:val="single" w:color="auto"/>
          <w:color w:val="467886"/>
        </w:rPr>
        <w:t>david.rosen@argotpartners.com</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2025-01-27T06:11:15Z</dcterms:created>
  <dcterms:modified xsi:type="dcterms:W3CDTF">2025-01-27T06:11:15Z</dcterms:modified>
</cp:coreProperties>
</file>