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-222885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jc w:val="center"/>
              <w:ind w:right="34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24130</wp:posOffset>
            </wp:positionV>
            <wp:extent cx="7049770" cy="560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56026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40" w:space="560"/>
            <w:col w:w="8380"/>
          </w:cols>
          <w:pgMar w:left="460" w:top="212"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Kalayoglu Murat</w:t>
        </w:r>
      </w:hyperlink>
    </w:p>
    <w:p>
      <w:pPr>
        <w:spacing w:after="0" w:line="274"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6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704 QUINCE ORCHARD ROAD</w:t>
      </w: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8"/>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GAITHERSBURG MD</w:t>
            </w:r>
          </w:p>
        </w:tc>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20878</w:t>
            </w:r>
          </w:p>
        </w:tc>
      </w:tr>
      <w:tr>
        <w:trPr>
          <w:trHeight w:val="140"/>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44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Cartesian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RNAC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50"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restart"/>
          </w:tcPr>
          <w:p>
            <w:pPr>
              <w:ind w:left="200"/>
              <w:spacing w:after="0" w:line="150"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8"/>
        </w:trPr>
        <w:tc>
          <w:tcPr>
            <w:tcW w:w="22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below)</w:t>
            </w:r>
          </w:p>
        </w:tc>
        <w:tc>
          <w:tcPr>
            <w:tcW w:w="1640" w:type="dxa"/>
            <w:vAlign w:val="bottom"/>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8" w:lineRule="exact"/>
        <w:rPr>
          <w:sz w:val="24"/>
          <w:szCs w:val="24"/>
          <w:color w:val="auto"/>
        </w:rPr>
      </w:pPr>
    </w:p>
    <w:p>
      <w:pPr>
        <w:ind w:left="300" w:right="460"/>
        <w:spacing w:after="0" w:line="26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760" w:space="80"/>
            <w:col w:w="7240"/>
          </w:cols>
          <w:pgMar w:left="460" w:top="212"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9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2"/>
                <w:szCs w:val="12"/>
                <w:color w:val="auto"/>
              </w:rPr>
            </w:pPr>
          </w:p>
        </w:tc>
        <w:tc>
          <w:tcPr>
            <w:tcW w:w="19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3"/>
          </w:tcPr>
          <w:p>
            <w:pPr>
              <w:ind w:left="940"/>
              <w:spacing w:after="0" w:line="123"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3"/>
          </w:tcPr>
          <w:p>
            <w:pPr>
              <w:ind w:left="94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380"/>
              <w:spacing w:after="0" w:line="123" w:lineRule="exact"/>
              <w:rPr>
                <w:sz w:val="20"/>
                <w:szCs w:val="20"/>
                <w:color w:val="auto"/>
              </w:rPr>
            </w:pPr>
            <w:r>
              <w:rPr>
                <w:rFonts w:ascii="Arial" w:cs="Arial" w:eastAsia="Arial" w:hAnsi="Arial"/>
                <w:sz w:val="11"/>
                <w:szCs w:val="11"/>
                <w:b w:val="1"/>
                <w:bCs w:val="1"/>
                <w:color w:val="auto"/>
                <w:w w:val="95"/>
              </w:rPr>
              <w:t>(A) or</w:t>
            </w:r>
          </w:p>
        </w:tc>
        <w:tc>
          <w:tcPr>
            <w:tcW w:w="76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43"/>
              <w:spacing w:after="0"/>
              <w:rPr>
                <w:sz w:val="20"/>
                <w:szCs w:val="20"/>
                <w:color w:val="auto"/>
              </w:rPr>
            </w:pPr>
            <w:r>
              <w:rPr>
                <w:rFonts w:ascii="Times New Roman" w:cs="Times New Roman" w:eastAsia="Times New Roman" w:hAnsi="Times New Roman"/>
                <w:sz w:val="16"/>
                <w:szCs w:val="16"/>
                <w:color w:val="0000FF"/>
                <w:w w:val="98"/>
              </w:rPr>
              <w:t>04/08/2024</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6"/>
                <w:szCs w:val="16"/>
                <w:color w:val="0000FF"/>
              </w:rPr>
              <w:t>491,853</w:t>
            </w:r>
          </w:p>
        </w:tc>
        <w:tc>
          <w:tcPr>
            <w:tcW w:w="1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77"/>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3"/>
          </w:tcPr>
          <w:p>
            <w:pPr>
              <w:jc w:val="center"/>
              <w:ind w:right="203"/>
              <w:spacing w:after="0"/>
              <w:rPr>
                <w:sz w:val="20"/>
                <w:szCs w:val="20"/>
                <w:color w:val="auto"/>
              </w:rPr>
            </w:pPr>
            <w:r>
              <w:rPr>
                <w:rFonts w:ascii="Times New Roman" w:cs="Times New Roman" w:eastAsia="Times New Roman" w:hAnsi="Times New Roman"/>
                <w:sz w:val="16"/>
                <w:szCs w:val="16"/>
                <w:color w:val="0000FF"/>
              </w:rPr>
              <w:t>506,377</w:t>
            </w:r>
            <w:r>
              <w:rPr>
                <w:rFonts w:ascii="Times New Roman" w:cs="Times New Roman" w:eastAsia="Times New Roman" w:hAnsi="Times New Roman"/>
                <w:sz w:val="20"/>
                <w:szCs w:val="20"/>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43"/>
              <w:spacing w:after="0"/>
              <w:rPr>
                <w:sz w:val="20"/>
                <w:szCs w:val="20"/>
                <w:color w:val="auto"/>
              </w:rPr>
            </w:pPr>
            <w:r>
              <w:rPr>
                <w:rFonts w:ascii="Times New Roman" w:cs="Times New Roman" w:eastAsia="Times New Roman" w:hAnsi="Times New Roman"/>
                <w:sz w:val="16"/>
                <w:szCs w:val="16"/>
                <w:color w:val="0000FF"/>
                <w:w w:val="98"/>
              </w:rPr>
              <w:t>04/08/2024</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2,926,764</w:t>
            </w:r>
          </w:p>
        </w:tc>
        <w:tc>
          <w:tcPr>
            <w:tcW w:w="1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77"/>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3"/>
          </w:tcPr>
          <w:p>
            <w:pPr>
              <w:jc w:val="center"/>
              <w:ind w:right="143"/>
              <w:spacing w:after="0"/>
              <w:rPr>
                <w:sz w:val="20"/>
                <w:szCs w:val="20"/>
                <w:color w:val="auto"/>
              </w:rPr>
            </w:pPr>
            <w:r>
              <w:rPr>
                <w:rFonts w:ascii="Times New Roman" w:cs="Times New Roman" w:eastAsia="Times New Roman" w:hAnsi="Times New Roman"/>
                <w:sz w:val="16"/>
                <w:szCs w:val="16"/>
                <w:color w:val="0000FF"/>
              </w:rPr>
              <w:t>3,036,887</w:t>
            </w:r>
            <w:r>
              <w:rPr>
                <w:rFonts w:ascii="Times New Roman" w:cs="Times New Roman" w:eastAsia="Times New Roman" w:hAnsi="Times New Roman"/>
                <w:sz w:val="20"/>
                <w:szCs w:val="20"/>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80" w:type="dxa"/>
            <w:vAlign w:val="bottom"/>
            <w:gridSpan w:val="14"/>
          </w:tcPr>
          <w:p>
            <w:pPr>
              <w:jc w:val="center"/>
              <w:ind w:right="205"/>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40" w:type="dxa"/>
            <w:vAlign w:val="bottom"/>
            <w:gridSpan w:val="12"/>
          </w:tcPr>
          <w:p>
            <w:pPr>
              <w:jc w:val="center"/>
              <w:ind w:left="420"/>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0"/>
                <w:szCs w:val="10"/>
                <w:color w:val="auto"/>
              </w:rPr>
            </w:pP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4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3"/>
          </w:tcPr>
          <w:p>
            <w:pPr>
              <w:jc w:val="right"/>
              <w:ind w:right="197"/>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20" w:type="dxa"/>
            <w:vAlign w:val="bottom"/>
            <w:gridSpan w:val="3"/>
          </w:tcPr>
          <w:p>
            <w:pPr>
              <w:jc w:val="right"/>
              <w:ind w:right="197"/>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20" w:type="dxa"/>
            <w:vAlign w:val="bottom"/>
            <w:gridSpan w:val="3"/>
          </w:tcPr>
          <w:p>
            <w:pPr>
              <w:jc w:val="right"/>
              <w:ind w:right="377"/>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w w:val="91"/>
              </w:rPr>
              <w:t>491,853</w:t>
            </w:r>
            <w:r>
              <w:rPr>
                <w:rFonts w:ascii="Times New Roman" w:cs="Times New Roman" w:eastAsia="Times New Roman" w:hAnsi="Times New Roman"/>
                <w:sz w:val="20"/>
                <w:szCs w:val="20"/>
                <w:color w:val="008000"/>
                <w:w w:val="91"/>
                <w:vertAlign w:val="superscript"/>
              </w:rPr>
              <w:t>(2)</w:t>
            </w:r>
          </w:p>
        </w:tc>
        <w:tc>
          <w:tcPr>
            <w:tcW w:w="74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10"/>
                <w:szCs w:val="10"/>
                <w:color w:val="auto"/>
              </w:rPr>
            </w:pPr>
          </w:p>
        </w:tc>
        <w:tc>
          <w:tcPr>
            <w:tcW w:w="1020" w:type="dxa"/>
            <w:vAlign w:val="bottom"/>
          </w:tcPr>
          <w:p>
            <w:pPr>
              <w:jc w:val="right"/>
              <w:ind w:right="183"/>
              <w:spacing w:after="0" w:line="123" w:lineRule="exact"/>
              <w:rPr>
                <w:sz w:val="20"/>
                <w:szCs w:val="20"/>
                <w:color w:val="auto"/>
              </w:rPr>
            </w:pPr>
            <w:r>
              <w:rPr>
                <w:rFonts w:ascii="Times New Roman" w:cs="Times New Roman" w:eastAsia="Times New Roman" w:hAnsi="Times New Roman"/>
                <w:sz w:val="12"/>
                <w:szCs w:val="12"/>
                <w:color w:val="0000FF"/>
              </w:rPr>
              <w:t>04/08/2024</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160"/>
              <w:spacing w:after="0" w:line="123" w:lineRule="exact"/>
              <w:rPr>
                <w:sz w:val="20"/>
                <w:szCs w:val="20"/>
                <w:color w:val="auto"/>
              </w:rPr>
            </w:pPr>
            <w:r>
              <w:rPr>
                <w:rFonts w:ascii="Times New Roman" w:cs="Times New Roman" w:eastAsia="Times New Roman" w:hAnsi="Times New Roman"/>
                <w:sz w:val="12"/>
                <w:szCs w:val="12"/>
                <w:color w:val="0000FF"/>
              </w:rPr>
              <w:t>M</w:t>
            </w:r>
          </w:p>
        </w:tc>
        <w:tc>
          <w:tcPr>
            <w:tcW w:w="960" w:type="dxa"/>
            <w:vAlign w:val="bottom"/>
          </w:tcPr>
          <w:p>
            <w:pPr>
              <w:jc w:val="right"/>
              <w:ind w:right="44"/>
              <w:spacing w:after="0" w:line="123" w:lineRule="exact"/>
              <w:rPr>
                <w:sz w:val="20"/>
                <w:szCs w:val="20"/>
                <w:color w:val="auto"/>
              </w:rPr>
            </w:pPr>
            <w:r>
              <w:rPr>
                <w:rFonts w:ascii="Times New Roman" w:cs="Times New Roman" w:eastAsia="Times New Roman" w:hAnsi="Times New Roman"/>
                <w:sz w:val="12"/>
                <w:szCs w:val="12"/>
                <w:color w:val="0000FF"/>
              </w:rPr>
              <w:t>14,755.609</w:t>
            </w: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40" w:type="dxa"/>
            <w:vAlign w:val="bottom"/>
          </w:tcPr>
          <w:p>
            <w:pPr>
              <w:jc w:val="center"/>
              <w:ind w:left="243"/>
              <w:spacing w:after="0" w:line="123"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40" w:type="dxa"/>
            <w:vAlign w:val="bottom"/>
          </w:tcPr>
          <w:p>
            <w:pPr>
              <w:jc w:val="center"/>
              <w:ind w:left="59"/>
              <w:spacing w:after="0" w:line="123"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2,926,764</w:t>
            </w:r>
            <w:r>
              <w:rPr>
                <w:rFonts w:ascii="Times New Roman" w:cs="Times New Roman" w:eastAsia="Times New Roman" w:hAnsi="Times New Roman"/>
                <w:sz w:val="20"/>
                <w:szCs w:val="20"/>
                <w:color w:val="008000"/>
                <w:w w:val="92"/>
                <w:vertAlign w:val="superscript"/>
              </w:rPr>
              <w:t>(2)</w:t>
            </w:r>
          </w:p>
        </w:tc>
        <w:tc>
          <w:tcPr>
            <w:tcW w:w="74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by trust</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continue"/>
          </w:tcPr>
          <w:p>
            <w:pPr>
              <w:spacing w:after="0"/>
              <w:rPr>
                <w:sz w:val="10"/>
                <w:szCs w:val="10"/>
                <w:color w:val="auto"/>
              </w:rPr>
            </w:pPr>
          </w:p>
        </w:tc>
        <w:tc>
          <w:tcPr>
            <w:tcW w:w="1020" w:type="dxa"/>
            <w:vAlign w:val="bottom"/>
          </w:tcPr>
          <w:p>
            <w:pPr>
              <w:jc w:val="right"/>
              <w:ind w:right="183"/>
              <w:spacing w:after="0" w:line="123" w:lineRule="exact"/>
              <w:rPr>
                <w:sz w:val="20"/>
                <w:szCs w:val="20"/>
                <w:color w:val="auto"/>
              </w:rPr>
            </w:pPr>
            <w:r>
              <w:rPr>
                <w:rFonts w:ascii="Times New Roman" w:cs="Times New Roman" w:eastAsia="Times New Roman" w:hAnsi="Times New Roman"/>
                <w:sz w:val="12"/>
                <w:szCs w:val="12"/>
                <w:color w:val="0000FF"/>
              </w:rPr>
              <w:t>04/08/2024</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160"/>
              <w:spacing w:after="0" w:line="123" w:lineRule="exact"/>
              <w:rPr>
                <w:sz w:val="20"/>
                <w:szCs w:val="20"/>
                <w:color w:val="auto"/>
              </w:rPr>
            </w:pPr>
            <w:r>
              <w:rPr>
                <w:rFonts w:ascii="Times New Roman" w:cs="Times New Roman" w:eastAsia="Times New Roman" w:hAnsi="Times New Roman"/>
                <w:sz w:val="12"/>
                <w:szCs w:val="12"/>
                <w:color w:val="0000FF"/>
              </w:rPr>
              <w:t>M</w:t>
            </w:r>
          </w:p>
        </w:tc>
        <w:tc>
          <w:tcPr>
            <w:tcW w:w="960" w:type="dxa"/>
            <w:vAlign w:val="bottom"/>
          </w:tcPr>
          <w:p>
            <w:pPr>
              <w:jc w:val="right"/>
              <w:ind w:right="84"/>
              <w:spacing w:after="0" w:line="123" w:lineRule="exact"/>
              <w:rPr>
                <w:sz w:val="20"/>
                <w:szCs w:val="20"/>
                <w:color w:val="auto"/>
              </w:rPr>
            </w:pPr>
            <w:r>
              <w:rPr>
                <w:rFonts w:ascii="Times New Roman" w:cs="Times New Roman" w:eastAsia="Times New Roman" w:hAnsi="Times New Roman"/>
                <w:sz w:val="12"/>
                <w:szCs w:val="12"/>
                <w:color w:val="0000FF"/>
              </w:rPr>
              <w:t>87,802.95</w:t>
            </w: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2"/>
                <w:szCs w:val="12"/>
                <w:color w:val="0000FF"/>
              </w:rPr>
              <w:t>101,953.444</w:t>
            </w:r>
          </w:p>
        </w:tc>
        <w:tc>
          <w:tcPr>
            <w:tcW w:w="640" w:type="dxa"/>
            <w:vAlign w:val="bottom"/>
          </w:tcPr>
          <w:p>
            <w:pPr>
              <w:jc w:val="center"/>
              <w:ind w:left="59"/>
              <w:spacing w:after="0" w:line="123" w:lineRule="exact"/>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19.656</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01/01/2034</w:t>
            </w:r>
          </w:p>
        </w:tc>
        <w:tc>
          <w:tcPr>
            <w:tcW w:w="52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center"/>
              <w:ind w:right="17"/>
              <w:spacing w:after="0"/>
              <w:rPr>
                <w:sz w:val="20"/>
                <w:szCs w:val="20"/>
                <w:color w:val="auto"/>
              </w:rPr>
            </w:pPr>
            <w:r>
              <w:rPr>
                <w:rFonts w:ascii="Times New Roman" w:cs="Times New Roman" w:eastAsia="Times New Roman" w:hAnsi="Times New Roman"/>
                <w:sz w:val="16"/>
                <w:szCs w:val="16"/>
                <w:color w:val="0000FF"/>
                <w:w w:val="93"/>
              </w:rPr>
              <w:t>7,600</w:t>
            </w:r>
            <w:r>
              <w:rPr>
                <w:rFonts w:ascii="Times New Roman" w:cs="Times New Roman" w:eastAsia="Times New Roman" w:hAnsi="Times New Roman"/>
                <w:sz w:val="20"/>
                <w:szCs w:val="20"/>
                <w:color w:val="008000"/>
                <w:w w:val="93"/>
                <w:vertAlign w:val="superscript"/>
              </w:rPr>
              <w:t>(2)</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7,600</w:t>
            </w:r>
            <w:r>
              <w:rPr>
                <w:rFonts w:ascii="Times New Roman" w:cs="Times New Roman" w:eastAsia="Times New Roman" w:hAnsi="Times New Roman"/>
                <w:sz w:val="20"/>
                <w:szCs w:val="20"/>
                <w:color w:val="008000"/>
                <w:w w:val="93"/>
                <w:vertAlign w:val="superscript"/>
              </w:rPr>
              <w:t>(2)</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180" w:hanging="5"/>
        <w:spacing w:after="0" w:line="243"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27, 2024, issuer held a special meeting of stockholders (the "Special Meeting"). At the Special Meeting, the issuer's stockholders approved the Reverse Stock Split and the conversion of the issuer's Series A Non-Voting Convertible Preferred Stock ("Series A Preferred Stock") into shares of Common Stock. On April 8, 2024, the conversion of the majority of the shares of Series A Preferred Stock occurred automatically (the "Automatic Conversion"). The remaining shares of Series A Preferred Stock remain subject to certain beneficial ownership limitations described in issuer's filings with the Securities and Exchange Commission. At the time of the Automatic Conversion, the reporting person's shares of Series A Preferred Stock were limited to the extent that doing so would result in the reporting person beneficially owning greater than 19.9% of the issuer's outstanding Common Stock after giving effect to such conversion.</w:t>
      </w:r>
    </w:p>
    <w:p>
      <w:pPr>
        <w:spacing w:after="0" w:line="23"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2024, the issuer effected a 1-for-30 reverse stock split of its common stock (the "Reverse Stock Split"). The amount of securities reported on this Form 4 has been adjusted to reflect the Reverse Stock Split.</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in a trust (the "Trust") for the benefit of the reporting person's spouse and children. The reporting person's spouse is a trustee of the Trust.</w:t>
      </w:r>
    </w:p>
    <w:p>
      <w:pPr>
        <w:spacing w:after="0" w:line="45" w:lineRule="exact"/>
        <w:rPr>
          <w:rFonts w:ascii="Times New Roman" w:cs="Times New Roman" w:eastAsia="Times New Roman" w:hAnsi="Times New Roman"/>
          <w:sz w:val="12"/>
          <w:szCs w:val="12"/>
          <w:color w:val="008000"/>
        </w:rPr>
      </w:pPr>
    </w:p>
    <w:p>
      <w:pPr>
        <w:ind w:left="40" w:right="14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in accordance with the terms of an Agreement and Plan of Merger, dated November 13, 2023 (the "Merger"). These securities represent merger consideration payable as a result of the closing of the Merger.</w:t>
      </w:r>
    </w:p>
    <w:p>
      <w:pPr>
        <w:spacing w:after="0" w:line="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merger consideration payable as a result of the closing of the Merger and securities purchased in a private placement in November 2023.</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award will vest in 36 equal monthly installments, so that it shall be fully vested on the third anniversary of the date of grant.</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-6985</wp:posOffset>
            </wp:positionV>
            <wp:extent cx="10515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Murat</w:t>
      </w:r>
      <w:r>
        <w:rPr>
          <w:sz w:val="20"/>
          <w:szCs w:val="20"/>
          <w:color w:val="auto"/>
        </w:rPr>
        <w:tab/>
      </w:r>
      <w:r>
        <w:rPr>
          <w:rFonts w:ascii="Times New Roman" w:cs="Times New Roman" w:eastAsia="Times New Roman" w:hAnsi="Times New Roman"/>
          <w:sz w:val="15"/>
          <w:szCs w:val="15"/>
          <w:color w:val="0000FF"/>
        </w:rPr>
        <w:t>04/10/2024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-14605</wp:posOffset>
            </wp:positionV>
            <wp:extent cx="18580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801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Kalayoglu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-14605</wp:posOffset>
            </wp:positionV>
            <wp:extent cx="4203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0370" cy="7620"/>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0000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2024-04-10T20:47:11Z</dcterms:created>
  <dcterms:modified xsi:type="dcterms:W3CDTF">2024-04-10T20:47:11Z</dcterms:modified>
</cp:coreProperties>
</file>