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0"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960" w:type="dxa"/>
        <w:tblCellMar>
          <w:top w:w="0" w:type="dxa"/>
          <w:left w:w="0" w:type="dxa"/>
          <w:bottom w:w="0" w:type="dxa"/>
          <w:right w:w="0" w:type="dxa"/>
        </w:tblCellMar>
      </w:tblPr>
      <w:tr>
        <w:trPr>
          <w:trHeight w:val="234"/>
        </w:trPr>
        <w:tc>
          <w:tcPr>
            <w:tcW w:w="2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02"/>
        </w:trPr>
        <w:tc>
          <w:tcPr>
            <w:tcW w:w="29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(State or other jurisdiction</w:t>
            </w:r>
          </w:p>
        </w:tc>
        <w:tc>
          <w:tcPr>
            <w:tcW w:w="4220" w:type="dxa"/>
            <w:vAlign w:val="bottom"/>
          </w:tcPr>
          <w:p>
            <w:pPr>
              <w:jc w:val="center"/>
              <w:ind w:left="151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980" w:type="dxa"/>
            <w:vAlign w:val="bottom"/>
          </w:tcPr>
          <w:p>
            <w:pPr>
              <w:jc w:val="center"/>
              <w:ind w:right="50"/>
              <w:spacing w:after="0"/>
              <w:rPr>
                <w:sz w:val="20"/>
                <w:szCs w:val="20"/>
                <w:color w:val="auto"/>
              </w:rPr>
            </w:pPr>
            <w:r>
              <w:rPr>
                <w:rFonts w:ascii="Arial" w:cs="Arial" w:eastAsia="Arial" w:hAnsi="Arial"/>
                <w:sz w:val="18"/>
                <w:szCs w:val="18"/>
                <w:color w:val="auto"/>
                <w:w w:val="92"/>
              </w:rPr>
              <w:t>of incorporation or organization)</w:t>
            </w:r>
          </w:p>
        </w:tc>
        <w:tc>
          <w:tcPr>
            <w:tcW w:w="4220" w:type="dxa"/>
            <w:vAlign w:val="bottom"/>
          </w:tcPr>
          <w:p>
            <w:pPr>
              <w:spacing w:after="0"/>
              <w:rPr>
                <w:sz w:val="20"/>
                <w:szCs w:val="20"/>
                <w:color w:val="auto"/>
              </w:rPr>
            </w:pPr>
          </w:p>
        </w:tc>
      </w:tr>
      <w:tr>
        <w:trPr>
          <w:trHeight w:val="364"/>
        </w:trPr>
        <w:tc>
          <w:tcPr>
            <w:tcW w:w="2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65 Grove Street, Watertown, MA</w:t>
            </w:r>
          </w:p>
        </w:tc>
        <w:tc>
          <w:tcPr>
            <w:tcW w:w="4220" w:type="dxa"/>
            <w:vAlign w:val="bottom"/>
          </w:tcPr>
          <w:p>
            <w:pPr>
              <w:jc w:val="right"/>
              <w:ind w:right="1010"/>
              <w:spacing w:after="0"/>
              <w:rPr>
                <w:sz w:val="20"/>
                <w:szCs w:val="20"/>
                <w:color w:val="auto"/>
              </w:rPr>
            </w:pPr>
            <w:r>
              <w:rPr>
                <w:rFonts w:ascii="Arial" w:cs="Arial" w:eastAsia="Arial" w:hAnsi="Arial"/>
                <w:sz w:val="18"/>
                <w:szCs w:val="18"/>
                <w:b w:val="1"/>
                <w:bCs w:val="1"/>
                <w:color w:val="auto"/>
              </w:rPr>
              <w:t>02472</w:t>
            </w:r>
          </w:p>
        </w:tc>
      </w:tr>
      <w:tr>
        <w:trPr>
          <w:trHeight w:val="243"/>
        </w:trPr>
        <w:tc>
          <w:tcPr>
            <w:tcW w:w="29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351"/>
        </w:trPr>
        <w:tc>
          <w:tcPr>
            <w:tcW w:w="2980" w:type="dxa"/>
            <w:vAlign w:val="bottom"/>
          </w:tcPr>
          <w:p>
            <w:pPr>
              <w:spacing w:after="0"/>
              <w:rPr>
                <w:sz w:val="24"/>
                <w:szCs w:val="24"/>
                <w:color w:val="auto"/>
              </w:rPr>
            </w:pPr>
          </w:p>
        </w:tc>
        <w:tc>
          <w:tcPr>
            <w:tcW w:w="4220" w:type="dxa"/>
            <w:vAlign w:val="bottom"/>
          </w:tcPr>
          <w:p>
            <w:pPr>
              <w:jc w:val="right"/>
              <w:ind w:right="2890"/>
              <w:spacing w:after="0"/>
              <w:rPr>
                <w:sz w:val="20"/>
                <w:szCs w:val="20"/>
                <w:color w:val="auto"/>
              </w:rPr>
            </w:pPr>
            <w:r>
              <w:rPr>
                <w:rFonts w:ascii="Arial" w:cs="Arial" w:eastAsia="Arial" w:hAnsi="Arial"/>
                <w:sz w:val="18"/>
                <w:szCs w:val="18"/>
                <w:b w:val="1"/>
                <w:bCs w:val="1"/>
                <w:color w:val="auto"/>
                <w:w w:val="99"/>
              </w:rPr>
              <w:t>(617) 923-1400</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74"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07"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1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74" w:right="359" w:bottom="1440" w:gutter="0" w:footer="0" w:header="0"/>
        </w:sectPr>
      </w:pPr>
    </w:p>
    <w:p>
      <w:pPr>
        <w:spacing w:after="0" w:line="9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ind w:left="700"/>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4">
            <w:col w:w="3280" w:space="80"/>
            <w:col w:w="2300" w:space="720"/>
            <w:col w:w="1780" w:space="80"/>
            <w:col w:w="2980"/>
          </w:cols>
          <w:pgMar w:left="320" w:top="1174" w:right="359" w:bottom="1440" w:gutter="0" w:footer="0" w:header="0"/>
          <w:type w:val="continuous"/>
        </w:sectPr>
      </w:pPr>
    </w:p>
    <w:p>
      <w:pPr>
        <w:spacing w:after="0" w:line="5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174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5, 2021, the registrant had 116,648,919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60" w:type="dxa"/>
            <w:vAlign w:val="bottom"/>
            <w:gridSpan w:val="10"/>
          </w:tcPr>
          <w:p>
            <w:pPr>
              <w:jc w:val="center"/>
              <w:ind w:right="4080"/>
              <w:spacing w:after="0"/>
              <w:rPr>
                <w:sz w:val="20"/>
                <w:szCs w:val="20"/>
                <w:color w:val="auto"/>
              </w:rPr>
            </w:pPr>
            <w:r>
              <w:rPr>
                <w:rFonts w:ascii="Arial" w:cs="Arial" w:eastAsia="Arial" w:hAnsi="Arial"/>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Borders>
              <w:bottom w:val="single" w:sz="8" w:color="0000FF"/>
            </w:tcBorders>
            <w:gridSpan w:val="5"/>
          </w:tcPr>
          <w:p>
            <w:pPr>
              <w:jc w:val="cente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PART I. FINANCIAL INFORMATION</w:t>
              </w:r>
            </w:hyperlink>
          </w:p>
        </w:tc>
        <w:tc>
          <w:tcPr>
            <w:tcW w:w="39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996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666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Balance Sheets as of September 30, 2021 (Unaudited) and December 31, 2020</w:t>
              </w:r>
            </w:hyperlink>
          </w:p>
        </w:tc>
        <w:tc>
          <w:tcPr>
            <w:tcW w:w="330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1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960" w:type="dxa"/>
            <w:vAlign w:val="bottom"/>
            <w:gridSpan w:val="2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Consolidated Statements of Operations and Comprehensive Loss for the Three and Nine Months ended September 30, 2021</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155"/>
        </w:trPr>
        <w:tc>
          <w:tcPr>
            <w:tcW w:w="980" w:type="dxa"/>
            <w:vAlign w:val="bottom"/>
          </w:tcPr>
          <w:p>
            <w:pPr>
              <w:spacing w:after="0"/>
              <w:rPr>
                <w:sz w:val="13"/>
                <w:szCs w:val="13"/>
                <w:color w:val="auto"/>
              </w:rPr>
            </w:pPr>
          </w:p>
        </w:tc>
        <w:tc>
          <w:tcPr>
            <w:tcW w:w="89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and 2020 (Unaudited)</w:t>
              </w:r>
            </w:hyperlink>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96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Changes in Stockholders’ (Deficit) Equity for the Three Months ended March 31, June 30, and</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155"/>
        </w:trPr>
        <w:tc>
          <w:tcPr>
            <w:tcW w:w="98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September 30, 2021 and 2020 (Unaudited)</w:t>
              </w:r>
            </w:hyperlink>
          </w:p>
        </w:tc>
        <w:tc>
          <w:tcPr>
            <w:tcW w:w="5780" w:type="dxa"/>
            <w:vAlign w:val="bottom"/>
            <w:tcBorders>
              <w:top w:val="single" w:sz="8" w:color="0000FF"/>
            </w:tcBorders>
            <w:gridSpan w:val="10"/>
          </w:tcPr>
          <w:p>
            <w:pPr>
              <w:spacing w:after="0"/>
              <w:rPr>
                <w:sz w:val="13"/>
                <w:szCs w:val="13"/>
                <w:color w:val="auto"/>
              </w:rPr>
            </w:pPr>
          </w:p>
        </w:tc>
        <w:tc>
          <w:tcPr>
            <w:tcW w:w="1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980" w:type="dxa"/>
            <w:vAlign w:val="bottom"/>
          </w:tcPr>
          <w:p>
            <w:pPr>
              <w:spacing w:after="0"/>
              <w:rPr>
                <w:sz w:val="18"/>
                <w:szCs w:val="18"/>
                <w:color w:val="auto"/>
              </w:rPr>
            </w:pPr>
          </w:p>
        </w:tc>
        <w:tc>
          <w:tcPr>
            <w:tcW w:w="798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Cash Flows for the Nine Months ended September 30, 2021 and 2020 (Unaudited)</w:t>
              </w:r>
            </w:hyperlink>
          </w:p>
        </w:tc>
        <w:tc>
          <w:tcPr>
            <w:tcW w:w="19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1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96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300" w:type="dxa"/>
            <w:vAlign w:val="bottom"/>
            <w:gridSpan w:val="3"/>
          </w:tcPr>
          <w:p>
            <w:pPr>
              <w:jc w:val="right"/>
              <w:ind w:right="1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996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3520" w:type="dxa"/>
            <w:vAlign w:val="bottom"/>
            <w:gridSpan w:val="5"/>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FF"/>
            </w:tcBorders>
            <w:gridSpan w:val="1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560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120" w:type="dxa"/>
            <w:vAlign w:val="bottom"/>
          </w:tcPr>
          <w:p>
            <w:pPr>
              <w:spacing w:after="0"/>
              <w:rPr>
                <w:sz w:val="18"/>
                <w:szCs w:val="18"/>
                <w:color w:val="auto"/>
              </w:rPr>
            </w:pPr>
          </w:p>
        </w:tc>
      </w:tr>
      <w:tr>
        <w:trPr>
          <w:trHeight w:val="479"/>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rFonts w:ascii="Arial" w:cs="Arial" w:eastAsia="Arial" w:hAnsi="Arial"/>
                <w:sz w:val="18"/>
                <w:szCs w:val="18"/>
                <w:color w:val="0000FF"/>
                <w:w w:val="96"/>
              </w:rPr>
            </w:pPr>
            <w:hyperlink w:anchor="page43">
              <w:r>
                <w:rPr>
                  <w:rFonts w:ascii="Arial" w:cs="Arial" w:eastAsia="Arial" w:hAnsi="Arial"/>
                  <w:sz w:val="18"/>
                  <w:szCs w:val="18"/>
                  <w:color w:val="0000FF"/>
                  <w:w w:val="96"/>
                </w:rPr>
                <w:t>PART II. OTHER INFORMATION</w:t>
              </w:r>
            </w:hyperlink>
          </w:p>
        </w:tc>
        <w:tc>
          <w:tcPr>
            <w:tcW w:w="4080" w:type="dxa"/>
            <w:vAlign w:val="bottom"/>
            <w:gridSpan w:val="7"/>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Legal Proceedings</w:t>
              </w:r>
            </w:hyperlink>
          </w:p>
        </w:tc>
        <w:tc>
          <w:tcPr>
            <w:tcW w:w="8620" w:type="dxa"/>
            <w:vAlign w:val="bottom"/>
            <w:gridSpan w:val="17"/>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9960" w:type="dxa"/>
            <w:vAlign w:val="bottom"/>
            <w:gridSpan w:val="2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Unregistered Sales of Equity Securities and Use of Proceeds</w:t>
              </w:r>
            </w:hyperlink>
          </w:p>
        </w:tc>
        <w:tc>
          <w:tcPr>
            <w:tcW w:w="560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9960" w:type="dxa"/>
            <w:vAlign w:val="bottom"/>
            <w:gridSpan w:val="2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7640" w:type="dxa"/>
            <w:vAlign w:val="bottom"/>
            <w:gridSpan w:val="1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Other Information</w:t>
              </w:r>
            </w:hyperlink>
          </w:p>
        </w:tc>
        <w:tc>
          <w:tcPr>
            <w:tcW w:w="8640" w:type="dxa"/>
            <w:vAlign w:val="bottom"/>
            <w:gridSpan w:val="18"/>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9960" w:type="dxa"/>
            <w:vAlign w:val="bottom"/>
            <w:gridSpan w:val="2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20"/>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960" w:type="dxa"/>
            <w:vAlign w:val="bottom"/>
            <w:gridSpan w:val="2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120" w:type="dxa"/>
            <w:vAlign w:val="bottom"/>
            <w:gridSpan w:val="13"/>
          </w:tcPr>
          <w:p>
            <w:pPr>
              <w:jc w:val="right"/>
              <w:ind w:right="1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such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 and uncertainties.</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7"/>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Right-of-use asset, net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167,162</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(deficit) equity</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10,742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 net of current portion</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Warrant liabilities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185,893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66"/>
        </w:trPr>
        <w:tc>
          <w:tcPr>
            <w:tcW w:w="808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(deficit) equity:</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Arial" w:cs="Arial" w:eastAsia="Arial" w:hAnsi="Arial"/>
                <w:sz w:val="14"/>
                <w:szCs w:val="14"/>
                <w:color w:val="auto"/>
                <w:w w:val="92"/>
              </w:rPr>
              <w:t>Preferred stock, $0.0001 par value; 10,000,000 shares authorized; no shares issued and outstanding at September 30, 2021 and December</w:t>
            </w:r>
          </w:p>
        </w:tc>
        <w:tc>
          <w:tcPr>
            <w:tcW w:w="200" w:type="dxa"/>
            <w:vAlign w:val="bottom"/>
          </w:tcPr>
          <w:p>
            <w:pPr>
              <w:spacing w:after="0"/>
              <w:rPr>
                <w:sz w:val="11"/>
                <w:szCs w:val="11"/>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31, 2020</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Common stock, $0.0001 par value; 200,000,000 shares authorized; 115,443,500 and 108,071,249 shares issued and outstanding as of</w:t>
            </w:r>
          </w:p>
        </w:tc>
        <w:tc>
          <w:tcPr>
            <w:tcW w:w="2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2021 and December 31, 2020, respectively</w:t>
            </w:r>
          </w:p>
        </w:tc>
        <w:tc>
          <w:tcPr>
            <w:tcW w:w="2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428,371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(deficit) equity</w:t>
            </w: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liabilities and stockholders’ (deficit)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167,162</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8"/>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2020</w:t>
            </w:r>
          </w:p>
        </w:tc>
      </w:tr>
      <w:tr>
        <w:trPr>
          <w:trHeight w:val="184"/>
        </w:trPr>
        <w:tc>
          <w:tcPr>
            <w:tcW w:w="4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24,427</w:t>
            </w:r>
          </w:p>
        </w:tc>
        <w:tc>
          <w:tcPr>
            <w:tcW w:w="12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4,646</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55,140</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4,646</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20,951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48,418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39,414</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15,397</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14,155</w:t>
            </w:r>
          </w:p>
        </w:tc>
      </w:tr>
      <w:tr>
        <w:trPr>
          <w:trHeight w:val="17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26,396</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63,815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53,569</w:t>
            </w:r>
          </w:p>
        </w:tc>
      </w:tr>
      <w:tr>
        <w:trPr>
          <w:trHeight w:val="18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(48,923)</w:t>
            </w: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Foreign currency transaction, net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(11,335)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(3,606)</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9"/>
        </w:trPr>
        <w:tc>
          <w:tcPr>
            <w:tcW w:w="482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(2,066)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(9,729)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(22,098)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(53,430)</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(17,894)</w:t>
            </w:r>
          </w:p>
        </w:tc>
        <w:tc>
          <w:tcPr>
            <w:tcW w:w="12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(37,926)</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(53,430)</w:t>
            </w:r>
          </w:p>
        </w:tc>
      </w:tr>
      <w:tr>
        <w:trPr>
          <w:trHeight w:val="199"/>
        </w:trPr>
        <w:tc>
          <w:tcPr>
            <w:tcW w:w="4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Unrealized loss on marketable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share: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4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9"/>
        </w:trPr>
        <w:tc>
          <w:tcPr>
            <w:tcW w:w="482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115,169,949</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105,325,788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113,161,622</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98,968,359</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5"/>
        </w:trPr>
        <w:tc>
          <w:tcPr>
            <w:tcW w:w="560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(Deficit)</w:t>
            </w:r>
          </w:p>
        </w:tc>
      </w:tr>
      <w:tr>
        <w:trPr>
          <w:trHeight w:val="188"/>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7"/>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r>
      <w:tr>
        <w:trPr>
          <w:trHeight w:val="18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108,071,249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391,175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(404,629)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(18,006)</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34,696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4,706,844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20,943</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1,780</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Unrealized (losses) on marketable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(24,597)</w:t>
            </w:r>
          </w:p>
        </w:tc>
      </w:tr>
      <w:tr>
        <w:trPr>
          <w:trHeight w:val="183"/>
        </w:trPr>
        <w:tc>
          <w:tcPr>
            <w:tcW w:w="560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112,977,004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414,214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(429,226)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(19,571)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242,278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10,938</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1,849,072</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8,563</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1,783</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w:t>
            </w:r>
          </w:p>
        </w:tc>
      </w:tr>
      <w:tr>
        <w:trPr>
          <w:trHeight w:val="182"/>
        </w:trPr>
        <w:tc>
          <w:tcPr>
            <w:tcW w:w="560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115,079,292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424,984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(424,661)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(4,222)</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1,936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10,937</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Arial" w:cs="Arial" w:eastAsia="Arial" w:hAnsi="Arial"/>
                <w:sz w:val="14"/>
                <w:szCs w:val="14"/>
                <w:color w:val="auto"/>
              </w:rPr>
              <w:t>327,237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1,389</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(losses) on marketable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(17,894)</w:t>
            </w:r>
          </w:p>
        </w:tc>
      </w:tr>
      <w:tr>
        <w:trPr>
          <w:trHeight w:val="21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115,443,500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428,371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(442,555)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5"/>
        </w:trPr>
        <w:tc>
          <w:tcPr>
            <w:tcW w:w="5660" w:type="dxa"/>
            <w:vAlign w:val="bottom"/>
          </w:tcPr>
          <w:p>
            <w:pPr>
              <w:spacing w:after="0"/>
              <w:rPr>
                <w:sz w:val="16"/>
                <w:szCs w:val="16"/>
                <w:color w:val="auto"/>
              </w:rPr>
            </w:pPr>
          </w:p>
        </w:tc>
        <w:tc>
          <w:tcPr>
            <w:tcW w:w="174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(Deficit)</w:t>
            </w:r>
          </w:p>
        </w:tc>
      </w:tr>
      <w:tr>
        <w:trPr>
          <w:trHeight w:val="188"/>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86,325,547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348,664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8,397</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78,583</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598,977</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87,019,172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351,184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(355,373)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4"/>
          <w:szCs w:val="14"/>
          <w:color w:val="auto"/>
        </w:rPr>
        <w:t>Issuance of vested restricted stock units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through at-the-market offering, net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Issuance of common stock upon exercise of pre-funded warrants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upon exercise of common warrants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Currency translation adjustment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2020</w:t>
      </w:r>
    </w:p>
    <w:p>
      <w:pPr>
        <w:spacing w:after="0" w:line="55" w:lineRule="exact"/>
        <w:rPr>
          <w:sz w:val="20"/>
          <w:szCs w:val="20"/>
          <w:color w:val="auto"/>
        </w:rPr>
      </w:pPr>
    </w:p>
    <w:p>
      <w:pPr>
        <w:ind w:left="20" w:right="1200"/>
        <w:spacing w:after="0" w:line="281" w:lineRule="auto"/>
        <w:rPr>
          <w:sz w:val="20"/>
          <w:szCs w:val="20"/>
          <w:color w:val="auto"/>
        </w:rPr>
      </w:pPr>
      <w:r>
        <w:rPr>
          <w:rFonts w:ascii="Arial" w:cs="Arial" w:eastAsia="Arial" w:hAnsi="Arial"/>
          <w:sz w:val="14"/>
          <w:szCs w:val="14"/>
          <w:color w:val="auto"/>
        </w:rPr>
        <w:t>Issuance of common stock under Employee Stock Purchase Plan Issuance of vested restricted stock units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common stock through private placement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of common warrants with long-term debt,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upon exercise of common warrants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financing fees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Currency translation adjustment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spacing w:after="0"/>
              <w:rPr>
                <w:sz w:val="20"/>
                <w:szCs w:val="20"/>
                <w:color w:val="auto"/>
              </w:rPr>
            </w:pPr>
            <w:r>
              <w:rPr>
                <w:rFonts w:ascii="Arial" w:cs="Arial" w:eastAsia="Arial" w:hAnsi="Arial"/>
                <w:sz w:val="14"/>
                <w:szCs w:val="14"/>
                <w:color w:val="auto"/>
              </w:rPr>
              <w:t>10,938</w:t>
            </w:r>
          </w:p>
        </w:tc>
        <w:tc>
          <w:tcPr>
            <w:tcW w:w="3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00" w:type="dxa"/>
            <w:vAlign w:val="bottom"/>
          </w:tcPr>
          <w:p>
            <w:pPr>
              <w:jc w:val="right"/>
              <w:spacing w:after="0"/>
              <w:rPr>
                <w:sz w:val="20"/>
                <w:szCs w:val="20"/>
                <w:color w:val="auto"/>
              </w:rPr>
            </w:pPr>
            <w:r>
              <w:rPr>
                <w:rFonts w:ascii="Arial" w:cs="Arial" w:eastAsia="Arial" w:hAnsi="Arial"/>
                <w:sz w:val="14"/>
                <w:szCs w:val="14"/>
                <w:color w:val="auto"/>
              </w:rPr>
              <w:t>470,509</w:t>
            </w:r>
          </w:p>
        </w:tc>
        <w:tc>
          <w:tcPr>
            <w:tcW w:w="3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8,342,128</w:t>
            </w:r>
          </w:p>
        </w:tc>
        <w:tc>
          <w:tcPr>
            <w:tcW w:w="3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4,967,563</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17,214</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1,481</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95"/>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(24,081)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(24,081)</w:t>
            </w:r>
          </w:p>
        </w:tc>
      </w:tr>
      <w:tr>
        <w:trPr>
          <w:trHeight w:val="185"/>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100,847,810</w:t>
            </w: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370,944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(379,454)</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(13,052)</w:t>
            </w:r>
          </w:p>
        </w:tc>
      </w:tr>
      <w:tr>
        <w:trPr>
          <w:trHeight w:val="24"/>
        </w:trPr>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6"/>
        </w:trPr>
        <w:tc>
          <w:tcPr>
            <w:tcW w:w="800" w:type="dxa"/>
            <w:vAlign w:val="bottom"/>
          </w:tcPr>
          <w:p>
            <w:pPr>
              <w:jc w:val="right"/>
              <w:spacing w:after="0"/>
              <w:rPr>
                <w:sz w:val="20"/>
                <w:szCs w:val="20"/>
                <w:color w:val="auto"/>
              </w:rPr>
            </w:pPr>
            <w:r>
              <w:rPr>
                <w:rFonts w:ascii="Arial" w:cs="Arial" w:eastAsia="Arial" w:hAnsi="Arial"/>
                <w:sz w:val="14"/>
                <w:szCs w:val="14"/>
                <w:color w:val="auto"/>
              </w:rPr>
              <w:t>31,629</w:t>
            </w:r>
          </w:p>
        </w:tc>
        <w:tc>
          <w:tcPr>
            <w:tcW w:w="38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4"/>
        </w:trPr>
        <w:tc>
          <w:tcPr>
            <w:tcW w:w="800" w:type="dxa"/>
            <w:vAlign w:val="bottom"/>
          </w:tcPr>
          <w:p>
            <w:pPr>
              <w:jc w:val="right"/>
              <w:spacing w:after="0"/>
              <w:rPr>
                <w:sz w:val="20"/>
                <w:szCs w:val="20"/>
                <w:color w:val="auto"/>
              </w:rPr>
            </w:pPr>
            <w:r>
              <w:rPr>
                <w:rFonts w:ascii="Arial" w:cs="Arial" w:eastAsia="Arial" w:hAnsi="Arial"/>
                <w:sz w:val="14"/>
                <w:szCs w:val="14"/>
                <w:color w:val="auto"/>
              </w:rPr>
              <w:t>60,937</w:t>
            </w:r>
          </w:p>
        </w:tc>
        <w:tc>
          <w:tcPr>
            <w:tcW w:w="3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5,416,390</w:t>
            </w:r>
          </w:p>
        </w:tc>
        <w:tc>
          <w:tcPr>
            <w:tcW w:w="3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10,268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10,269</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879,210</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3,485</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r>
      <w:tr>
        <w:trPr>
          <w:trHeight w:val="18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107,235,976</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386,374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(389,183)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(7,382)</w:t>
            </w:r>
          </w:p>
        </w:tc>
      </w:tr>
      <w:tr>
        <w:trPr>
          <w:trHeight w:val="24"/>
        </w:trPr>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-2125345</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-1885315</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-1645285</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-1405255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-1122045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-882015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-642620</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-402590</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-162560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125" w:right="339" w:bottom="1440"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w:t>
      </w:r>
    </w:p>
    <w:p>
      <w:pPr>
        <w:spacing w:after="0" w:line="63"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Nine Months Ended</w:t>
      </w:r>
    </w:p>
    <w:p>
      <w:pPr>
        <w:jc w:val="center"/>
        <w:ind w:left="80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0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4"/>
        </w:trPr>
        <w:tc>
          <w:tcPr>
            <w:tcW w:w="8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60" w:type="dxa"/>
            <w:vAlign w:val="bottom"/>
            <w:shd w:val="clear" w:color="auto" w:fill="CCEEFF"/>
          </w:tcPr>
          <w:p>
            <w:pPr>
              <w:spacing w:after="0"/>
              <w:rPr>
                <w:sz w:val="15"/>
                <w:szCs w:val="15"/>
                <w:color w:val="auto"/>
              </w:rPr>
            </w:pPr>
          </w:p>
        </w:tc>
      </w:tr>
      <w:tr>
        <w:trPr>
          <w:trHeight w:val="18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(37,926)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(53,430)</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406</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liabilities revaluation</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Loss on extinguishment of debt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(7,626)</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deposits and other assets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w:t>
            </w: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(28,424)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99,512</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79"/>
        </w:trPr>
        <w:tc>
          <w:tcPr>
            <w:tcW w:w="8040" w:type="dxa"/>
            <w:vAlign w:val="bottom"/>
          </w:tcPr>
          <w:p>
            <w:pPr>
              <w:ind w:left="740"/>
              <w:spacing w:after="0"/>
              <w:rPr>
                <w:sz w:val="20"/>
                <w:szCs w:val="20"/>
                <w:color w:val="auto"/>
              </w:rPr>
            </w:pPr>
            <w:r>
              <w:rPr>
                <w:rFonts w:ascii="Arial" w:cs="Arial" w:eastAsia="Arial" w:hAnsi="Arial"/>
                <w:sz w:val="14"/>
                <w:szCs w:val="14"/>
                <w:color w:val="auto"/>
              </w:rPr>
              <w:t>Net cash (used in) provided by operating activities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(28,922)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42,131</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made for investments</w:t>
            </w: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Purchases of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(30,455)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6"/>
        </w:trPr>
        <w:tc>
          <w:tcPr>
            <w:tcW w:w="804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(26,862)</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long-term debt, net of expenses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24,838</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Repayments of principal on outstanding debt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(19,313)</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 at-the-market offering</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Net proceeds from issuance of common stock- private placement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10,269</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paid for December 2019 financing</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pre-funded and common warrants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79"/>
        </w:trPr>
        <w:tc>
          <w:tcPr>
            <w:tcW w:w="804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31,741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14,621</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79"/>
        </w:trPr>
        <w:tc>
          <w:tcPr>
            <w:tcW w:w="804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(24,040)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56,089</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140,064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91,551</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116,024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147,640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6"/>
        </w:trPr>
        <w:tc>
          <w:tcPr>
            <w:tcW w:w="8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 cash flow information</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519</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Cashless warrant exercise</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18,228</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warrant liability to equity upon exercise of warrants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Fair value of warrants issued in connection with issuance of long-term debt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Equity offering costs in accrued liabilities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(losses) on marketable securities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Debt issuance costs in accrued liabilities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Selecta Biosciences, Inc., or the Company, was incorporated in Delaware on December 10, 2007, and is based in Watertown, Massachusetts. The Company is a clinical-stage biopharmaceutical company leveraging its ImmTOR™ immune tolerance platform with the goals of amplifying the efficacy of biologics, including enabling the re-dosing of life-saving gene therapies, and restoring self-tolerance in autoimmune diseases. The Company’s ImmTOR platform encapsulates rapamycin, also known as sirolimus, an immunomodulator, in biodegradable nanoparticles and is designed to induce antigen-specific immune tolerance. The Company believes ImmTOR has the potential to enhance the efficacy without compromising the safety of biologic therapies, improve product candidates under development, and enable novel therapeutic modalities. Since inception, the Company has devoted its efforts principally to research and development of its technology and product candidates, recruiting management and technical staff, acquiring operating assets, and raising capital.</w:t>
      </w:r>
    </w:p>
    <w:p>
      <w:pPr>
        <w:spacing w:after="0" w:line="8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accompanying unaudited consolidated financial statements for the three and nine months ended September 30, 2021 and 2020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2020 included in the Company’s Annual Report on Form 10-K that was filed with the SEC on March 12, 2021.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2021, the consolidated results of operations for the three and nine months ended September 30, 2021, and cash flows for the nine months ended September 30, 2021. Such adjustments are of a normal and recurring nature. The results of operations for the three and nine months ended September 30, 2021 are not necessarily indicative of the results of operations that may be expected for the year ending December 31, 2021.</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8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To date, the Company has financed its operations primarily through the initial public offering of its common stock, private placements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platform, identifying potential product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candidates and conducting preclinical studies and clinical trials. The Company is in the early stages of development of its product candidates, and it has not completed development of any ImmTOR-enabled therapies.</w:t>
      </w:r>
    </w:p>
    <w:p>
      <w:pPr>
        <w:spacing w:after="0" w:line="6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September 30, 2021, the Company’s cash, cash equivalents, restricted cash and marketable securities were $140.0 million, of which $1.4 million was restricted cash related to lease commitments and $0.3 million was held by its Russian subsidiary designated solely for use in its operations. The Company believes the cash, cash equivalents, restricted cash and marketable securities as of September 30, 2021 will enable it to fund its operating expenses and capital expenditure requirements for at least twelve months from the issuance of these financial statements. As of September 30, 2021, the Company had an accumulated deficit of $442.6 million. The Company anticipates operating losses to continue for the foreseeable future due to, among other things, costs related to research and development of its product candidates and its administrative organization. The Company will require substantial additional financing to fund its operations and to continue to execute its strategy, and the Company intends to pursue a range of options to secure additional capital.</w:t>
      </w:r>
    </w:p>
    <w:p>
      <w:pPr>
        <w:spacing w:after="0" w:line="84"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travel restrictions and social distancing in the United States and other countries, business closures or business disruptions, supply chain disruptions, the ultimate impact on financial markets and the global economy, and the effectiveness of actions taken in the United States and other countries to contain and treat the disease.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September 30,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disclosed its significant accounting policies in Note 2 – Summary of Significant Accounting Policies included in the Company’s Annual Report on Form 10-K for the year ended December 31, 2020. There have been no material changes previously disclosed, with the exception of the matters discussed in recent accounting pronouncements.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by clarifying or improving disclosure requirements to align with the SEC’s regulations. The Company adopted the new standard effective January 1, 2021, and there was no impact on its consolidated financial statements.</w:t>
      </w:r>
    </w:p>
    <w:p>
      <w:pPr>
        <w:spacing w:after="0" w:line="7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simplifies the accounting for income taxes by removing certain exceptions to the general principles in Topic 740. The Company adopted the new standard effective January 1, 2021, and there was no impact on its consolidated financial statements.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w:t>
      </w:r>
      <w:r>
        <w:rPr>
          <w:rFonts w:ascii="Arial" w:cs="Arial" w:eastAsia="Arial" w:hAnsi="Arial"/>
          <w:sz w:val="17"/>
          <w:szCs w:val="17"/>
          <w:color w:val="auto"/>
        </w:rPr>
        <w:t xml:space="preserve"> – </w:t>
      </w:r>
      <w:r>
        <w:rPr>
          <w:rFonts w:ascii="Arial" w:cs="Arial" w:eastAsia="Arial" w:hAnsi="Arial"/>
          <w:sz w:val="17"/>
          <w:szCs w:val="17"/>
          <w:i w:val="1"/>
          <w:iCs w:val="1"/>
          <w:color w:val="auto"/>
        </w:rPr>
        <w: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t>
      </w:r>
      <w:r>
        <w:rPr>
          <w:rFonts w:ascii="Arial" w:cs="Arial" w:eastAsia="Arial" w:hAnsi="Arial"/>
          <w:sz w:val="17"/>
          <w:szCs w:val="17"/>
          <w:i w:val="1"/>
          <w:iCs w:val="1"/>
          <w:color w:val="auto"/>
        </w:rPr>
        <w:t xml:space="preserve"> Stock Compensation (Topic 718), and Derivatives and Hedging </w:t>
      </w:r>
      <w:r>
        <w:rPr>
          <w:rFonts w:ascii="Arial" w:cs="Arial" w:eastAsia="Arial" w:hAnsi="Arial"/>
          <w:sz w:val="17"/>
          <w:szCs w:val="17"/>
          <w:color w:val="auto"/>
        </w:rPr>
        <w:t>–</w:t>
      </w:r>
      <w:r>
        <w:rPr>
          <w:rFonts w:ascii="Arial" w:cs="Arial" w:eastAsia="Arial" w:hAnsi="Arial"/>
          <w:sz w:val="17"/>
          <w:szCs w:val="17"/>
          <w:i w:val="1"/>
          <w:iCs w:val="1"/>
          <w:color w:val="auto"/>
        </w:rPr>
        <w:t xml:space="preserve"> Contracts in Entity’s Own Equity (Subtopic 815-40): Issuer's Accounting for Certain Modifications or Exchanges of Freestanding Equity-Classified Written Call Options</w:t>
      </w:r>
      <w:r>
        <w:rPr>
          <w:rFonts w:ascii="Arial" w:cs="Arial" w:eastAsia="Arial" w:hAnsi="Arial"/>
          <w:sz w:val="17"/>
          <w:szCs w:val="17"/>
          <w:color w:val="auto"/>
        </w:rPr>
        <w:t>. ASU 2021-04 provides guidance as to how entities should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for a modification of the terms or conditions or an exchange of a freestanding equity-classified written call option (i.e., a warrant) that remains equity-classified after modification or exchange as an exchange of the original instrument for a new instrument. An entity should apply the guidance provided in ASU 2021-04 prospectively to modifications or exchanges occurring on or after the effective date. This new standard will be effective for us for fiscal years beginning after December 15, 2021 including interim periods within those fiscal years. The adoption of ASU 2021-04 is not expected to have an impact on the Company’s financial position or results of operations upon adoption.</w:t>
      </w:r>
    </w:p>
    <w:p>
      <w:pPr>
        <w:spacing w:after="0" w:line="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w:t>
      </w:r>
      <w:r>
        <w:rPr>
          <w:rFonts w:ascii="Arial" w:cs="Arial" w:eastAsia="Arial" w:hAnsi="Arial"/>
          <w:sz w:val="18"/>
          <w:szCs w:val="18"/>
          <w:color w:val="auto"/>
        </w:rPr>
        <w:t>. ASU 2020-06 simplifies the accounting for certain financial instruments with characteristics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including convertible instruments and contracts on an entity’s own equity. This new standard will be effective for us for fiscal years beginning after December 15, 2021, including interim periods within those fiscal years. The Company is assessing the impact this standard will have on its consolidated financial statements and disclosures.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Subsequently, in November 2018, the FASB issued ASU 2018-19,</w:t>
      </w:r>
      <w:r>
        <w:rPr>
          <w:rFonts w:ascii="Arial" w:cs="Arial" w:eastAsia="Arial" w:hAnsi="Arial"/>
          <w:sz w:val="18"/>
          <w:szCs w:val="18"/>
          <w:i w:val="1"/>
          <w:iCs w:val="1"/>
          <w:color w:val="auto"/>
        </w:rPr>
        <w:t xml:space="preserve"> Codification Improvements to Topic 326, Financial Instruments-Credit Losses</w:t>
      </w:r>
      <w:r>
        <w:rPr>
          <w:rFonts w:ascii="Arial" w:cs="Arial" w:eastAsia="Arial" w:hAnsi="Arial"/>
          <w:sz w:val="18"/>
          <w:szCs w:val="18"/>
          <w:color w:val="auto"/>
        </w:rPr>
        <w:t>. ASU 2016-13 requires entities to measure all expected credit losses for most financial assets held at the reporting date based on an expected loss</w:t>
      </w:r>
      <w:r>
        <w:rPr>
          <w:rFonts w:ascii="Arial" w:cs="Arial" w:eastAsia="Arial" w:hAnsi="Arial"/>
          <w:sz w:val="18"/>
          <w:szCs w:val="18"/>
          <w:i w:val="1"/>
          <w:iCs w:val="1"/>
          <w:color w:val="auto"/>
        </w:rPr>
        <w:t xml:space="preserve"> </w:t>
      </w:r>
      <w:r>
        <w:rPr>
          <w:rFonts w:ascii="Arial" w:cs="Arial" w:eastAsia="Arial" w:hAnsi="Arial"/>
          <w:sz w:val="18"/>
          <w:szCs w:val="18"/>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new standard will be effective for us for fiscal years beginning after December 15, 2021. The adoption of ASU 2016-13 is not expected to have an impact on the Company’s financial position or results of operations upon adoption.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marketable securities held as of September 30, 2021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21,984</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24,019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All marketable securities held at September 30, 2021 had maturities of less than 12 months when purchased and are classified as short-term marketable securities on the accompanying consolidated balance sheet. During the nine months ended September 30, 2021, there were no marketable securities adjusted for other than temporary declines in fair value.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 held no marketable securities.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has reported a net loss for the three and nine months ended September 30, 2021 and 2020. The Company used the treasury stock method to determine the number of dilutive shares. The following table sets forth the computation of basic and diluted net loss per share (in thousands, except share and per-share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2"/>
        </w:trPr>
        <w:tc>
          <w:tcPr>
            <w:tcW w:w="56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(17,894)</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(37,926)</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56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Weighted-average common shares outstanding - basic and diluted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115,169,949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105,325,788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113,161,622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98,968,359</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r>
      <w:tr>
        <w:trPr>
          <w:trHeight w:val="179"/>
        </w:trPr>
        <w:tc>
          <w:tcPr>
            <w:tcW w:w="5620" w:type="dxa"/>
            <w:vAlign w:val="bottom"/>
          </w:tcPr>
          <w:p>
            <w:pPr>
              <w:ind w:left="20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r>
      <w:tr>
        <w:trPr>
          <w:trHeight w:val="2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represents the potential dilutive common shares excluded from the computation of the diluted net loss per share for all periods presented, as the effect would have been anti-dilutive: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6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RSUs and ESPP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11,701,844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7,638,839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11,701,844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7,638,839</w:t>
            </w:r>
          </w:p>
        </w:tc>
      </w:tr>
      <w:tr>
        <w:trPr>
          <w:trHeight w:val="18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Warrants to purchase common stock</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13,888,525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13,888,525</w:t>
            </w:r>
          </w:p>
        </w:tc>
      </w:tr>
      <w:tr>
        <w:trPr>
          <w:trHeight w:val="21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24,079,860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21,527,364</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24,079,860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21,527,364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Company’s assets and liabilities that are measured at fair value on a recurring basis as of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 paper</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21,984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80,581</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56,563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24,018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 liabilities</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40,043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40,043</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40,043</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40,043</w:t>
            </w:r>
          </w:p>
        </w:tc>
      </w:tr>
      <w:tr>
        <w:trPr>
          <w:trHeight w:val="21"/>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Money market funds (included in cash equivalents)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28,708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28,708</w:t>
            </w:r>
          </w:p>
        </w:tc>
      </w:tr>
      <w:tr>
        <w:trPr>
          <w:trHeight w:val="21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transfers within the fair value hierarchy during the nine months ended September 30, 2021 or the year ended December 31, 2020.</w:t>
      </w: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As of September 30, 2021 and December 31, 2020, the money market funds were classified as cash and cash equivalents on the accompanying consolidated balance sheets as they mature within 90 days from the date of purchase.</w:t>
      </w:r>
    </w:p>
    <w:p>
      <w:pPr>
        <w:spacing w:after="0" w:line="6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As of September 30, 2021, the Company had restricted cash balances relating to a secured letter of credit in connection with its lease for the Company’s headquarters (see Note 8 included elsewhere in this Quarterly Report). The Company’s consolidated statement of cash flows includes the following as of September 30, 2021 and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114,645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146,261</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restricted cash</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116,024</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of September 30, 2021, marketable securities classified as Level 2 within the valuation hierarchy consist of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 Payable</w:t>
      </w:r>
    </w:p>
    <w:p>
      <w:pPr>
        <w:spacing w:after="0" w:line="11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At September 30, 2021, in light of the recent issuance of the Term A Loan under the 2020 Term Loan, the Company believes the carrying value approximates the fair value of the loan.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Warrants</w:t>
      </w:r>
    </w:p>
    <w:p>
      <w:pPr>
        <w:spacing w:after="0" w:line="11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is required to revalue the common warrants at each reporting date with any changes in fair value recorded in the statement of operations and comprehensive loss. The valuation of the common warrants is considered Level 3 of the fair value hierarchy due to the need to use assumptions in the valuation that are both significant to the fair value measurement and unobservable including the volatility rate and the estimated term of the warrants. Generally, increases (decreases) in the fair value of the underlying stock and estimated term would result in a directionally similar impact to the fair value measurement. The changes in the fair values of the Level 3 warrant liability are reflected in the statement of operations and comprehensive loss for the three and nine months ended September 30, 2021 and 2020.</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warrants is determined using Level 3 inputs inherent in the Black-Scholes simulation valuation.</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6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6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Black-Scholes pricing model assumptions used to record the fair value of the warrant liability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40" w:type="dxa"/>
            <w:vAlign w:val="bottom"/>
          </w:tcPr>
          <w:p>
            <w:pPr>
              <w:jc w:val="right"/>
              <w:ind w:right="2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8"/>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0.53 %</w:t>
            </w:r>
          </w:p>
        </w:tc>
      </w:tr>
      <w:tr>
        <w:trPr>
          <w:trHeight w:val="186"/>
        </w:trPr>
        <w:tc>
          <w:tcPr>
            <w:tcW w:w="980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82"/>
        </w:trPr>
        <w:tc>
          <w:tcPr>
            <w:tcW w:w="98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40" w:type="dxa"/>
            <w:vAlign w:val="bottom"/>
          </w:tcPr>
          <w:p>
            <w:pPr>
              <w:jc w:val="right"/>
              <w:spacing w:after="0"/>
              <w:rPr>
                <w:sz w:val="20"/>
                <w:szCs w:val="20"/>
                <w:color w:val="auto"/>
              </w:rPr>
            </w:pPr>
            <w:r>
              <w:rPr>
                <w:rFonts w:ascii="Arial" w:cs="Arial" w:eastAsia="Arial" w:hAnsi="Arial"/>
                <w:sz w:val="14"/>
                <w:szCs w:val="14"/>
                <w:color w:val="auto"/>
              </w:rPr>
              <w:t>98.07 %</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a roll-forward of fair value for the Company’s Level 3 warrant liabilities (see Note 10),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Warrant liabilities</w:t>
            </w:r>
          </w:p>
        </w:tc>
      </w:tr>
      <w:tr>
        <w:trPr>
          <w:trHeight w:val="188"/>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as of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186"/>
        </w:trPr>
        <w:tc>
          <w:tcPr>
            <w:tcW w:w="99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Change in fair value</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11,335</w:t>
            </w:r>
          </w:p>
        </w:tc>
      </w:tr>
      <w:tr>
        <w:trPr>
          <w:trHeight w:val="211"/>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as of September 30, 2021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process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property and equipment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w:t>
            </w:r>
          </w:p>
        </w:tc>
      </w:tr>
      <w:tr>
        <w:trPr>
          <w:trHeight w:val="211"/>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Depreciation expense was $0.1 million and $0.4 million for the three and nine months ended September 30, 2021, respectively. Depreciation expense was $0.1 million and $0.5 million for the three and nine months ended September 30, 2020,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employee related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Collaboration and licensing</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patent fees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external research and development costs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2,029</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services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8,146</w:t>
            </w: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July 2019, the Company entered into a lease for 25,078 square feet of laboratory and office space located at 65 Grove Street, Watertown, Massachusetts, or the Headquarters Lease. As part of the Headquarters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Headquarters Lease, the Company secured a letter of credit from Silicon Valley Bank, or SVB, for $1.4 million, recognized as long-term restricted cash, as of September 30, 2021 and December 31, 2020, respectively, which automatically renews each year.</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Moscow, Russia Lease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month-to-month facility agreement for its Moscow, Russia office. Rent expense is recognized as incurred.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nine months ended September 30, 2021 and 2020 the components of lease costs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8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2,094</w:t>
            </w:r>
          </w:p>
        </w:tc>
      </w:tr>
      <w:tr>
        <w:trPr>
          <w:trHeight w:val="21"/>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maturity of the Company’s operating lease liabilities as of September 30, 2021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w:t>
            </w:r>
          </w:p>
        </w:tc>
      </w:tr>
      <w:tr>
        <w:trPr>
          <w:trHeight w:val="195"/>
        </w:trPr>
        <w:tc>
          <w:tcPr>
            <w:tcW w:w="9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8"/>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(remainder)</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1,866</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1,980</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w:t>
            </w:r>
          </w:p>
        </w:tc>
      </w:tr>
      <w:tr>
        <w:trPr>
          <w:trHeight w:val="186"/>
        </w:trPr>
        <w:tc>
          <w:tcPr>
            <w:tcW w:w="9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future minimum lease payments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13,209</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3,323</w:t>
            </w:r>
          </w:p>
        </w:tc>
      </w:tr>
      <w:tr>
        <w:trPr>
          <w:trHeight w:val="211"/>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lease liabilities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supplemental disclosure for the statement of cash flows related to operating leases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1,355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w:t>
            </w:r>
          </w:p>
        </w:tc>
      </w:tr>
    </w:tbl>
    <w:p>
      <w:pPr>
        <w:spacing w:after="0" w:line="200" w:lineRule="exact"/>
        <w:rPr>
          <w:sz w:val="20"/>
          <w:szCs w:val="20"/>
          <w:color w:val="auto"/>
        </w:rPr>
      </w:pPr>
    </w:p>
    <w:p>
      <w:pPr>
        <w:spacing w:after="0" w:line="24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in 2020, which was non-cash, the changes in the Company’s right-of-use asset and lease liability for the nine months ended September 30, 2021 and 2020 are reflected in the non-cash lease expense and accrued expenses and other liabilities, respectively, in the consolidated statements of cash flows.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149"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6.6 years</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years</w:t>
            </w:r>
          </w:p>
        </w:tc>
      </w:tr>
      <w:tr>
        <w:trPr>
          <w:trHeight w:val="182"/>
        </w:trPr>
        <w:tc>
          <w:tcPr>
            <w:tcW w:w="916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56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8.9 %</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August 31, 2020, the Company entered into a term loan of up to $35.0 million, or the 2020 Term Loan, consisting of term loans in an aggregate amount of $25.0 million, or the Term A Loan, and term loans in an aggregate amount of $10.0 million, or the Term B Loan, governed by a loan and security agreement, or the Loan Agreement, between the Company and Oxford Finance LLC, or Oxford, as Collateral Agent and a Lender, and SVB, as a Lender. The Term A Loan was funded in full on August 31, 2020, or the Funding Date.</w:t>
      </w:r>
    </w:p>
    <w:p>
      <w:pPr>
        <w:spacing w:after="0" w:line="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Term B Loan was to be available, subject to Collateral Agent’s discretion and customary terms and conditions, during the period commencing on the date the Company had delivered to the Collateral Agent and the Lenders evidence: (i) the Company or one of the Company’s collaboration partners has enrolled its first patient for a Phase 1 clinical trial evaluating the treatment of methylmalonic acidemia, or MMA, and (ii) the Company has enrolled the first patient in each of two Phase 3 pivotal trials evaluating SEL-212, or the Second Draw Period Milestone, and ending on the earliest of (i) the date which is 30 days following the date the Second Draw Period Milestone is achieved, (ii) September 30, 2021 and (iii) the occurrence of an event of default, other than an event of default that has been waived in writing by Collateral Agent and the Lenders in their sole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discretion, with such period referred to as the Second Draw Period. The Second Draw Period expired on September 30, 2021 and the Term B Loan is no longer available to be drawn by the Company in the future.</w:t>
      </w:r>
    </w:p>
    <w:p>
      <w:pPr>
        <w:spacing w:after="0" w:line="6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2020 Term Loan will mature on August 1, 2025. Each advance under the Term Loan accrues interest at a floating per annum rate equal to the greater of (a) 7.90%, and (b) the lesser of (x) the sum of (i) the prime rate reported in The Wall Street Journal on the last business day of the month that immediately precedes the month in which the interest will accrue, and (ii) 4.65% and (y) 10.00%. The Term Loan provides for interest-only payments on a monthly basis until April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 (B)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 $2.3 million is recorded as a loan discount.</w:t>
      </w:r>
    </w:p>
    <w:p>
      <w:pPr>
        <w:spacing w:after="0" w:line="6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spacing w:after="0" w:line="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spacing w:after="0" w:line="5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 incurred $0.4 million in debt issuance costs in connection with the closing of the 2020 Term Loan. Debt issuance costs are presented in the consolidated balance sheet as a direct deduction from the associated liability and amortized to interest expense over the term of the related debt.</w:t>
      </w:r>
    </w:p>
    <w:p>
      <w:pPr>
        <w:spacing w:after="0" w:line="1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 assessed all terms and features of the 2020 Term Loan to identify any potential embedded features that would require bifurcation. As part of this analysis, the Company assessed the economic characteristics and risks of the 2020 Term Loan, including any put, call, and contingent features. The Company determined that the interest rate collar and prepayment call option did not require bifurcation; whereas the contingent put option and default (contingent) interest rate feature met bifurcation criteria resulting in immaterial amounts.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August 31, 2020, in connection with the 2020 Term A Loan, the Company issued warrants to the Lenders to purchase an aggregate of 196,850 shares of its common stock at an exercise price equal to $2.54 per share. In accordance with ASC 815-40, these warrants are classified as permanent equity in the accompanying consolidated balance sheets and will expire ten years from the date of issuance. The initial grant date fair value of the warrants was $0.4 million as determined by the Black-Scholes valuation model and recorded to stockholders' equity, with the SVB portion allocated to the reacquisition price of the 2017 Term Loan and the Oxford fair value portion as a loan discount to the Term A Loan.</w:t>
      </w:r>
    </w:p>
    <w:p>
      <w:pPr>
        <w:spacing w:after="0" w:line="6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Additionally, on August 31, 2020, pursuant to the terms of a Warrant Side Letter agreement among the Company and the Lenders, the Company agreed to issue to the Lenders, on the date the Company draws the Term B Loan and in accordance with each party’s respective pro rata share with respect to the Term B Loan, one or more warrants to purchase an aggregate number of shares of its common stock that is equal to $200,000 divided by the average closing price of the Company’s common stock on The Nasdaq Stock Market LLC for the ten consecutive trading days ending the day before such issuance, rounded down to the nearest whole number of shares, and having an exercise price equal to the Term B Warrant Price. As the Company is no</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longer able to draw the Term B Loan due to the expiration of the Second Draw Period, this additional warrant issuance is no longer possible.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Payoff</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the Funding Date, the Company entered into a payoff letter with SVB, pursuant to which the Company utilized $13.7 million of the 2020 Term Loan to pay off all outstanding obligations under the previous term loan, consisting of the principal payment, final prepayment and accrued interest. During the three and nine months ended September 30, 2020, the Company recognized a loss on extinguishment of debt in the amount of $0.5 million determined as the difference between the reacquisition price and carrying value at August 31, 2020.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and December 31, 2020, the outstanding principal balance under the 2020 Term Loan was $25.0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principal and interest payments on the 2020 Term Loan as of September 30, 2021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(remainder)</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7,343</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8,611</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8,027</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Total minimum debt payments</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31,754</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Amount representing interest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(4,505)</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Less: Debt discount and deferred charges</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(1,820)</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loan payable</w:t>
            </w: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(4,125)</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Loan payable, net of current portion</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21,304</w:t>
            </w:r>
          </w:p>
        </w:tc>
      </w:tr>
      <w:tr>
        <w:trPr>
          <w:trHeight w:val="24"/>
        </w:trPr>
        <w:tc>
          <w:tcPr>
            <w:tcW w:w="9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August 2020 Shelf Registration Statement</w:t>
      </w:r>
    </w:p>
    <w:p>
      <w:pPr>
        <w:spacing w:after="0" w:line="11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 August 6, 2020, the Company filed an updated universal shelf registration statement on Form S-3 (Reg. No. 333-241692) with the SEC to sell an aggregate amount of up to $200.0 million of certain of its securities. The shelf registration statement was declared effective by the SEC on August 14, 2020.</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2017 Sales Agreement</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2017, the Company entered into a sales agreement, or the 2017 Sales Agreement, with Jefferies LLC, as sales agent, to sell shares of its common stock with an aggregate value of up to $50.0 million in an “at the market offering.” On August 6, 2020, concurrent with the filing of the updated shelf registration statement, the Company entered into a sales agreement, or the 2020 Sales Agreement with Jefferies LLC, as sales agent, pursuant to which the Company may, from time to time, issue and sell common stock with an aggregate value of up to $50.0 million in an “at the market offering.” The 2017 Sales Agreement terminated pursuant to its terms in August 2020.</w:t>
      </w:r>
    </w:p>
    <w:p>
      <w:pPr>
        <w:spacing w:after="0" w:line="8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During the nine months ended September 30, 2021, the Company sold 6,883,153 shares of its common stock pursuant to the 2020 Sales Agreement for aggregate net proceeds of $30.9 million, after deducting commissions and other transaction costs. During the year ended December 31, 2020, the Company sold 1,069,486 shares of its common stock pursuant to the 2020 and 2017 Sales Agreements at an average price of approximately $2.16 per share for aggregate net proceeds of $2.1 million, after deducting commissions and other transaction costs. On October 8, 2021, the Company delivered notice to Jefferies LLC that the Company was terminating the 2017 Sales Agreement, with effect as of October 19, 2021. Refer to Note 18 Subsequent Events.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June 2020 Sobi Stock Purchase</w:t>
      </w:r>
    </w:p>
    <w:p>
      <w:pPr>
        <w:spacing w:after="0" w:line="11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 The shares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common stock acquired in the Sobi Private Placement are subject to a one-year lock-up from closing, during which time Sobi is prohibited from selling or otherwise disposing of such shares.</w:t>
      </w:r>
    </w:p>
    <w:p>
      <w:pPr>
        <w:spacing w:after="0" w:line="6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12 for details.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Also on June 11, 2020, the Company entered into a registration rights agreement (as amended by that certain letter agreement, dated as of November 4, 2020)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10 business days after the SEC informs the Company that no review of such resale registration statement will be made or that the SEC has no further comments on such resale registration statement.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December 2019 Financing</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On December 18, 2019, the Company entered into a securities purchase agreement, or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or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6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recorded the fair value of the common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spacing w:after="0" w:line="7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common warrants were revalued as of September 30, 2021 at $40.0 million. During the three months ended September 30, 2021 and 2020, the Company recorded a decrease in the fair value of the warrants of $0.6 million and $4.8 million, respectively, in the unaudited consolidated statements of operations and comprehensive loss. During the nine months ended September 30, 2021 and 2020, the Company recorded an increase in the fair value of the warrants of $11.3 million and $3.6 million, respectively, in the unaudited consolidated statements of operations and comprehensive loss.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2021, there were no warrants issued, exercised, or canceled.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Number of Warrants</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Equity</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Liability classified</w:t>
            </w:r>
          </w:p>
        </w:tc>
        <w:tc>
          <w:tcPr>
            <w:tcW w:w="14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2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292,469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12,085,547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1148"/>
              <w:spacing w:after="0"/>
              <w:rPr>
                <w:sz w:val="20"/>
                <w:szCs w:val="20"/>
                <w:color w:val="auto"/>
              </w:rPr>
            </w:pPr>
            <w:r>
              <w:rPr>
                <w:rFonts w:ascii="Arial" w:cs="Arial" w:eastAsia="Arial" w:hAnsi="Arial"/>
                <w:sz w:val="14"/>
                <w:szCs w:val="14"/>
                <w:b w:val="1"/>
                <w:bCs w:val="1"/>
                <w:color w:val="auto"/>
              </w:rPr>
              <w:t>As of</w:t>
            </w:r>
          </w:p>
        </w:tc>
      </w:tr>
      <w:tr>
        <w:trPr>
          <w:trHeight w:val="187"/>
        </w:trPr>
        <w:tc>
          <w:tcPr>
            <w:tcW w:w="84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December 31, 2020</w:t>
            </w:r>
          </w:p>
        </w:tc>
      </w:tr>
      <w:tr>
        <w:trPr>
          <w:trHeight w:val="184"/>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common warrants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Arial" w:cs="Arial" w:eastAsia="Arial" w:hAnsi="Arial"/>
                <w:sz w:val="14"/>
                <w:szCs w:val="14"/>
                <w:color w:val="auto"/>
              </w:rPr>
              <w:t>6,049,422</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4,916,374</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561,888</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common stock options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11,082,277</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7,775,249</w:t>
            </w: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30,071,603</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25,157,139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Incentive Plans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2021 and 2020, the number of shares of common stock that may be issued under the 2016 Plan was increased by 4,322,850 and 3,453,022 shares, respectively. As of September 30, 2021, 1,935,395 shares remain available for future issuance under the 2016 Plan.</w:t>
      </w:r>
    </w:p>
    <w:p>
      <w:pPr>
        <w:spacing w:after="0" w:line="84"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September 30, 2021, there are 1,591,661 shares available for future grant under the 2018 Inducement Incentive Award Plan.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Stock-based compensation expense by classification included within the consolidated statements of operations and comprehensive loss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2,331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r>
      <w:tr>
        <w:trPr>
          <w:trHeight w:val="18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3,136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w:t>
            </w:r>
          </w:p>
        </w:tc>
      </w:tr>
      <w:tr>
        <w:trPr>
          <w:trHeight w:val="21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5,467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ind w:right="10140"/>
        <w:spacing w:after="0"/>
        <w:rPr>
          <w:sz w:val="20"/>
          <w:szCs w:val="20"/>
          <w:color w:val="auto"/>
        </w:rPr>
      </w:pPr>
      <w:r>
        <w:rPr>
          <w:rFonts w:ascii="Arial" w:cs="Arial" w:eastAsia="Arial" w:hAnsi="Arial"/>
          <w:sz w:val="16"/>
          <w:szCs w:val="16"/>
          <w:b w:val="1"/>
          <w:bCs w:val="1"/>
          <w:color w:val="auto"/>
        </w:rPr>
        <w:t>Stock Options</w:t>
      </w:r>
    </w:p>
    <w:p>
      <w:pPr>
        <w:spacing w:after="0" w:line="144" w:lineRule="exact"/>
        <w:rPr>
          <w:sz w:val="20"/>
          <w:szCs w:val="20"/>
          <w:color w:val="auto"/>
        </w:rPr>
      </w:pPr>
    </w:p>
    <w:p>
      <w:pPr>
        <w:jc w:val="right"/>
        <w:ind w:right="1012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6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0.79 %</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r>
      <w:tr>
        <w:trPr>
          <w:trHeight w:val="186"/>
        </w:trPr>
        <w:tc>
          <w:tcPr>
            <w:tcW w:w="53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86"/>
        </w:trPr>
        <w:tc>
          <w:tcPr>
            <w:tcW w:w="53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93.55 %</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94.88 %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95.05 %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90.19 %</w:t>
            </w:r>
          </w:p>
        </w:tc>
      </w:tr>
      <w:tr>
        <w:trPr>
          <w:trHeight w:val="192"/>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common stock</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w:t>
            </w:r>
          </w:p>
        </w:tc>
      </w:tr>
    </w:tbl>
    <w:p>
      <w:pPr>
        <w:spacing w:after="0" w:line="200" w:lineRule="exact"/>
        <w:rPr>
          <w:sz w:val="20"/>
          <w:szCs w:val="20"/>
          <w:color w:val="auto"/>
        </w:rPr>
      </w:pPr>
    </w:p>
    <w:p>
      <w:pPr>
        <w:spacing w:after="0" w:line="24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three and nine months ended September 30, 2021 and 2020 was $3.17 and $1.88, $2.73 and $1.77 respectively.</w:t>
      </w:r>
    </w:p>
    <w:p>
      <w:pPr>
        <w:spacing w:after="0" w:line="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September 30, 2021, total unrecognized compensation expense related to unvested employee stock options was $12.8 million, which is expected to be recognized over a weighted average period of 2.9 years.</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consultants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there was no unrecognized compensation expense related to non-employee consultants’ 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stock option activity under the 2008 Plan, 2016 Plan, and 2018 Inducement Incentive Award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820" w:type="dxa"/>
            <w:vAlign w:val="bottom"/>
          </w:tcPr>
          <w:p>
            <w:pPr>
              <w:spacing w:after="0"/>
              <w:rPr>
                <w:sz w:val="16"/>
                <w:szCs w:val="16"/>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 term</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195"/>
        </w:trPr>
        <w:tc>
          <w:tcPr>
            <w:tcW w:w="4820" w:type="dxa"/>
            <w:vAlign w:val="bottom"/>
          </w:tcPr>
          <w:p>
            <w:pPr>
              <w:spacing w:after="0"/>
              <w:rPr>
                <w:sz w:val="16"/>
                <w:szCs w:val="16"/>
                <w:color w:val="auto"/>
              </w:rPr>
            </w:pPr>
          </w:p>
        </w:tc>
        <w:tc>
          <w:tcPr>
            <w:tcW w:w="1500" w:type="dxa"/>
            <w:vAlign w:val="bottom"/>
          </w:tcPr>
          <w:p>
            <w:pPr>
              <w:jc w:val="right"/>
              <w:ind w:right="44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w w:val="99"/>
              </w:rPr>
              <w:t>(in thousands)</w:t>
            </w:r>
          </w:p>
        </w:tc>
      </w:tr>
      <w:tr>
        <w:trPr>
          <w:trHeight w:val="18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Employees</w:t>
            </w: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00" w:type="dxa"/>
            <w:vAlign w:val="bottom"/>
          </w:tcPr>
          <w:p>
            <w:pPr>
              <w:jc w:val="right"/>
              <w:spacing w:after="0"/>
              <w:rPr>
                <w:sz w:val="20"/>
                <w:szCs w:val="20"/>
                <w:color w:val="auto"/>
              </w:rPr>
            </w:pPr>
            <w:r>
              <w:rPr>
                <w:rFonts w:ascii="Arial" w:cs="Arial" w:eastAsia="Arial" w:hAnsi="Arial"/>
                <w:sz w:val="14"/>
                <w:szCs w:val="14"/>
                <w:color w:val="auto"/>
              </w:rPr>
              <w:t>7,302,176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4,456</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4,609,811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(397,492)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(905,291)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September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10,609,204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11,080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September 30, 2021</w:t>
            </w:r>
          </w:p>
        </w:tc>
        <w:tc>
          <w:tcPr>
            <w:tcW w:w="1500" w:type="dxa"/>
            <w:vAlign w:val="bottom"/>
          </w:tcPr>
          <w:p>
            <w:pPr>
              <w:jc w:val="right"/>
              <w:spacing w:after="0"/>
              <w:rPr>
                <w:sz w:val="20"/>
                <w:szCs w:val="20"/>
                <w:color w:val="auto"/>
              </w:rPr>
            </w:pPr>
            <w:r>
              <w:rPr>
                <w:rFonts w:ascii="Arial" w:cs="Arial" w:eastAsia="Arial" w:hAnsi="Arial"/>
                <w:sz w:val="14"/>
                <w:szCs w:val="14"/>
                <w:color w:val="auto"/>
              </w:rPr>
              <w:t>3,583,316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4,133</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September 30,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9,775,480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10,400</w:t>
            </w:r>
          </w:p>
        </w:tc>
      </w:tr>
      <w:tr>
        <w:trPr>
          <w:trHeight w:val="216"/>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Non-employee consultants</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00" w:type="dxa"/>
            <w:vAlign w:val="bottom"/>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September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September 30, 2021</w:t>
            </w:r>
          </w:p>
        </w:tc>
        <w:tc>
          <w:tcPr>
            <w:tcW w:w="1500" w:type="dxa"/>
            <w:vAlign w:val="bottom"/>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September 30,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In January 2021, the Company granted 369,800 restricted stock awards to employees under the 2016 Plan, which will vest over a four year term. In addition, during the first quarter of 2021, the Company awarded 197,500 restricted stock units to executives under the 2016 Plan, of which 98,750 were determined to be granted as of the award date consistent with ASC 718.</w:t>
      </w:r>
    </w:p>
    <w:p>
      <w:pPr>
        <w:spacing w:after="0" w:line="7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September 24, 2021, the Compensation Committee of the Board of Directors, under authority duly granted to them by the Board of Directors, determined a definitive performance metric for the second performance condition previously undefined, and therefore granted the previously reserved 98,750 restricted stock units. These restricted stock units will vest in two equal installments on the dates an applicable performance condition is achieved, on or prior to December 31, 2021. If the performance conditions are not satisfied on or prior to December 31, 2021, the restricted stock units will be forfeited for no consideration.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restricted stock units granted during the first quarter of 2021 had a weighted average fair value of $2.99 per share based on the closing price of the Company’s common stock on the date of grant. The restricted stock units were valued at approximately $1.4 million on their grant date. Forfeitures are estimated at the time of grant and are adjusted, if necessary, in subsequent periods if actual forfeitures differ from those estimates. The Company has estimated a forfeiture rate of 10% for restricted stock awards to employees based on historical attrition trends.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2021, the Company granted 36,300 restricted stock awards to executives under the 2016 Plan which will vest over a four-year term.</w:t>
      </w:r>
    </w:p>
    <w:p>
      <w:pPr>
        <w:spacing w:after="0" w:line="14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Unrecognized compensation expense for all restricted stock units was $1.4 million as of September 30, 2021, which is expected to be recognized over a weighted average period of 2.1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units under the 2016 Plan and 2018 Inducement Incentive Award Plan: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1"/>
                <w:szCs w:val="11"/>
                <w:color w:val="auto"/>
              </w:rPr>
            </w:pPr>
          </w:p>
        </w:tc>
        <w:tc>
          <w:tcPr>
            <w:tcW w:w="13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0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184"/>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80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603,600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561,888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June 2016, the Company approved the 2016 Employee Stock Purchase Plan, or the ESPP, which authorized 173,076 shares of common stock for future issuance under the ESPP to participating employees. In January 2021 and 2020, the number of shares of common stock authorized for issuance under the ESPP was increased by 1,080,711 shares and 863,254 shares, respectively. During the nine months ended September 30, 2021, the Company issued 58,794 shares of common stock under the ESPP. As of September 30, 2021, 2,522,366 shares remain available for future issuance under the ESPP.</w:t>
      </w:r>
    </w:p>
    <w:p>
      <w:pPr>
        <w:spacing w:after="0" w:line="4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each of the three and nine months ended September 30, 2021 and 2020, the Company recognized less than $0.1 million and $0.1 million of stock-based compensation expense under the ESPP, respectively.</w:t>
      </w:r>
    </w:p>
    <w:p>
      <w:pPr>
        <w:spacing w:after="0" w:line="200" w:lineRule="exact"/>
        <w:rPr>
          <w:sz w:val="20"/>
          <w:szCs w:val="20"/>
          <w:color w:val="auto"/>
        </w:rPr>
      </w:pPr>
    </w:p>
    <w:p>
      <w:pPr>
        <w:spacing w:after="0" w:line="209" w:lineRule="exact"/>
        <w:rPr>
          <w:sz w:val="20"/>
          <w:szCs w:val="20"/>
          <w:color w:val="auto"/>
        </w:rPr>
      </w:pPr>
    </w:p>
    <w:p>
      <w:pPr>
        <w:jc w:val="both"/>
        <w:ind w:right="9120" w:firstLine="8"/>
        <w:spacing w:after="0" w:line="425"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Swedish Orphan Biovitrum</w:t>
      </w:r>
    </w:p>
    <w:p>
      <w:pPr>
        <w:ind w:left="340"/>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June 11, 2020, the Company and Sobi entered into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6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transactions contemplated by the Sobi License were consummated on July 28, 2020 following the expiration or termination of the required waiting periods under the Hart-Scott-Rodino Antitrust Improvements Act of 1976. Sobi may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41" w:lineRule="exact"/>
        <w:rPr>
          <w:sz w:val="20"/>
          <w:szCs w:val="20"/>
          <w:color w:val="auto"/>
        </w:rPr>
      </w:pPr>
    </w:p>
    <w:p>
      <w:pPr>
        <w:jc w:val="both"/>
        <w:ind w:right="160" w:firstLine="324"/>
        <w:spacing w:after="0" w:line="342" w:lineRule="auto"/>
        <w:rPr>
          <w:sz w:val="20"/>
          <w:szCs w:val="20"/>
          <w:color w:val="auto"/>
        </w:rPr>
      </w:pPr>
      <w:r>
        <w:rPr>
          <w:rFonts w:ascii="Arial" w:cs="Arial" w:eastAsia="Arial" w:hAnsi="Arial"/>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10 for details.</w:t>
      </w:r>
    </w:p>
    <w:p>
      <w:pPr>
        <w:spacing w:after="0" w:line="1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Company will recognize the revenue allocated to the second source supplier option when the future services and goods are transferred.</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of September 30, 2021 and December 31, 2020, the Company recorded $55.9 million and $68.3 million, respectively, as a short-term contract liability and $5.5 million and $24.2 million, respectively, as a long-term contract liability, representing deferred revenue associated with this agreement. In addition, as of September 30, 2021 the Company has recorded $1.0 million of contract assets related to incremental costs that would not have been incurred if the Sobi License had not been obtained, of which $0.9 million is presented in prepaid expenses and other current assets and $0.1 million is presented in other assets in the accompanying unaudited consolidated balance sheets. Amortization of contract assets was $0.4 million for the nine months ended September 30, 2021.</w:t>
      </w:r>
    </w:p>
    <w:p>
      <w:pPr>
        <w:spacing w:after="0" w:line="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of September 30, 2021 and December 31, 2020, the Company recorded a total outstanding receivable of $7.0 million and $6.9 million, respectively, representing billings for the Phase 3 DISSOLVE program that are subject to reimbursement by Sobi. Revenue of $24.3 million and $54.8 million related to the Sobi License was recognized during the three and nine months ended September 30, 2021, respectively. Revenue of $4.3 million related to the Sobi License was recognized during the three and nine months ended September 30,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June 13, 2020, the Company and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8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5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During the nine months ended September 30, 2021, the Company and Sarepta entered into a third amendment relating to the additional feasibility study.</w:t>
      </w:r>
    </w:p>
    <w:p>
      <w:pPr>
        <w:spacing w:after="0" w:line="8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April 13, 2021, the Company was notified by Sarepta of the achievement of the milestone event related to the completion of a non-clinical study for Duchenne muscular dystrophy and certain limb-girdle muscular dystrophies under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Sarepta Agreement. Accordingly, the Company received a milestone payment of $3.0 million during the three months ended June 30, 2021.</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September 30, 2021, two milestones remained constrained, and as of December 31, 2020, all milestones were constrained. The Company will re-evaluate the transaction price in each reporting period, as uncertain events are resolved. The Company will recognize the revenue associated with the upfront payment and combined single performance obligation utilizing the output method, over the 24 month term as the manufactured supply is delivered to Sarepta.</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September 30, 2021 and December 31, 2020, the Company recorded $4.8 million and $2.0 million, respectively, as a short-term contract liability representing deferred revenue associated with this agreement. Revenue of $0.2 million related to the Sarepta Agreement was recognized during each of the three and nine months ended September 30, 2021. Revenue of $0.3 million related to the Sarepta License Agreement was recognized during the three and nine months ended September 30,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7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w:t>
      </w:r>
    </w:p>
    <w:p>
      <w:pPr>
        <w:spacing w:after="0" w:line="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September 30, 2021 and December 31, 2020, all milestones were constrained. The Company will re-evaluate the transaction price in each reporting period, as uncertain events are resolved, or as other changes in circumstances occur.</w:t>
      </w:r>
    </w:p>
    <w:p>
      <w:pPr>
        <w:spacing w:after="0" w:line="5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each of September 30, 2021 and December 31, 2020, the Company recorded $1.7 million as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three and nine months ended September 30, 2021 and 2020 as no deliveries were made during these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Spark License Agreement</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disclosures relating to the Company’s license and option agreement, or the Spark License Agreement, with Spark pursuant to which the Company and Spark agreed to collaborate on the development of gene therapies for certain targets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utilizing the ImmTOR platform reported in the Company’s Annual Report on Form 10-K for the year ended December 31, 2020 which was filed with the SEC on March 12, 2021 have not materially changed since the Company filed such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the nine months ended September 30, 2021, revenue of $0.1 million related to the remaining contract liability of the Russia-based Development Fund of New Technologies Development and Commercialization Center, or Skolkovo, grant funding was recognized at the expiration of the three-year audit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As of September 30, 2021, the aggregate amount of the transaction price allocated to remaining performance obligations was $82.4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Sobi, Sarepta, AskBio, Spark and Skolkovo</w:t>
      </w:r>
      <w:r>
        <w:rPr>
          <w:rFonts w:ascii="Arial" w:cs="Arial" w:eastAsia="Arial" w:hAnsi="Arial"/>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liabilities during the nine months ended September 30, 2021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Arial" w:cs="Arial" w:eastAsia="Arial" w:hAnsi="Arial"/>
                <w:sz w:val="14"/>
                <w:szCs w:val="14"/>
                <w:b w:val="1"/>
                <w:bCs w:val="1"/>
                <w:color w:val="auto"/>
              </w:rPr>
              <w:t>Balance at</w:t>
            </w:r>
          </w:p>
        </w:tc>
      </w:tr>
      <w:tr>
        <w:trPr>
          <w:trHeight w:val="195"/>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beginning of period</w:t>
            </w: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end of period</w:t>
            </w:r>
          </w:p>
        </w:tc>
      </w:tr>
      <w:tr>
        <w:trPr>
          <w:trHeight w:val="17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19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110,796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82,372</w:t>
            </w:r>
          </w:p>
        </w:tc>
      </w:tr>
      <w:tr>
        <w:trPr>
          <w:trHeight w:val="21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110,796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82,372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8860" w:hanging="332"/>
        <w:spacing w:after="0" w:line="425" w:lineRule="auto"/>
        <w:tabs>
          <w:tab w:leader="none" w:pos="28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i w:val="1"/>
          <w:iCs w:val="1"/>
          <w:color w:val="auto"/>
        </w:rPr>
        <w:t>Consulting Services</w:t>
      </w:r>
    </w:p>
    <w:p>
      <w:pPr>
        <w:ind w:right="20" w:firstLine="324"/>
        <w:spacing w:after="0" w:line="286" w:lineRule="auto"/>
        <w:rPr>
          <w:sz w:val="20"/>
          <w:szCs w:val="20"/>
          <w:color w:val="auto"/>
        </w:rPr>
      </w:pPr>
      <w:r>
        <w:rPr>
          <w:rFonts w:ascii="Arial" w:cs="Arial" w:eastAsia="Arial" w:hAnsi="Arial"/>
          <w:sz w:val="17"/>
          <w:szCs w:val="17"/>
          <w:color w:val="auto"/>
        </w:rPr>
        <w:t>The Company incurred expenses for consulting services provided by its founders totaling less than $0.1 million and $0.1 million during the three and nine months ended September 30, 2021 and 2020, respectively. The Company entered into consulting agreements with its founders to serve on its Scientific Advisory Board, effective January 1, 2020 to December 31, 2021, under which they will be paid quarterly for their services.</w:t>
      </w:r>
    </w:p>
    <w:p>
      <w:pPr>
        <w:spacing w:after="0" w:line="200" w:lineRule="exact"/>
        <w:rPr>
          <w:sz w:val="20"/>
          <w:szCs w:val="20"/>
          <w:color w:val="auto"/>
        </w:rPr>
      </w:pPr>
    </w:p>
    <w:p>
      <w:pPr>
        <w:spacing w:after="0" w:line="204" w:lineRule="exact"/>
        <w:rPr>
          <w:sz w:val="20"/>
          <w:szCs w:val="20"/>
          <w:color w:val="auto"/>
        </w:rPr>
      </w:pPr>
    </w:p>
    <w:p>
      <w:pPr>
        <w:ind w:right="7980" w:firstLine="8"/>
        <w:spacing w:after="0" w:line="400" w:lineRule="auto"/>
        <w:tabs>
          <w:tab w:leader="none" w:pos="27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Collaboration and License Agreements Cyrus Biotechnology, Inc.</w:t>
      </w:r>
    </w:p>
    <w:p>
      <w:pPr>
        <w:ind w:left="3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Collaboration and License Agreement</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September 7,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Cyrus will contribute its expertise to apply its Rosetta-based computational platform to design candidate variants. Cyrus will also experimentally screen and characterize candidate variants for expression, stability, and receptor binding. The Company will experimentally characterize lead candidates for regulatory T cell expansion and activation in vitro and in vivo. In return for the licensed intellectual property, the Company is obligated to make an upfront payment and pay certain discovery, development, and sales-based milestones which could potentially total up to approximately $1.5 billion across multiple programs. The Cyrus Agreement was assessed for collaboration components and was determined not to be within the scope of ASC 808 as the risk is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spacing w:after="0" w:line="6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determined its equity interest to be within the scope of ASC 321 and elected to record the $2.0 million investment of Cyrus’ Series B Preferred Stock at cost on the purchase date.</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September 30, 2021,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63"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Consequently, the Company will assume all rights to the MMA program and intends to continue to progress the SEL-302 program through clinical development.</w:t>
      </w:r>
    </w:p>
    <w:p>
      <w:pPr>
        <w:spacing w:after="0" w:line="6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SEL-399 program combines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has commenced a clinical trial of SEL-399 in healthy adult volunteers in Belgium. The goal of the SEL-399 clinical trial is to demonstrate the appropriate dose of ImmTOR in humans to mitigate the formation of antibodies to AAV capsids used in gene therapies.</w:t>
      </w:r>
    </w:p>
    <w:p>
      <w:pPr>
        <w:spacing w:after="0" w:line="8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8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R&amp;D expense and selling, general and administrative expense on the Company’s condensed consolidated statements of operations.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6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For the three and nine months ended September 30, 2021, the Company recognized $0.6 million and $2.3 million, respectively, of collaboration expense under the AskBio Collaboration Agreement in which actual costs incurred by both parties approximate a 50% cost share. For the three and nine months ended September 30, 2020, the Company recognized $0.6 million and $2.6 million, respectively, of collaboration expense under the AskBio Collaboration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ind w:right="580" w:firstLine="324"/>
        <w:spacing w:after="0" w:line="311" w:lineRule="auto"/>
        <w:rPr>
          <w:sz w:val="20"/>
          <w:szCs w:val="20"/>
          <w:color w:val="auto"/>
        </w:rPr>
      </w:pPr>
      <w:r>
        <w:rPr>
          <w:rFonts w:ascii="Arial" w:cs="Arial" w:eastAsia="Arial" w:hAnsi="Arial"/>
          <w:sz w:val="16"/>
          <w:szCs w:val="16"/>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September 30, 2021,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nine months ended September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September 30, 2021.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June 11, 2020, the Company entered into the Sobi License (see Note 12). In September 2020, Sobi paid the Company a one-time up-front payment of $75.0 million. Sobi has also agreed to make milestone payments totaling up to $630.0 million to the Company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7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For income tax purposes, the transfer of trademark and product rights is treated as a sale and the net proceeds from the sale are taxed under the default installment method as cash is received by the Company. During the three months ended September 30, 2021, the Company completed an analysis of future tax obligations under the default installment sale method versus making a timely filed election on its 2020 tax return due October 15, 2021 to elect out of the installment sale method for income tax purposes. As a result, the Company elected out of the default installment sale treatment with the filing of its tax return. In the elect out method, the Company was taxed based upon the estimated fair value of all present and future proceeds from the sale and the Company utilized all of its available net operating losses and income tax credits, which served to reduce the federal and state tax liability. As such, the Company has recognized a total tax expense, inclusive of estimated penalties and interest, of $15.8 million as of September 30, 2021. As the Company recognizes future revenue under the Sobi license for US GAAP purposes, the Company will exclude that revenue from taxable income.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will maintain its full valuation allowance against its deferred tax assets for 2021, as the Company believes that it is more likely than not that the deferred tax assets will not be realized.</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2020, the Company completed both a Section 382 and R&amp;D tax credit study. As a result of using the elect out method described above, the Company utilized all available federal and state net operating losses and income tax credits with the filing of its tax returns for the year ended December 31, 2020.</w:t>
      </w:r>
    </w:p>
    <w:p>
      <w:pPr>
        <w:spacing w:after="0" w:line="8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statute of limitations for assessment by the United States Internal Revenue Service and Massachusetts tax authorities is open for tax years since inception. The Company files income tax returns in the United States and Massachusetts. There are currently no federal, state or foreign audits in progress.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September 30, 2021 and 2020, respectively, and $0.1 million during each of the nine months ended September 30, 2021 and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 of September 30, 2021, the Company was not a party to any litigation that could have a material adverse effect on the Company’s business, financial position, results of operations or cash flows.</w:t>
      </w:r>
    </w:p>
    <w:p>
      <w:pPr>
        <w:spacing w:after="0" w:line="6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the Company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At this time, the Company has not accrued a liability for this matter, as any liability has been determined to be either not estimable or not probable.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right="8840" w:hanging="332"/>
        <w:spacing w:after="0" w:line="425" w:lineRule="auto"/>
        <w:tabs>
          <w:tab w:leader="none" w:pos="28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color w:val="auto"/>
        </w:rPr>
        <w:t>Licenses and Collaborations</w:t>
      </w:r>
    </w:p>
    <w:p>
      <w:pPr>
        <w:ind w:right="100" w:firstLine="324"/>
        <w:spacing w:after="0" w:line="275" w:lineRule="auto"/>
        <w:rPr>
          <w:sz w:val="20"/>
          <w:szCs w:val="20"/>
          <w:color w:val="auto"/>
        </w:rPr>
      </w:pPr>
      <w:r>
        <w:rPr>
          <w:rFonts w:ascii="Arial" w:cs="Arial" w:eastAsia="Arial" w:hAnsi="Arial"/>
          <w:sz w:val="17"/>
          <w:szCs w:val="17"/>
          <w:color w:val="auto"/>
        </w:rPr>
        <w:t>On October 25, 2021, the Company entered into a Collaboration and License Agreement, or the Ginkgo Agreement, with Ginkgo Bioworks Holdings, Inc., or Ginkgo. Under the Ginkgo Agreement, the Company will engage with Ginkgo to design novel and improved enzymes with transformative therapeutic potential to advance treatments for orphan and rare diseases. In return, Ginkgo is eligible to earn both upfront research and development fees and milestone payments, including certain milestone payments in the form of Selecta common stock, clinical and commercial milestone payments of up to $85.0 million in cash, as well as downstream value in the form of royalties on sales.</w:t>
      </w:r>
    </w:p>
    <w:p>
      <w:pPr>
        <w:spacing w:after="0" w:line="6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October 21, 2021, the Company entered into an Exclusive License Agreement, or the Genovis Agreement, with Genovis AB (publ.), or Genovis, a Swedish corporation. Under the Genovis Agreement, the Company paid to Genovis an upfront payment in exchange for an exclusive license to Genovis’ Xork IgG Protease enzyme technology across all therapeutic uses in humans, excluding research, preclinical, diagnostic and other potential non-therapeutic applications of the enzyme. Additionally, Genovis is eligible to earn development and sales-based milestones, as well as tiered royalties on worldwide sales in the low double digits.</w:t>
      </w:r>
    </w:p>
    <w:p>
      <w:pPr>
        <w:spacing w:after="0" w:line="8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October 1,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Under the terms of the Takeda Agreement, the Company is entitled to receive an upfront payment and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Sales Agreement</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October 25, 2021, the Company entered into a Sales Agreement, or the 2021 Sales Agreement, with SVB Leerink LLC to sell shares of the Company’s common stock, from time to time, through an “at the market” equity offering program under which SVB Leerink will act as sales agent. The shares of common stock sold pursuant to the 2021 Sales Agreement will be issued pursuant to the Company’s shelf registration statement on Form S-3 (File No. 333-241692), filed on August 6, 2020 with the Securities and Exchange Commission and related prospectus supplement, filed on October 25, 2021 with the Securities and Exchange Commission, for aggregate gross sales proceeds of up to $75.0 million.</w:t>
      </w:r>
    </w:p>
    <w:p>
      <w:pPr>
        <w:spacing w:after="0" w:line="6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Under the 2021 Sales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Sales Agreement, SVB Leerink may sell the shares by methods deemed to be an “at the market offering” as defined in Rule 415(a)(4) promulgated under the Securities Act, in negotiated transactions at market prices prevailing at the time of sale or at prices related to such prevailing market prices and/or any other method permitted by law. If the Company and SVB Leerink so agree, SVB Leerink may act as principal in connection with the sale of shares under the 2021 Sales Agreement. The Company will pay SVB Leerink a commission of up to 3.0% of the gross sales proceeds of any shares of common stock sold through SVB Leerink under the 2021 Sales Agreement, and also has provided SVB Leerink with customary indemnification rights. The offering of shares of common stock pursuant to the 2021 Sales Agreement will terminate upon the earlier of (i) the sale of all shares of common stock subject to the 2021 Sales Agreement and (ii) the termination of the 2021 Sales Agreement as permitted therein.</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October 2021, warrant holders exercised 1,642,036 common warrants on a cashless basis and received 1,076,669 shares of common stock.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2020, which we filed with the SEC on March 12, 2021. In addition, you should read the “Risk Factors” and “Information Regarding Forward-Looking Statements” sections of this Quarterly Report and our Annual Report on Form 10-K</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for the year ended December 31, 2020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We are a clinical-stage biopharmaceutical company leveraging our ImmTOR</w:t>
      </w:r>
      <w:r>
        <w:rPr>
          <w:rFonts w:ascii="Arial" w:cs="Arial" w:eastAsia="Arial" w:hAnsi="Arial"/>
          <w:sz w:val="19"/>
          <w:szCs w:val="19"/>
          <w:color w:val="auto"/>
        </w:rPr>
        <w:t>™</w:t>
      </w:r>
      <w:r>
        <w:rPr>
          <w:rFonts w:ascii="Arial" w:cs="Arial" w:eastAsia="Arial" w:hAnsi="Arial"/>
          <w:sz w:val="18"/>
          <w:szCs w:val="18"/>
          <w:color w:val="auto"/>
        </w:rPr>
        <w:t xml:space="preserve"> immune tolerance platform with the goals of amplifying the efficacy of biologics, including enabling the re-dosing of life-saving gene therapies, and restoring self-tolerance in autoimmune diseases. Our ImmTOR platform encapsulates rapamycin, also known as sirolimus, an immunomodulator, in biodegradable nanoparticles and is designed to induce antigen-specific immune tolerance.</w:t>
      </w:r>
    </w:p>
    <w:p>
      <w:pPr>
        <w:spacing w:after="0" w:line="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ImmTOR has the potential to enhance the efficacy without compromising the safety of biologic therapies, improve product candidates under development, and enable novel therapeutic modalities. We have developed a portfolio of proprietary and collaboration-driven applications of ImmTOR, and we plan to continue to develop proprietary compounds and pursue collaboration-driven development in certain disease areas, which could include strategic collaborations, out-licensing, and in-licensing transactions.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ImmTOR platform has a broad range of potential applications.</w:t>
      </w:r>
    </w:p>
    <w:p>
      <w:pPr>
        <w:spacing w:after="0" w:line="117" w:lineRule="exact"/>
        <w:rPr>
          <w:sz w:val="20"/>
          <w:szCs w:val="20"/>
          <w:color w:val="auto"/>
        </w:rPr>
      </w:pPr>
    </w:p>
    <w:p>
      <w:pPr>
        <w:ind w:left="660" w:right="40" w:firstLine="324"/>
        <w:spacing w:after="0" w:line="273" w:lineRule="auto"/>
        <w:rPr>
          <w:sz w:val="20"/>
          <w:szCs w:val="20"/>
          <w:color w:val="auto"/>
        </w:rPr>
      </w:pPr>
      <w:r>
        <w:rPr>
          <w:rFonts w:ascii="Arial" w:cs="Arial" w:eastAsia="Arial" w:hAnsi="Arial"/>
          <w:sz w:val="17"/>
          <w:szCs w:val="17"/>
          <w:i w:val="1"/>
          <w:iCs w:val="1"/>
          <w:color w:val="auto"/>
        </w:rPr>
        <w:t>Enzyme therapies</w:t>
      </w:r>
      <w:r>
        <w:rPr>
          <w:rFonts w:ascii="Arial" w:cs="Arial" w:eastAsia="Arial" w:hAnsi="Arial"/>
          <w:sz w:val="17"/>
          <w:szCs w:val="17"/>
          <w:color w:val="auto"/>
        </w:rPr>
        <w:t>. Enzyme therapies are a class of biologic drugs frequently used to treat rare diseases. Through our analysis of biologic</w:t>
      </w:r>
      <w:r>
        <w:rPr>
          <w:rFonts w:ascii="Arial" w:cs="Arial" w:eastAsia="Arial" w:hAnsi="Arial"/>
          <w:sz w:val="17"/>
          <w:szCs w:val="17"/>
          <w:i w:val="1"/>
          <w:iCs w:val="1"/>
          <w:color w:val="auto"/>
        </w:rPr>
        <w:t xml:space="preserve"> </w:t>
      </w:r>
      <w:r>
        <w:rPr>
          <w:rFonts w:ascii="Arial" w:cs="Arial" w:eastAsia="Arial" w:hAnsi="Arial"/>
          <w:sz w:val="17"/>
          <w:szCs w:val="17"/>
          <w:color w:val="auto"/>
        </w:rPr>
        <w:t>drugs, including in our preclinical studies, we have observed that enzymes are especially prone to causing undesired immune responses. Our product candidate, SEL-212, which is currently in Phase 3 clinical development, includes pegadricase, a pegylated uricase enzyme, which is an example of an immunogenic enzyme for which we are applying ImmTOR with the intention of improving the enzyme’s efficacy and safety. We are also combining ImmTOR with an immunoglobulin A, or IgA, protease for the treatment of IgA nephropathy. We intend to seek, if appropriate, licenses to other enzymes that we would evaluate in combination with ImmTOR.</w:t>
      </w:r>
    </w:p>
    <w:p>
      <w:pPr>
        <w:spacing w:after="0" w:line="70" w:lineRule="exact"/>
        <w:rPr>
          <w:sz w:val="20"/>
          <w:szCs w:val="20"/>
          <w:color w:val="auto"/>
        </w:rPr>
      </w:pPr>
    </w:p>
    <w:p>
      <w:pPr>
        <w:ind w:left="660" w:right="40" w:firstLine="324"/>
        <w:spacing w:after="0" w:line="269" w:lineRule="auto"/>
        <w:rPr>
          <w:sz w:val="20"/>
          <w:szCs w:val="20"/>
          <w:color w:val="auto"/>
        </w:rPr>
      </w:pPr>
      <w:r>
        <w:rPr>
          <w:rFonts w:ascii="Arial" w:cs="Arial" w:eastAsia="Arial" w:hAnsi="Arial"/>
          <w:sz w:val="17"/>
          <w:szCs w:val="17"/>
          <w:i w:val="1"/>
          <w:iCs w:val="1"/>
          <w:color w:val="auto"/>
        </w:rPr>
        <w:t>Gene therapies</w:t>
      </w:r>
      <w:r>
        <w:rPr>
          <w:rFonts w:ascii="Arial" w:cs="Arial" w:eastAsia="Arial" w:hAnsi="Arial"/>
          <w:sz w:val="17"/>
          <w:szCs w:val="17"/>
          <w:color w:val="auto"/>
        </w:rPr>
        <w:t>. We believe gene therapies have the potential to address key unmet medical needs for many rare genetic diseases, but</w:t>
      </w:r>
      <w:r>
        <w:rPr>
          <w:rFonts w:ascii="Arial" w:cs="Arial" w:eastAsia="Arial" w:hAnsi="Arial"/>
          <w:sz w:val="17"/>
          <w:szCs w:val="17"/>
          <w:i w:val="1"/>
          <w:iCs w:val="1"/>
          <w:color w:val="auto"/>
        </w:rPr>
        <w:t xml:space="preserve"> </w:t>
      </w:r>
      <w:r>
        <w:rPr>
          <w:rFonts w:ascii="Arial" w:cs="Arial" w:eastAsia="Arial" w:hAnsi="Arial"/>
          <w:sz w:val="17"/>
          <w:szCs w:val="17"/>
          <w:color w:val="auto"/>
        </w:rPr>
        <w:t>undesired immune responses to the viral vectors used for gene replacement, augmentation and editing may be restricting their broader use. Through our analysis of genetic diseases, we have identified applications and patient segments that we believe would benefit from our ImmTOR platform. We intend to develop ImmTOR-enabled non-immunogenic gene therapy candidates which are designed to be utilized with adeno-associated virus, or AAV, vectors. We believe our product candidates have the potential to increase transgene expression and to prevent undesired immune responses to the vector and transgene product that can occur with the first dose of gene therapy by using our ImmTOR platform. Our initial area of focus is on genetic metabolic diseases and genetic muscular diseases. We believe we are the first company to systematically pursue the development of AAV gene therapy product candidates with the goal of enabling repeat administration. We have engaged third parties with experience in gene therapy and rare diseases to support the development of our products. We also have licensed our ImmTOR platform to AskBio, Sarepta, Takeda, and Spark for certain pre-specified targets.</w:t>
      </w:r>
    </w:p>
    <w:p>
      <w:pPr>
        <w:spacing w:after="0" w:line="64" w:lineRule="exact"/>
        <w:rPr>
          <w:sz w:val="20"/>
          <w:szCs w:val="20"/>
          <w:color w:val="auto"/>
        </w:rPr>
      </w:pPr>
    </w:p>
    <w:p>
      <w:pPr>
        <w:ind w:left="660" w:right="20" w:firstLine="324"/>
        <w:spacing w:after="0" w:line="242" w:lineRule="auto"/>
        <w:rPr>
          <w:sz w:val="20"/>
          <w:szCs w:val="20"/>
          <w:color w:val="auto"/>
        </w:rPr>
      </w:pPr>
      <w:r>
        <w:rPr>
          <w:rFonts w:ascii="Arial" w:cs="Arial" w:eastAsia="Arial" w:hAnsi="Arial"/>
          <w:sz w:val="17"/>
          <w:szCs w:val="17"/>
          <w:i w:val="1"/>
          <w:iCs w:val="1"/>
          <w:color w:val="auto"/>
        </w:rPr>
        <w:t xml:space="preserve">Restoring self-tolerance to auto-antigens. </w:t>
      </w:r>
      <w:r>
        <w:rPr>
          <w:rFonts w:ascii="Arial" w:cs="Arial" w:eastAsia="Arial" w:hAnsi="Arial"/>
          <w:sz w:val="17"/>
          <w:szCs w:val="17"/>
          <w:color w:val="auto"/>
        </w:rPr>
        <w:t>We believe that ImmTOR has the potential to restore self-tolerance in autoimmune diseases. Our</w:t>
      </w:r>
      <w:r>
        <w:rPr>
          <w:rFonts w:ascii="Arial" w:cs="Arial" w:eastAsia="Arial" w:hAnsi="Arial"/>
          <w:sz w:val="17"/>
          <w:szCs w:val="17"/>
          <w:i w:val="1"/>
          <w:iCs w:val="1"/>
          <w:color w:val="auto"/>
        </w:rPr>
        <w:t xml:space="preserve"> </w:t>
      </w:r>
      <w:r>
        <w:rPr>
          <w:rFonts w:ascii="Arial" w:cs="Arial" w:eastAsia="Arial" w:hAnsi="Arial"/>
          <w:sz w:val="17"/>
          <w:szCs w:val="17"/>
          <w:color w:val="auto"/>
        </w:rPr>
        <w:t>first program in autoimmune diseases is in primary biliary cholangitis, or PBC. PBC has a significant unmet medical need and a well-defined target antigen, known as PDC-E2. In a strategic collaboration with leading protein design company Cyrus Biotechnology, Inc., or Cyrus, we are developing ImmTOR in connection with a proprietary interleukin-2 (IL-2) protein agonist designed to selectively promote expansion of regulatory T cells for the potential treatment of patients with autoimmune diseases and other deleterious immune conditions.</w:t>
      </w:r>
    </w:p>
    <w:p>
      <w:pPr>
        <w:spacing w:after="0" w:line="81" w:lineRule="exact"/>
        <w:rPr>
          <w:sz w:val="20"/>
          <w:szCs w:val="20"/>
          <w:color w:val="auto"/>
        </w:rPr>
      </w:pPr>
    </w:p>
    <w:p>
      <w:pPr>
        <w:ind w:left="660" w:right="20" w:firstLine="324"/>
        <w:spacing w:after="0" w:line="255" w:lineRule="auto"/>
        <w:rPr>
          <w:sz w:val="20"/>
          <w:szCs w:val="20"/>
          <w:color w:val="auto"/>
        </w:rPr>
      </w:pPr>
      <w:r>
        <w:rPr>
          <w:rFonts w:ascii="Arial" w:cs="Arial" w:eastAsia="Arial" w:hAnsi="Arial"/>
          <w:sz w:val="18"/>
          <w:szCs w:val="18"/>
          <w:i w:val="1"/>
          <w:iCs w:val="1"/>
          <w:color w:val="auto"/>
        </w:rPr>
        <w:t xml:space="preserve">Other products and product candidates affected by undesired immune responses. </w:t>
      </w:r>
      <w:r>
        <w:rPr>
          <w:rFonts w:ascii="Arial" w:cs="Arial" w:eastAsia="Arial" w:hAnsi="Arial"/>
          <w:sz w:val="18"/>
          <w:szCs w:val="18"/>
          <w:color w:val="auto"/>
        </w:rPr>
        <w:t>We have generated preclinical data which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suggests a broad potential benefit of ImmTOR for immune tolerance. For many biologic drugs, undesired immune responses limit efficacy and cause safety concerns. We intend to strategically out-license ImmTOR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Enzyme therapy – Chronic Refractory Gout</w:t>
      </w:r>
    </w:p>
    <w:p>
      <w:pPr>
        <w:spacing w:after="0" w:line="11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SEL-212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reduced the formation of associated ADAs. Based on our clinical data, we believe that SEL-212 has the potential to control serum uric acid, or SUA levels and mitigate the formation of ADAs in response to the therapeutic enzyme. Additionally, we believe that SEL-212 serves as proof of concept for the ImmTOR platform in ameliorating the unwanted immune response to an immunogenic biologic. SEL-212 has been licensed (except as to Greater China) to Sobi, pursuant to our license and development agreement dated June 11, 2020 with Sobi, or the Sobi License.</w:t>
      </w:r>
    </w:p>
    <w:p>
      <w:pPr>
        <w:spacing w:after="0" w:line="6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and Sobi commenced the Phase 3 DISSOLVE clinical program of SEL-212 in September 2020. The Phase 3 clinical program consists of two double blinded, placebo-controlled trials of SEL-212, DISSOLVE I and DISSOLVE II. Each trial is expected to enroll 105 patients, with 35 patients receiving 0.1 mg/kg of ImmTOR and 0.2 mg/kg of pegadricase, 35 patients receiving 0.15 mg/kg of ImmTOR and 0.2 mg/kg of pegadricase, and 35 patients receiving placebo. DISSOLVE I and DISSOLVE II both have a six-month primary endpoint with a six-month safety extension for DISSOLVE I. The primary endpoint of the DISSOLVE program is the maintenance of SUA levels below 6 mg/dL at six months. Secondary endpoints include tender and swollen joint counts, tophus burden, patient reported outcomes of activity limitation and quality of life and gout flare incidence. Topline data from the Phase 3 DISSOLVE clinical program is expected in the second half of 2022. The Phase 3 DISSOLVE clinical program is being conducted by Selecta and funded by Sobi.</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Enzyme therapy – IgA Nephropathy</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second indication in our enzyme therapy program is IgA nephropathy, an autoimmune kidney disease that occurs when immune complexes of a subclass of antibodies called immunoglobulin A1, or IgA1, accumulates in the kidneys.</w:t>
      </w:r>
    </w:p>
    <w:p>
      <w:pPr>
        <w:spacing w:after="0" w:line="6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October 2020, we entered into an Option and License Agreement, or the IGAN Agreement, with IGAN Biosciences, Inc., or IGAN. Pursuant to the IGAN Agreement, IGAN has granted us an exclusive license to research, evaluate, and conduct pre-clinical development activities on IGAN’s proprietary IgA proteases. Previous studies in animal models conducted at independent laboratories demonstrated that IgA protease removed injurious IgA immune complexes from kidneys and reduced inflammation, fibrosis, and hematuria. These results suggest that it is an excellent candidate to potentially decrease the rate of disease progression and possibly even reverse the disease. The barrier to IgA protease commercialization is the bacterial origin of the protease, which makes it immunogenic. Our ImmTOR platform has shown in clinical studies the ability to mitigate the formation of ADAs to immunogenic enzymes, which has been observed with SEL-212. We intend to combine IgA protease with our ImmTOR platform to develop a novel combination product candidate for the treatment of IgA nephropathy and IgA-mediated diseases. We will have an option term of 24 months, during which we can elect to obtain an exclusive license to further develop and commercialize the product candidate to treat all IgA-mediated diseases, including IgA nephropathy, Linear IgA bullous dermatitis, IgA pemphigus, and Henoch-Schonlein purpura (also known as IgA vasculitis).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file an Investigational New Drug, or IND, application, for this program in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Gene Therapies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When used in combination with AAV gene therapy vectors, ImmTOR has been observed to inhibit the immune response to the vector and enable successful redosing in mice and non-human primates, or NHPs.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pediatric patients, who may lose gene expression over time as they grow. In addition, a study conducted in NHPs showed that co-administration of AAV vector and ImmTOR in NHPs enabled higher and more durable transgene expression after the first dose of gene therapy as well as robust inhibition of anti-AAV8 immunoglobulin G, or IgG, and neutralizing antibodies. The observation that co-administration of AAV vector and ImmTOR leads to higher transgene expression demonstrates the potential for dosing lower levels of AAV gene therapies when combined with ImmTOR. Thus, integrating ImmTOR into a gene therapy protocol has the potential to provide a first dose benefit by enhancing liver-directed transgene expression and durability, as well as the potential for enabling re-dosing.</w:t>
      </w:r>
    </w:p>
    <w:p>
      <w:pPr>
        <w:spacing w:after="0" w:line="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lead therapeutic gene therapy program is in methylmalonic acidemia, or MMA, an inherited disorder in which the body is unable to process certain proteins and fats (lipids) properly. This program was previously being conducted under our collaboration with AskBio. In April 2021, we were notified by AskBio that it intended to opt-out of development of the MMA indication. The feasibility study and license agreement with AskBio, or AskBio Collaboration Agreement, otherwise remains in effect. The previously disclosed MMA-101 manufacturing issue was resolved. Manufacturing of a new lot has been completed and is currently undergoing final release testing. We filed an IND to conduct a Phase 1/2 clinical trial of our SEL-302 product candidate in pediatric patients with methylmalonic acidemia in the third quarter of 2021. As of the filing of this quarterly report, the FDA’s 30-day review period for this IND has expired. However, we have been informed orally by FDA that they are still considering certain aspects of our filing related to chemistry, manufacturing and control (CMC). We intend to wait for formal clearance from FDA before initiating the proposed Phase 1/2 clinical trial and to work with FDA to resolve any concerns they may have with our submission. If we are unable to do so we expect FDA may impose a clinical hold on this trial. ImmTOR manufacturing, controlled by us, continues to proceed in accordance with our expectations, and we have not observed any impact to any of our ImmTOR programs. In October and November 2020, we and AskBio received rare pediatric disease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designation and orphan drug designation, respectively, from the FDA for MMA-101, for the treatment of MMA due to methylmalonyl-CoA mutase, or MMUT gene mutations.</w:t>
      </w:r>
    </w:p>
    <w:p>
      <w:pPr>
        <w:spacing w:after="0" w:line="6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We expect to file an IND and/or Clinical Trial Application for SEL-313 in 2022.</w:t>
      </w:r>
    </w:p>
    <w:p>
      <w:pPr>
        <w:spacing w:after="0" w:line="8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SEL-399 combines an empty AAV capsid (EMC-101), which is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An initial control cohort of healthy volunteers received a single dose of EMC-101 in December 2020 and dose escalating cohorts of EMC-101 plus ImmTOR were initiated in February 2021. On November 8, 2021, we announced the top-line data from the Phase 1 clinical trial evaluating the potential of the ImmTOR platform in mitigating the formation of neutralizing antibodies against adeno-associated viral serotype 8 (AAV8) capsids used in gene therapies. Top-line results indicated that AAV8 empty capsids elicited peak median anti-AA8 neutralizing antibody (NAb) titers of 1:6875. Median day 30 NAb titers were 1:25 and 1:5 in the 0.15 mg/kg and 0.3 mg/kg ImmTOR cohorts, respectively, representing a 50-fold and 250-fold difference, respectively, compared to the median of control subjects dosed with AAV8 empty capsid alone. Further, we observed that at Day 30, 6 of 6 or 100% of subjects that received 0.3 mg/kg exhibited NAb titers of 1:25 or less, and 4 of 6 or 67% of those subjects at this dose exhibited NAb titers of 1:5 or less. We observed at Day 30 that 6 of 9 or 67% of subjects that received 0.15 mg/kg of ImmTOR exhibited NAb titers of 1:25 or less, and 2 of 9 or 22% of subjects at this dose had a titer of 1:5 or less. At Day 90, 2 of 6 subjects in the 0.3 mg/kg cohort were observed to have sustained control of neutralizing antibodies with titers of 1:25 or less. Consistent with preclinical data, we observed that the single dose ImmTOR cohorts saw delayed formation of neutralizing antibodies eventually reaching similar median levels of neutralizing antibodies to the control group by Day 90. ImmTOR showed safety results consistent with prior human studies and was well tolerated. No serious adverse events were reported. The most common treatment-related adverse events included mild-to-moderate stomatitis and rash.</w:t>
      </w:r>
    </w:p>
    <w:p>
      <w:pPr>
        <w:spacing w:after="0" w:line="8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 strategic collaboration with Genovis, an enzyme technology company, we are leveraging Genovis’ proprietary immunoglobulin G (IgG) protease, IdeXork, or Xork, and our ImmTOR platform to enable the dosing of transformative gene therapies in patients with preexisting adeno-associated virus (AAV) immunity and to treat certain IgG-mediated autoimmune diseases.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Restoring Self-tolerance in Autoimmune Diseases</w:t>
      </w:r>
    </w:p>
    <w:p>
      <w:pPr>
        <w:spacing w:after="0" w:line="1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lead autoimmune diseases indication is PBC, a T-cell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 We expect to file an IND for our PBC program in the second half of 2022.</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collaboration with Cyrus is a proprietary interleukin-2 (IL-2) protein in combination with ImmTOR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Early preclinical data investigating the effects of ImmTOR in combination with a Treg-selective IL-2 mutant protein, or IL-2 mutein, demonstrate substantial synergistic activity in increasing the percentage and durability of Treg expansion in the spleen.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Ginkgo Bioworks Holdings, Inc.</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October 25, 2021, Selecta Biosciences, Inc. entered into a Collaboration and License Agreement, or the Ginkgo Agreement, with Ginkgo Bioworks Holdings, Inc., or Ginkgo. Under the Ginkgo Agreement, the Company will engage with Ginkgo to design novel and improved enzymes with potentially transformative therapeutic potential to advance treatments for orphan and rare diseases. In return, Ginkgo is eligible to earn both upfront research and development fees and milestone payments, including certain milestone payments in the form of Selecta common stock, clinical and commercial milestone payments of up to $85 million in cash, as well as downstream value in the form of royalties on sales.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Genovis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21, 2021, we entered into a strategic licensing agreement with Genovis, or the Genovis Agreement. Under the Genovis Agreement, we paid to Genovis an upfront payment in exchange for an exclusive license to Genovis’ Xork IgG Protease enzyme technology across all therapeutic uses in humans, excluding research, preclinical, diagnostic and other potential non-therapeutic applications of the enzyme. Additionally, Genovis is eligible to earn development and sales-based milestones, as well as tiered royalties on worldwide sales in the low double digits.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 Company Limited</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October 1, 2021, we entered into a strategic licensing agreement with Takeda Pharmaceutical Company Limited, or the Takeda Agreement. Under the Takeda Agreement, we granted Takeda an exclusive license to the Company’s ImmTOR technology initially for two specified disease indications within the field of lysosomal storage disorders. Under the terms of the Takeda Agreement, we are entitled to receive an upfront payment and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Cyrus Biotechnology, Inc.</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September 7,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ability to redesign protein therapeutics. We expect that novel engineered protein therapeutic candidates from the partnership will be used to expand our proprietary pipeline and further bolster the ImmTOR platform. In return for the licensed intellectual property, we are obligated to make an upfront payment and pay certain discovery, development, and sales-based milestones which could potentially total up to approximately $1.5 billion across multiple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Swedish Orphan Biovitrum</w:t>
      </w:r>
    </w:p>
    <w:p>
      <w:pPr>
        <w:spacing w:after="0" w:line="11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5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Additionally, Sobi purchased an aggregate of 5,416,390 shares of our common stock at $4.6156 for aggregate gross proceeds of $25 million, which we refer to as the Sobi Private Placement. The closing of the Sobi Private Placement occurred on July 31, 2020.</w:t>
      </w:r>
    </w:p>
    <w:p>
      <w:pPr>
        <w:spacing w:after="0" w:line="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Under the Sobi License, we will have operational oversight of the Phase 3 DISSOLVE clinical program of SEL-212 (DISSOLVE I and DISSOLVE II) that commenced in September 2020, at Sobi’s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IGAN Biosciences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October 2020, we entered into the IGAN Agreement. Pursuant to the IGAN Agreement, IGAN granted us an exclusive license to research, evaluate, and conduct pre-clinical development activities on IGAN’s proprietary IgA proteases. We have an option term of 24 months, during which we can elect to obtain an exclusive license to further develop and commercialize the product to treat all IgA-mediated diseases, including IgA nephropathy, Linear IgA bullous dermatitis, IgA pemphigus, and Henoch-Schonlein purpura (also known as IgA vasculitis).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w:t>
      </w:r>
    </w:p>
    <w:p>
      <w:pPr>
        <w:spacing w:after="0" w:line="11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During the nine months ending September 30, 2021, we received a $3.0 million milestone payment from Sarepta. If Sarepta opts-in to an exclusive license agreement, we could receive option exercise payments per indication, we would be entitled to significant development and commercial milestone payments and tiered royalties ranging from the mid-to-high single digits based on net sales.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AskBio</w:t>
      </w:r>
    </w:p>
    <w:p>
      <w:pPr>
        <w:spacing w:after="0" w:line="117"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In August 2019, we entered into the AskBio Collaboration Agreement. The initial proof-of-concept study being conducted under this collaboration is in SEL-399, which combines an empty AAV capsid (EMC-101),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which currently precludes re-dosing. An initial control cohort of healthy volunteers received a single dose of EMC-101 in December 2020 and dose escalating cohorts of EMC-101 plus ImmTOR were initiated in February 2021. On November 8, 2021, we announced the top-line data from the Phase 1 clinical trial evaluating the potential of the ImmTOR platform in mitigating the formation of neutralizing antibodies against adeno-associated viral serotype 8 (AAV8) capsids used in gene therapies. Top-line results indicated that AAV8 empty capsids elicited peak median anti-AA8 neutralizing antibody (NAb) titers of 1:6875. Median day 30 NAb titers were 1:25 and 1:5 in the 0.15 mg/kg and 0.3 mg/kg ImmTOR cohorts, respectively, representing a 50-fold and 250-fold difference, respectively, compared to the median of control subjects dosed with AAV8 empty capsid alone. Further, we observed that at Day 30, 6 of 6 or 100% of subjects that received 0.3 mg/kg exhibited NAb titers of 1:25 or less, and 4 of 6 or 67% of those subjects at this dose exhibited NAb titers of 1:5 or less. We observed at Day 30 that 6 of 9 or 67% of subjects that received 0.15 mg/kg of ImmTOR exhibited NAb titers of 1:25 or less, and 2 of 9 or 22% of subjects at this dose had a titer of 1:5 or less. At Day 90, 2 of 6 subjects in the 0.3 mg/kg cohort were observed to have sustained control of neutralizing antibodies with titers of 1:25 or less. Consistent with preclinical data, we observed that the single dose ImmTOR cohorts saw delayed formation of neutralizing antibodies eventually reaching similar median levels of neutralizing antibodies to the control group by Day 90. ImmTOR showed safety results consistent with prior human studies and was well tolerated. No serious adverse events were reported. The most common treatment-related adverse events included mild-to-moderate stomatitis and rash.</w:t>
      </w:r>
    </w:p>
    <w:p>
      <w:pPr>
        <w:spacing w:after="0" w:line="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Previously, we and AskBio were developing a gene therapy for MMA, which can cause severe developmental defects and premature death as a result of an accumulation of toxic metabolites. We conducted preclinical studies for this product candidate and will leverage that work within the collaboration. In April 2021, we were notified by AskBio that it intended to opt-out of development of the MMA indication. The AskBio Collaboration Agreement otherwise remains in effect and we intend to continue to develop SEL-302 through clinical development.</w:t>
      </w:r>
    </w:p>
    <w:p>
      <w:pPr>
        <w:spacing w:after="0" w:line="7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Additionally, in December 2019, we entered into a License Agreement with AskBio, or the AskBio License Agreement, which provides AskBio with exclusive worldwide rights to our ImmTOR platform to research, develop and commercialize certain AAV-gene therapy products targeting the GAA gene, or derivatives thereof, to treat Pompe Disease.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Therapeutics</w:t>
      </w:r>
    </w:p>
    <w:p>
      <w:pPr>
        <w:spacing w:after="0" w:line="11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December 2016, we entered into a license and option agreement with Spark Therapeutics, or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are closely monitoring how COVID-19 is affecting our employees, business, preclinical studies and clinical trials. In response to the spread of COVID-19, we have continued to have our administrative employees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w:t>
      </w:r>
    </w:p>
    <w:p>
      <w:pPr>
        <w:spacing w:after="0" w:line="4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While the COVID-19 pandemic has not had a material impact on our clinical programs as of the date of this Quarterly Report, it could have an impact on our ability to complete the Phase 3 DISSOLVE clinical program of SEL-212, our ability to commence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 We have been proactively working with our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We believe we will have adequate supply of all material necessary to conduct our Phase 3 DISSOLVE clinical program of SEL-212 in chronic refractory gout.</w:t>
      </w:r>
    </w:p>
    <w:p>
      <w:pPr>
        <w:spacing w:after="0" w:line="88"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travel restrictions and social distancing in the United States and other countries, business closures or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business disruptions, supply chain disruptions, the ultimate impact on financial markets and the global economy, and the effectiveness of actions taken in the United States and other countries to contain and treat the disease.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financed our operations primarily through public offerings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7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$37.9 million and $53.4 million for the nine months ended September 30, 2021 and 2020, respectively. As of September 30, 2021, we had an accumulated deficit of $442.6 million. We expect to continue to incur significant expenses and operating losses for at least the next several years as we:</w:t>
      </w:r>
    </w:p>
    <w:p>
      <w:pPr>
        <w:spacing w:after="0" w:line="76" w:lineRule="exact"/>
        <w:rPr>
          <w:sz w:val="20"/>
          <w:szCs w:val="20"/>
          <w:color w:val="auto"/>
        </w:rPr>
      </w:pPr>
    </w:p>
    <w:p>
      <w:pPr>
        <w:ind w:left="660" w:right="4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117"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3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believe that our existing cash, cash equivalents, restricted cash, and marketable securities as of September 30, 2021 will enable us to fund our operating expenses and capital expenditure requirements into the second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grant revenue</w:t>
      </w:r>
    </w:p>
    <w:p>
      <w:pPr>
        <w:spacing w:after="0" w:line="12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To date, we have not generated any revenue from product sales. Our revenue consists of collaboration and grant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unaudited consolidated financial statements included elsewhere in this Quarterly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allocated overhead costs and other related expenses. Our internal research and development costs are often devoted to expanding our programs and are not necessarily allocable to a specific target.</w:t>
      </w:r>
    </w:p>
    <w:p>
      <w:pPr>
        <w:spacing w:after="0" w:line="6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have incurred a total of $343.8 million in research and development expenses from inception through September 30, 2021, with a majority of the expenses being spent on the development of SEL-212 and a prior nicotine vaccine candidate, and the remainder being spent on our various discovery and preclinical stage product candidate programs and the general expansion of our technology.</w:t>
      </w:r>
    </w:p>
    <w:p>
      <w:pPr>
        <w:spacing w:after="0" w:line="76"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69"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On June 11,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consists primarily of interest income earned on our cash, cash equivalents and marketable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was de minimis during the three and nine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September 30, 2021 and December 31, 2020, we maintained cash of $0.3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comparison of revenue for the three months ended September 30, 2021 and 2020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6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19,781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During the three months ended September 30, 2021, collaboration revenue was $24.4 million, compared to $4.6 million of revenue recognition in 2020. During the three months ended September 30, 2021 and 2020, we recognized $24.3 million and $4.4 million, respectively, under the license agreement with Sobi resulting from both the shipment of clinical supply and the reimbursement of costs incurred for the Phase 3 DISSOLVE clinical program. The significant revenue increase is the result of the continued enrollment of the Phase 3 DISSOLVE clinical program that was initiated in the third quarter of 2020.</w:t>
      </w:r>
    </w:p>
    <w:p>
      <w:pPr>
        <w:spacing w:after="0" w:line="8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Additionally, we recognized $0.2 million for each of the three months ended September 30, 2021 and 2020, for shipments under the license agreement with Sarepta.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September 30, 2021 and 2020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SEL-212</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10,231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9,059</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AskBio collaboration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1,705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Preclinical stage product candidate programs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1,369 %</w:t>
            </w:r>
          </w:p>
        </w:tc>
        <w:tc>
          <w:tcPr>
            <w:tcW w:w="0" w:type="dxa"/>
            <w:vAlign w:val="bottom"/>
          </w:tcPr>
          <w:p>
            <w:pPr>
              <w:spacing w:after="0"/>
              <w:rPr>
                <w:sz w:val="1"/>
                <w:szCs w:val="1"/>
                <w:color w:val="auto"/>
              </w:rPr>
            </w:pPr>
          </w:p>
        </w:tc>
      </w:tr>
      <w:tr>
        <w:trPr>
          <w:trHeight w:val="18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6,018</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0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20,951</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13,960</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September 30, 2021</w:t>
      </w:r>
      <w:r>
        <w:rPr>
          <w:rFonts w:ascii="Arial" w:cs="Arial" w:eastAsia="Arial" w:hAnsi="Arial"/>
          <w:sz w:val="16"/>
          <w:szCs w:val="16"/>
          <w:color w:val="2C2C2C"/>
        </w:rPr>
        <w:t>, our research and development expenses increased by $7.0 million, or 50%, as com</w:t>
      </w:r>
      <w:r>
        <w:rPr>
          <w:rFonts w:ascii="Arial" w:cs="Arial" w:eastAsia="Arial" w:hAnsi="Arial"/>
          <w:sz w:val="16"/>
          <w:szCs w:val="16"/>
          <w:color w:val="auto"/>
        </w:rPr>
        <w:t>pared to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cost was primarily the result of expenses incurred for the preclinical programs, salaries, headcount and AskBio collaboration costs.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September 30, 2021 and 2020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5,445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September 30, 2021, our general and administrative expenses increased by $1.0 million, or 23%, as compared to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costs was primarily the result of salaries, professional fees and stock compensation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was de minimis for each of the three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minimal foreign currency fluctuations during each of the three months ended September 30, 2021 and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Interest expense was $0.7 million and $0.4 million for the three months ended September 30, 2021 and 2020,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three months ended September 30, 2021, we recognized $0.6 million of income from the change in the fair value of warrant liabilities utilizing the Black-Scholes valuation methodology. The decrease in value was primarily driven by a decrease in the Company’s share price. For the three months ended September 30, 2020, we recognized $4.8 million change in the fair value of warrant liabilities primarily driven by a decrease in the Company’s share price and volatility, and a decreased discount rate this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was de minimis for each of the three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For the three months ended September 30, 2021, we recognized $15.8 million of expense for the income taxes primarily related to the license agreement with Sobi upon the Company’s election to opt out of the installment sale method of taxation. As a result of this election, the Company has prepaid all taxes related to future Sobi License revenue streams.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Net loss for the three months ended September 30, 2021 was $17.9 million compared to a net loss of $9.7 million for the three months ended September 30,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comparison of revenue for the nine months ended September 30, 2021 and 2020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460" w:type="dxa"/>
            <w:vAlign w:val="bottom"/>
          </w:tcPr>
          <w:p>
            <w:pPr>
              <w:spacing w:after="0"/>
              <w:rPr>
                <w:sz w:val="14"/>
                <w:szCs w:val="14"/>
                <w:color w:val="auto"/>
              </w:rPr>
            </w:pPr>
          </w:p>
        </w:tc>
        <w:tc>
          <w:tcPr>
            <w:tcW w:w="15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50,494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nine months ended September 30, 2021, we recognized $54.8 million under the license agreement with Sobi resulting from the shipment of clinical supply and the reimbursement of costs incurred for the Phase 3 DISSOLVE clinical program, all of which began in July 2020, $0.2 million for shipments under the license agreement with Sarepta, and $0.1 million resulting from the expiration of the contractual audit term under the Skolkovo Foundation grant. During the nine months ended September 30, 2020, we recognized $4.3 million under the license agreement with Sobi resulting from the shipment of clinical supply and the reimbursement of costs incurred for the Phase 3 DISSOLVE clinical program and $0.3 million for shipments under the collaboration agreement with Sarepta.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nine months ended September 30, 2021 and 2020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3"/>
            <w:vMerge w:val="restart"/>
          </w:tcPr>
          <w:p>
            <w:pPr>
              <w:jc w:val="center"/>
              <w:ind w:left="208"/>
              <w:spacing w:after="0"/>
              <w:rPr>
                <w:sz w:val="20"/>
                <w:szCs w:val="20"/>
                <w:color w:val="auto"/>
              </w:rPr>
            </w:pPr>
            <w:r>
              <w:rPr>
                <w:rFonts w:ascii="Arial" w:cs="Arial" w:eastAsia="Arial" w:hAnsi="Arial"/>
                <w:sz w:val="14"/>
                <w:szCs w:val="14"/>
                <w:b w:val="1"/>
                <w:bCs w:val="1"/>
                <w:color w:val="auto"/>
                <w:w w:val="87"/>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SEL-212</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22,911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23,992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AskBio collaboration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2,882</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Preclinical stage product candidate programs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834 %</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16,236</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12,719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48,418</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39,414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9,004</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During the nine months ended September 30, 2021</w:t>
      </w:r>
      <w:r>
        <w:rPr>
          <w:rFonts w:ascii="Arial" w:cs="Arial" w:eastAsia="Arial" w:hAnsi="Arial"/>
          <w:sz w:val="18"/>
          <w:szCs w:val="18"/>
          <w:color w:val="2C2C2C"/>
        </w:rPr>
        <w:t>, our research and development expenses increased by $9.0 million, or 23%, as com</w:t>
      </w:r>
      <w:r>
        <w:rPr>
          <w:rFonts w:ascii="Arial" w:cs="Arial" w:eastAsia="Arial" w:hAnsi="Arial"/>
          <w:sz w:val="18"/>
          <w:szCs w:val="18"/>
          <w:color w:val="auto"/>
        </w:rPr>
        <w:t>pared to 2020. The increase in cost was primarily the result of expenses incurred for the OTC and gene therapy preclinical programs, salaries, and AskBio collaboration costs for SEL-399, offset by a decrease of clinical supply expense for the SEL-212 clinical programs.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nine months ended September 30, 2021 and 2020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520" w:type="dxa"/>
            <w:vAlign w:val="bottom"/>
          </w:tcPr>
          <w:p>
            <w:pPr>
              <w:spacing w:after="0"/>
              <w:rPr>
                <w:sz w:val="14"/>
                <w:szCs w:val="14"/>
                <w:color w:val="auto"/>
              </w:rPr>
            </w:pPr>
          </w:p>
        </w:tc>
        <w:tc>
          <w:tcPr>
            <w:tcW w:w="16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1,242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During the nine months ended September 30, 2021, our general and administrative expenses increased by $1.2 million, or 9%, as compared to 2020. The increase in costs was the result of expenses incurred for consulting and professional fees and stock compensation expense, offset by decreased patent costs and less travel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income was less than $0.1 million and $0.3 million, respectively during the nine months ended September 30, 2021 as compared to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reflects reduced interest rates.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minimal foreign currency fluctuations during each of the nine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Interest expense was $2.1 million and $0.8 million for the nine months ended September 30, 2021 and 2020,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For the nine months ended September 30, 2021, we recognized a $11.3 million charge for the increase in the fair value of warrant liabilities utilizing a Black-Scholes valuation methodology. The increase in value was primarily driven by an increase in the Company’s share price and a small increase in the discount rate this quarter. For the nine months ended September 30, 2020, we recognized $3.6 million charge for the increase in the fair value of warrant liabilities primarily driven by an increase in the Company’s share price and volatility, offset by a decreased discount rate this quarter.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was de minimis for each of the nine months ended September 30,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For the nine months ended September 30, 2021, we recognized $15.8 million of expense for the income taxes primarily related to the license agreement with Sobi upon the Company’s election to opt out of the installment sale method of taxation. As a result of this election, the Company has prepaid all taxes related to future Sobi License revenue streams.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loss for the nine months ended September 30, 2021 was $37.9 million compared to $53.4 million for the nine months ended September 30, 2020.</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our inception through September 30, 2021, we have raised an aggregate of $606.4 million to fund our operations, which includes $118.5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from the sale of preferred stock, $11.1 million in government grant funding, $36.7 million from borrowings under our credit facilities past and present,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$192.3 million from our collaborations and license agreements, $64.5 million in combined net proceeds from our initial public offering, $149.3 million 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combined net proceeds from private placements and follow-on offerings of our common stock, and, through September 30, 2021, $34.0 million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aggregate net proceeds from “at-the-market” offerings of our common stock.</w:t>
      </w:r>
    </w:p>
    <w:p>
      <w:pPr>
        <w:spacing w:after="0" w:line="8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September 30, 2021, our cash, cash equivalents, restricted cash, and marketable securities were $140.0 million, of which $1.4 million was restricted cash related to lease commitments and $0.3 million was held by our Russian subsidiary designated solely for use in its operations. Our Russian subsidiary cash is consolidated for financial reporting purposes.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On August 31, 2020, we entered into a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Term B Loan was to be available, subject to the collateral agent’s discretion and customary terms and conditions, during the period commencing on the date we have delivered to Oxford and SVB evidence: (i) we or one of the our collaboration partners has enrolled its first patient for a Phase 1 clinical trial evaluating the treatment of MMA, and (ii) we have enrolled the first patient in each of two Phase 3 pivotal trials evaluating SEL-212, or the Second Draw Period Milestone, and ending on the earliest of (i) the date which is 30 days following the date the Second Draw Period Milestone is achieved, (ii) September 30, 2021 (iii) and the occurrence of an event of default, other than an event of default that has been waived in writing by Oxford and SVB in their sole discretion. The Second Draw Period expired on September 30, 2021 and the Term B Loan is no longer available to be drawn in the future.</w:t>
      </w:r>
    </w:p>
    <w:p>
      <w:pPr>
        <w:spacing w:after="0" w:line="6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spacing w:after="0" w:line="6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a further description of the 2020 Term Loan, see Note 9 to our unaudited consolidated financial statements included elsewhere in this Quarterly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 of September 30, 2021, we had an accumulated deficit of $442.6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continually evaluating various potential sources of additional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 w:right="20" w:firstLine="324"/>
        <w:spacing w:after="0" w:line="275" w:lineRule="auto"/>
        <w:rPr>
          <w:sz w:val="20"/>
          <w:szCs w:val="20"/>
          <w:color w:val="auto"/>
        </w:rPr>
      </w:pPr>
      <w:r>
        <w:rPr>
          <w:rFonts w:ascii="Arial" w:cs="Arial" w:eastAsia="Arial" w:hAnsi="Arial"/>
          <w:sz w:val="17"/>
          <w:szCs w:val="17"/>
          <w:color w:val="auto"/>
        </w:rPr>
        <w:t>We believe that our existing cash, cash equivalents, restricted cash, and marketable securities as of September 30, 2021 will enable us to fund our operating expenses and capital expenditure requirements into the second quarter of 2023.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760" w:hanging="32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117" w:lineRule="exact"/>
        <w:rPr>
          <w:rFonts w:ascii="Arial" w:cs="Arial" w:eastAsia="Arial" w:hAnsi="Arial"/>
          <w:sz w:val="18"/>
          <w:szCs w:val="18"/>
          <w:color w:val="auto"/>
        </w:rPr>
      </w:pPr>
    </w:p>
    <w:p>
      <w:pPr>
        <w:ind w:left="760" w:hanging="328"/>
        <w:spacing w:after="0" w:line="277"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760" w:hanging="32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760" w:hanging="32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760" w:hanging="328"/>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760" w:hanging="32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60" w:right="400" w:hanging="328"/>
        <w:spacing w:after="0" w:line="277"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760" w:hanging="32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760" w:right="600" w:hanging="328"/>
        <w:spacing w:after="0" w:line="277"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760" w:hanging="32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760" w:right="120" w:hanging="328"/>
        <w:spacing w:after="0" w:line="277"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left="100" w:right="100" w:firstLine="324"/>
        <w:spacing w:after="0" w:line="277" w:lineRule="auto"/>
        <w:rPr>
          <w:sz w:val="20"/>
          <w:szCs w:val="20"/>
          <w:color w:val="auto"/>
        </w:rPr>
      </w:pPr>
      <w:r>
        <w:rPr>
          <w:rFonts w:ascii="Arial" w:cs="Arial" w:eastAsia="Arial" w:hAnsi="Arial"/>
          <w:sz w:val="18"/>
          <w:szCs w:val="18"/>
          <w:color w:val="auto"/>
        </w:rPr>
        <w:t>As noted above, the magnitude and duration of the COVID-19 pandemic and its impact on our liquidity future funding requirements is uncertain as of the filing date of this Quarterly Report as this continues to evolve globally.</w:t>
      </w: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of Cash Flows</w:t>
      </w:r>
    </w:p>
    <w:p>
      <w:pPr>
        <w:spacing w:after="0" w:line="143" w:lineRule="exact"/>
        <w:rPr>
          <w:sz w:val="20"/>
          <w:szCs w:val="20"/>
          <w:color w:val="auto"/>
        </w:rPr>
      </w:pPr>
    </w:p>
    <w:p>
      <w:pPr>
        <w:jc w:val="right"/>
        <w:ind w:right="1180"/>
        <w:spacing w:after="0"/>
        <w:rPr>
          <w:sz w:val="20"/>
          <w:szCs w:val="20"/>
          <w:color w:val="auto"/>
        </w:rPr>
      </w:pPr>
      <w:r>
        <w:rPr>
          <w:rFonts w:ascii="Arial" w:cs="Arial" w:eastAsia="Arial" w:hAnsi="Arial"/>
          <w:sz w:val="14"/>
          <w:szCs w:val="14"/>
          <w:b w:val="1"/>
          <w:bCs w:val="1"/>
          <w:color w:val="auto"/>
        </w:rPr>
        <w:t>Nine Months Ended</w:t>
      </w:r>
    </w:p>
    <w:p>
      <w:pPr>
        <w:jc w:val="right"/>
        <w:ind w:right="12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280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62"/>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h (used in) and provided by:</w:t>
            </w:r>
          </w:p>
        </w:tc>
        <w:tc>
          <w:tcPr>
            <w:tcW w:w="2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9"/>
        </w:trPr>
        <w:tc>
          <w:tcPr>
            <w:tcW w:w="10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2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(28,922)$</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42,131</w:t>
            </w:r>
          </w:p>
        </w:tc>
      </w:tr>
      <w:tr>
        <w:trPr>
          <w:trHeight w:val="182"/>
        </w:trPr>
        <w:tc>
          <w:tcPr>
            <w:tcW w:w="10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Investing activities</w:t>
            </w:r>
          </w:p>
        </w:tc>
        <w:tc>
          <w:tcPr>
            <w:tcW w:w="28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(26,862)</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196"/>
        </w:trPr>
        <w:tc>
          <w:tcPr>
            <w:tcW w:w="10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28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31,741</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14,621</w:t>
            </w:r>
          </w:p>
        </w:tc>
      </w:tr>
      <w:tr>
        <w:trPr>
          <w:trHeight w:val="186"/>
        </w:trPr>
        <w:tc>
          <w:tcPr>
            <w:tcW w:w="5540" w:type="dxa"/>
            <w:vAlign w:val="bottom"/>
            <w:gridSpan w:val="2"/>
          </w:tcPr>
          <w:p>
            <w:pPr>
              <w:spacing w:after="0"/>
              <w:rPr>
                <w:sz w:val="20"/>
                <w:szCs w:val="20"/>
                <w:color w:val="auto"/>
              </w:rPr>
            </w:pPr>
            <w:r>
              <w:rPr>
                <w:rFonts w:ascii="Arial" w:cs="Arial" w:eastAsia="Arial" w:hAnsi="Arial"/>
                <w:sz w:val="14"/>
                <w:szCs w:val="14"/>
                <w:color w:val="auto"/>
              </w:rPr>
              <w:t>ect of exchange rate changes on cash</w:t>
            </w:r>
          </w:p>
        </w:tc>
        <w:tc>
          <w:tcPr>
            <w:tcW w:w="28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93"/>
        </w:trPr>
        <w:tc>
          <w:tcPr>
            <w:tcW w:w="100" w:type="dxa"/>
            <w:vAlign w:val="bottom"/>
          </w:tcPr>
          <w:p>
            <w:pPr>
              <w:spacing w:after="0"/>
              <w:rPr>
                <w:sz w:val="16"/>
                <w:szCs w:val="16"/>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 in cash, cash equivalents, and restricted cash</w:t>
            </w:r>
          </w:p>
        </w:tc>
        <w:tc>
          <w:tcPr>
            <w:tcW w:w="2800" w:type="dxa"/>
            <w:vAlign w:val="bottom"/>
            <w:tcBorders>
              <w:top w:val="single" w:sz="8" w:color="CCEEFF"/>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56,089</w:t>
            </w:r>
          </w:p>
        </w:tc>
      </w:tr>
    </w:tbl>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00" w:right="180" w:firstLine="324"/>
        <w:spacing w:after="0" w:line="277" w:lineRule="auto"/>
        <w:rPr>
          <w:sz w:val="20"/>
          <w:szCs w:val="20"/>
          <w:color w:val="auto"/>
        </w:rPr>
      </w:pPr>
      <w:r>
        <w:rPr>
          <w:rFonts w:ascii="Arial" w:cs="Arial" w:eastAsia="Arial" w:hAnsi="Arial"/>
          <w:sz w:val="18"/>
          <w:szCs w:val="18"/>
          <w:color w:val="auto"/>
        </w:rPr>
        <w:t>Cash used in operating activities of $28.9 million for the nine months ended September 30, 2021 included approximately $18.6 million of net losses, adjusted for non-cash items, and uses of cash of approximately $10.3 million for changes in operating assets and liabilities.</w:t>
      </w:r>
    </w:p>
    <w:p>
      <w:pPr>
        <w:spacing w:after="0" w:line="62"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8"/>
          <w:szCs w:val="18"/>
          <w:color w:val="auto"/>
        </w:rPr>
        <w:t>Cash provided by operating activities of $42.1 million for the nine months ended September 30, 2020 included $43.5 million of net losses, adjusted for non-cash items, partially offset by cash generated from changes in operating assets and liabilities of $85.6 million, principally related to changes in accounts receivable and deferred revenue.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00" w:right="20" w:firstLine="324"/>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2021 was $26.9 million compared to net cash used in investing activities of $0.6 million in the same period in 2020. The net cash used in investing activities in 2021 was</w:t>
      </w: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primarily to purchase marketable securities and to invest in Cyrus Biotechnology, offset by proceeds from the maturities of marketable securities. The net cash used in investing activities in 2020 was to purchase property and equipment.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Net cash provided by financing activities for the nine months ended September 30, 2021 was $31.7 million compared to net cash provided by financing activities of $14.6 million in the same period in 2020. The net cash provided by financing activities in 2021 was primarily the result of net proceeds from </w:t>
      </w:r>
      <w:r>
        <w:rPr>
          <w:rFonts w:ascii="Arial" w:cs="Arial" w:eastAsia="Arial" w:hAnsi="Arial"/>
          <w:sz w:val="18"/>
          <w:szCs w:val="18"/>
          <w:i w:val="1"/>
          <w:iCs w:val="1"/>
          <w:color w:val="auto"/>
        </w:rPr>
        <w:t>“</w:t>
      </w:r>
      <w:r>
        <w:rPr>
          <w:rFonts w:ascii="Arial" w:cs="Arial" w:eastAsia="Arial" w:hAnsi="Arial"/>
          <w:sz w:val="18"/>
          <w:szCs w:val="18"/>
          <w:color w:val="auto"/>
        </w:rPr>
        <w:t>at-the-market</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and from the exercise of stock options.</w:t>
      </w:r>
    </w:p>
    <w:p>
      <w:pPr>
        <w:spacing w:after="0" w:line="7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net cash provided by financing activities in 2020 was the result of $10.3 million from the Sobi Private Placement, $24.8 million from the Term A Loan, and $2.1 million net proceeds from sales of common stock in “at-the-market” offerings, offset by $4.4 million of issuance costs paid for December 2019 financing and $19.3 million principal payment on outstanding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unaudited consolidated financial statements included elsewhere in this Quarterly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September 30, 2021, we did not have any off-balance sheet arrangements as defined in the rules and regulations of the Securities and Exchange Commission.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and nine months ended September 30, 2021, there were no material changes to our critical accounting policies from those described in our Annual Report on Form 10-K for the year ended December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will remain an emerging growth company until December 31, 2021, the last day of the fiscal year following the fifth anniversary of the closing of the initial public offering of our common stock. However, if certain events occur prior to December 31, 2021, including if we become a “large accelerated filer,” our annual gross revenues exceed $1.07 billion or we issue more than $1.07 billion of non-convertible debt in any three-year period, we will cease to be an emerging growth company prior to December 31,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the last day of the fiscal year in which we have at least $100 million in revenue and at least $250 million in public float as of the last business day of our most recently completed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September 30, 2021 and December 31, 2020, we had cash, cash equivalents, restricted cash and marketable securities of $140.0 million and $140.1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September 30, 2021,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risk factors are disclosed in Item 1A of our Annual Report on Form 10-K for the year ended December 31, 2020. Except as set forth below, there have been no material changes from the risk factors previously disclosed in such filing.</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Aside from SEL-212, our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topline clinical trial results we reported from our Phase 2 head-to-head COMPARE study of SEL-212 may not be predictive of future results. Moreover, we may not be able to complete, or may be required to deviate from the current clinical trial protocol for a variety of reasons.</w:t>
      </w:r>
    </w:p>
    <w:p>
      <w:pPr>
        <w:spacing w:after="0" w:line="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or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us to abandon development of SEL-403. In the SEL-212 Phase 1/2 clinical program, multiple SAEs have occurred, and future SAEs may occur causing us to incur additional costs or experience delays in completing, or causing us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regulatory approval and commercialization prospects for our product candidates, and, correspondingly, our business and financial prospects, would be negatively impacted.</w:t>
      </w:r>
    </w:p>
    <w:p>
      <w:pPr>
        <w:spacing w:after="0" w:line="62"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We expect that we and Sobi will need to conduct more than one Phase 3 trial for SEL-212 for a chronic refractory gout indication in order to gain approval from the FDA. Even if we and Sobi conduct more than one Phase 3 trial for SEL-212, the FDA may not accept the data, and may delay, limit or deny approval of SEL-212, which could have an impact on the timing of development milestone payments owed to us by Sobi.</w:t>
      </w:r>
    </w:p>
    <w:p>
      <w:pPr>
        <w:spacing w:after="0" w:line="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62"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128" w:lineRule="exact"/>
        <w:rPr>
          <w:rFonts w:ascii="Arial" w:cs="Arial" w:eastAsia="Arial" w:hAnsi="Arial"/>
          <w:sz w:val="17"/>
          <w:szCs w:val="17"/>
          <w:color w:val="auto"/>
        </w:rPr>
      </w:pPr>
    </w:p>
    <w:p>
      <w:pPr>
        <w:ind w:left="660" w:right="3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11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7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11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8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filed an IND to conduct a Phase 1/2 clinical trial of our SEL-302 product candidate in pediatric patients with methylmalonic acidemia in the third quarter of 2021. As of the filing of this quarterly report, the FDA’s 30-day review period for this IND has expired. However, we have been informed orally by FDA that they are still considering certain aspects of our filing related to chemistry, manufacturing and control, or CMC. We intend to wait for formal clearance from FDA before initiating the proposed Phase 1/2 clinical trial and to work with FDA to resolve any concerns they may have with our submission. If we are unable to do so we expect FDA may impose a clinical hold on this trial.</w:t>
      </w:r>
    </w:p>
    <w:p>
      <w:pPr>
        <w:spacing w:after="0" w:line="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158" w:lineRule="exact"/>
        <w:rPr>
          <w:sz w:val="20"/>
          <w:szCs w:val="20"/>
          <w:color w:val="auto"/>
        </w:rPr>
      </w:pPr>
    </w:p>
    <w:p>
      <w:pPr>
        <w:jc w:val="right"/>
        <w:ind w:right="11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17145</wp:posOffset>
            </wp:positionV>
            <wp:extent cx="27603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120" w:type="dxa"/>
            <w:vAlign w:val="bottom"/>
            <w:gridSpan w:val="15"/>
            <w:vMerge w:val="restart"/>
          </w:tcPr>
          <w:p>
            <w:pPr>
              <w:ind w:left="58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29"/>
        </w:trPr>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120" w:type="dxa"/>
            <w:vAlign w:val="bottom"/>
            <w:gridSpan w:val="1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center"/>
              <w:spacing w:after="0" w:line="182" w:lineRule="exact"/>
              <w:rPr>
                <w:rFonts w:ascii="Arial" w:cs="Arial" w:eastAsia="Arial" w:hAnsi="Arial"/>
                <w:sz w:val="18"/>
                <w:szCs w:val="18"/>
                <w:color w:val="0000FF"/>
                <w:w w:val="87"/>
              </w:rPr>
            </w:pPr>
            <w:hyperlink r:id="rId6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60" w:type="dxa"/>
            <w:vAlign w:val="bottom"/>
            <w:tcBorders>
              <w:top w:val="single" w:sz="8" w:color="auto"/>
            </w:tcBorders>
            <w:gridSpan w:val="17"/>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Restated Certificate of Incorporation of Selecta Biosciences, Inc.</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jc w:val="center"/>
              <w:spacing w:after="0"/>
              <w:rPr>
                <w:rFonts w:ascii="Arial" w:cs="Arial" w:eastAsia="Arial" w:hAnsi="Arial"/>
                <w:sz w:val="18"/>
                <w:szCs w:val="18"/>
                <w:color w:val="0000FF"/>
                <w:w w:val="87"/>
              </w:rPr>
            </w:pPr>
            <w:hyperlink r:id="rId7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7"/>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Amended and Restated By-laws of Selecta Biosciences, Inc.</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4"/>
          </w:tcPr>
          <w:p>
            <w:pPr>
              <w:jc w:val="cente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7"/>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Employment Agreement, dated September 3, 2021, by and between Selecta</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Biosciences, Inc. and Kevin Tan</w:t>
              </w:r>
            </w:hyperlink>
          </w:p>
        </w:tc>
        <w:tc>
          <w:tcPr>
            <w:tcW w:w="310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gridSpan w:val="4"/>
          </w:tcPr>
          <w:p>
            <w:pPr>
              <w:jc w:val="center"/>
              <w:spacing w:after="0"/>
              <w:rPr>
                <w:rFonts w:ascii="Arial" w:cs="Arial" w:eastAsia="Arial" w:hAnsi="Arial"/>
                <w:sz w:val="18"/>
                <w:szCs w:val="18"/>
                <w:color w:val="0000FF"/>
                <w:w w:val="88"/>
              </w:rPr>
            </w:pPr>
            <w:hyperlink w:anchor="page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7"/>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Non-Employee Director Compensation Program</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20" w:type="dxa"/>
            <w:vAlign w:val="bottom"/>
            <w:gridSpan w:val="2"/>
          </w:tcPr>
          <w:p>
            <w:pPr>
              <w:jc w:val="center"/>
              <w:ind w:right="40"/>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3</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17"/>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First Amendment to Loan and Security Agreement, dated September 7,</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gridSpan w:val="17"/>
          </w:tcPr>
          <w:p>
            <w:pPr>
              <w:spacing w:after="0" w:line="156" w:lineRule="exact"/>
              <w:rPr>
                <w:rFonts w:ascii="Arial" w:cs="Arial" w:eastAsia="Arial" w:hAnsi="Arial"/>
                <w:sz w:val="18"/>
                <w:szCs w:val="18"/>
                <w:color w:val="0000FF"/>
                <w:w w:val="95"/>
              </w:rPr>
            </w:pPr>
            <w:hyperlink w:anchor="page72">
              <w:r>
                <w:rPr>
                  <w:rFonts w:ascii="Arial" w:cs="Arial" w:eastAsia="Arial" w:hAnsi="Arial"/>
                  <w:sz w:val="18"/>
                  <w:szCs w:val="18"/>
                  <w:color w:val="0000FF"/>
                  <w:w w:val="95"/>
                </w:rPr>
                <w:t>2021, by and among Selecta Biosciences, Inc., Oxford Finance LLC, and</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Silicon Valley Bank</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jc w:val="center"/>
              <w:ind w:left="270"/>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7"/>
          </w:tcPr>
          <w:p>
            <w:pPr>
              <w:spacing w:after="0"/>
              <w:rPr>
                <w:rFonts w:ascii="Arial" w:cs="Arial" w:eastAsia="Arial" w:hAnsi="Arial"/>
                <w:sz w:val="18"/>
                <w:szCs w:val="18"/>
                <w:color w:val="0000FF"/>
                <w:w w:val="96"/>
              </w:rPr>
            </w:pPr>
            <w:hyperlink w:anchor="page78">
              <w:r>
                <w:rPr>
                  <w:rFonts w:ascii="Arial" w:cs="Arial" w:eastAsia="Arial" w:hAnsi="Arial"/>
                  <w:sz w:val="18"/>
                  <w:szCs w:val="18"/>
                  <w:color w:val="0000FF"/>
                  <w:w w:val="96"/>
                </w:rPr>
                <w:t>Certification of Principal Executive Officer pursuant to Rule 13a-14(a) or</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gridSpan w:val="17"/>
          </w:tcPr>
          <w:p>
            <w:pPr>
              <w:spacing w:after="0" w:line="15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Rule 15d-14(a) of the Securities Exchange Act of 1934, as adopted pursuant</w:t>
              </w:r>
            </w:hyperlink>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to Section 302 of the Sarbanes-Oxley Act of 2002</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jc w:val="center"/>
              <w:ind w:left="270"/>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7"/>
          </w:tcPr>
          <w:p>
            <w:pPr>
              <w:spacing w:after="0"/>
              <w:rPr>
                <w:rFonts w:ascii="Arial" w:cs="Arial" w:eastAsia="Arial" w:hAnsi="Arial"/>
                <w:sz w:val="18"/>
                <w:szCs w:val="18"/>
                <w:color w:val="0000FF"/>
                <w:w w:val="98"/>
              </w:rPr>
            </w:pPr>
            <w:hyperlink w:anchor="page79">
              <w:r>
                <w:rPr>
                  <w:rFonts w:ascii="Arial" w:cs="Arial" w:eastAsia="Arial" w:hAnsi="Arial"/>
                  <w:sz w:val="18"/>
                  <w:szCs w:val="18"/>
                  <w:color w:val="0000FF"/>
                  <w:w w:val="98"/>
                </w:rPr>
                <w:t>Certification of Principal Financial Officer pursuant to Rule 13a-14(a) or</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940" w:type="dxa"/>
            <w:vAlign w:val="bottom"/>
            <w:gridSpan w:val="7"/>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540" w:type="dxa"/>
            <w:vAlign w:val="bottom"/>
            <w:gridSpan w:val="16"/>
          </w:tcPr>
          <w:p>
            <w:pPr>
              <w:spacing w:after="0" w:line="156" w:lineRule="exact"/>
              <w:rPr>
                <w:rFonts w:ascii="Arial" w:cs="Arial" w:eastAsia="Arial" w:hAnsi="Arial"/>
                <w:sz w:val="18"/>
                <w:szCs w:val="18"/>
                <w:color w:val="0000FF"/>
                <w:w w:val="90"/>
              </w:rPr>
            </w:pPr>
            <w:hyperlink w:anchor="page79">
              <w:r>
                <w:rPr>
                  <w:rFonts w:ascii="Arial" w:cs="Arial" w:eastAsia="Arial" w:hAnsi="Arial"/>
                  <w:sz w:val="18"/>
                  <w:szCs w:val="18"/>
                  <w:color w:val="0000FF"/>
                  <w:w w:val="90"/>
                </w:rPr>
                <w:t>Rule 15d-14(a) of the Securities Exchange Act of 1934, as adopted pursuant</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to Section 302 of the Sarbanes-Oxley Act of 2002</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3"/>
          </w:tcPr>
          <w:p>
            <w:pPr>
              <w:jc w:val="center"/>
              <w:ind w:left="270"/>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7"/>
          </w:tcPr>
          <w:p>
            <w:pPr>
              <w:spacing w:after="0"/>
              <w:rPr>
                <w:rFonts w:ascii="Arial" w:cs="Arial" w:eastAsia="Arial" w:hAnsi="Arial"/>
                <w:sz w:val="18"/>
                <w:szCs w:val="18"/>
                <w:color w:val="0000FF"/>
                <w:w w:val="96"/>
              </w:rPr>
            </w:pPr>
            <w:hyperlink w:anchor="page80">
              <w:r>
                <w:rPr>
                  <w:rFonts w:ascii="Arial" w:cs="Arial" w:eastAsia="Arial" w:hAnsi="Arial"/>
                  <w:sz w:val="18"/>
                  <w:szCs w:val="18"/>
                  <w:color w:val="0000FF"/>
                  <w:w w:val="96"/>
                </w:rPr>
                <w:t>Certification of Principal Executive Officer and Principal Financial Officer</w:t>
              </w:r>
            </w:hyperlink>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pursuant to 18 U.S.C. Section 1350, as adopted pursuant to Section 906 of</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the Sarbanes-Oxley Act of 2002</w:t>
              </w:r>
            </w:hyperlink>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5"/>
          </w:tcPr>
          <w:p>
            <w:pPr>
              <w:jc w:val="center"/>
              <w:ind w:right="80"/>
              <w:spacing w:after="0" w:line="196" w:lineRule="exact"/>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7"/>
                <w:szCs w:val="17"/>
                <w:color w:val="auto"/>
              </w:rPr>
            </w:pPr>
          </w:p>
        </w:tc>
        <w:tc>
          <w:tcPr>
            <w:tcW w:w="5560" w:type="dxa"/>
            <w:vAlign w:val="bottom"/>
            <w:gridSpan w:val="17"/>
          </w:tcPr>
          <w:p>
            <w:pPr>
              <w:spacing w:after="0" w:line="196" w:lineRule="exact"/>
              <w:rPr>
                <w:sz w:val="20"/>
                <w:szCs w:val="20"/>
                <w:color w:val="auto"/>
              </w:rPr>
            </w:pPr>
            <w:r>
              <w:rPr>
                <w:rFonts w:ascii="Arial" w:cs="Arial" w:eastAsia="Arial" w:hAnsi="Arial"/>
                <w:sz w:val="18"/>
                <w:szCs w:val="18"/>
                <w:color w:val="auto"/>
                <w:w w:val="91"/>
              </w:rPr>
              <w:t>Inline XBRL Instance Document (the Instance Document does not appear in</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17"/>
          </w:tcPr>
          <w:p>
            <w:pPr>
              <w:spacing w:after="0" w:line="176" w:lineRule="exact"/>
              <w:rPr>
                <w:sz w:val="20"/>
                <w:szCs w:val="20"/>
                <w:color w:val="auto"/>
              </w:rPr>
            </w:pPr>
            <w:r>
              <w:rPr>
                <w:rFonts w:ascii="Arial" w:cs="Arial" w:eastAsia="Arial" w:hAnsi="Arial"/>
                <w:sz w:val="18"/>
                <w:szCs w:val="18"/>
                <w:color w:val="auto"/>
                <w:w w:val="97"/>
              </w:rPr>
              <w:t>the interactive data file because its XBRL tags are embedded within the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230"/>
        </w:trPr>
        <w:tc>
          <w:tcPr>
            <w:tcW w:w="120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0"/>
                <w:szCs w:val="20"/>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00" w:type="dxa"/>
            <w:vAlign w:val="bottom"/>
            <w:gridSpan w:val="5"/>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2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00" w:type="dxa"/>
            <w:vAlign w:val="bottom"/>
            <w:gridSpan w:val="5"/>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20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20" w:right="160" w:hanging="800"/>
        <w:spacing w:after="0" w:line="235"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340" w:lineRule="exact"/>
        <w:rPr>
          <w:sz w:val="20"/>
          <w:szCs w:val="20"/>
          <w:color w:val="auto"/>
        </w:rPr>
      </w:pPr>
    </w:p>
    <w:p>
      <w:pPr>
        <w:ind w:left="1220" w:hanging="710"/>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420" w:type="dxa"/>
            <w:vAlign w:val="bottom"/>
            <w:gridSpan w:val="2"/>
          </w:tcPr>
          <w:p>
            <w:pPr>
              <w:ind w:left="360"/>
              <w:spacing w:after="0"/>
              <w:rPr>
                <w:sz w:val="20"/>
                <w:szCs w:val="20"/>
                <w:color w:val="auto"/>
              </w:rPr>
            </w:pPr>
            <w:r>
              <w:rPr>
                <w:rFonts w:ascii="Arial" w:cs="Arial" w:eastAsia="Arial" w:hAnsi="Arial"/>
                <w:sz w:val="18"/>
                <w:szCs w:val="18"/>
                <w:b w:val="1"/>
                <w:bCs w:val="1"/>
                <w:color w:val="auto"/>
              </w:rPr>
              <w:t>File No.</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r>
      <w:tr>
        <w:trPr>
          <w:trHeight w:val="222"/>
        </w:trPr>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r>
      <w:tr>
        <w:trPr>
          <w:trHeight w:val="229"/>
        </w:trPr>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r>
      <w:tr>
        <w:trPr>
          <w:trHeight w:val="230"/>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05"/>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0"/>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0"/>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0"/>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Filing</w:t>
      </w:r>
    </w:p>
    <w:p>
      <w:pPr>
        <w:ind w:left="3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4445</wp:posOffset>
            </wp:positionV>
            <wp:extent cx="7200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6/29/2016</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9/30/2021</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1" w:lineRule="exact"/>
        <w:rPr>
          <w:sz w:val="20"/>
          <w:szCs w:val="20"/>
          <w:color w:val="auto"/>
        </w:rPr>
      </w:pPr>
    </w:p>
    <w:p>
      <w:pPr>
        <w:jc w:val="both"/>
        <w:spacing w:after="0" w:line="500" w:lineRule="auto"/>
        <w:rPr>
          <w:sz w:val="20"/>
          <w:szCs w:val="20"/>
          <w:color w:val="auto"/>
        </w:rPr>
      </w:pPr>
      <w:r>
        <w:rPr>
          <w:rFonts w:ascii="Arial" w:cs="Arial" w:eastAsia="Arial" w:hAnsi="Arial"/>
          <w:sz w:val="16"/>
          <w:szCs w:val="16"/>
          <w:color w:val="auto"/>
        </w:rPr>
        <w:t>Filed herewith Filed herewith</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Filed herewith</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Furnished</w:t>
      </w:r>
    </w:p>
    <w:p>
      <w:pPr>
        <w:ind w:left="200"/>
        <w:spacing w:after="0"/>
        <w:rPr>
          <w:sz w:val="20"/>
          <w:szCs w:val="20"/>
          <w:color w:val="auto"/>
        </w:rPr>
      </w:pPr>
      <w:r>
        <w:rPr>
          <w:rFonts w:ascii="Arial" w:cs="Arial" w:eastAsia="Arial" w:hAnsi="Arial"/>
          <w:sz w:val="18"/>
          <w:szCs w:val="18"/>
          <w:color w:val="auto"/>
        </w:rPr>
        <w:t>herewith</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3">
            <w:col w:w="6780" w:space="120"/>
            <w:col w:w="3100" w:space="160"/>
            <w:col w:w="1040"/>
          </w:cols>
          <w:pgMar w:left="320" w:top="125" w:right="37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380" w:type="dxa"/>
            <w:vAlign w:val="bottom"/>
            <w:gridSpan w:val="2"/>
          </w:tcPr>
          <w:p>
            <w:pPr>
              <w:ind w:left="200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Date: November 9, 2021</w:t>
            </w:r>
          </w:p>
        </w:tc>
        <w:tc>
          <w:tcPr>
            <w:tcW w:w="2480" w:type="dxa"/>
            <w:vAlign w:val="bottom"/>
          </w:tcPr>
          <w:p>
            <w:pPr>
              <w:ind w:left="20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2"/>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29"/>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15"/>
        </w:trPr>
        <w:tc>
          <w:tcPr>
            <w:tcW w:w="3800" w:type="dxa"/>
            <w:vAlign w:val="bottom"/>
          </w:tcPr>
          <w:p>
            <w:pPr>
              <w:spacing w:after="0"/>
              <w:rPr>
                <w:sz w:val="20"/>
                <w:szCs w:val="20"/>
                <w:color w:val="auto"/>
              </w:rPr>
            </w:pPr>
            <w:r>
              <w:rPr>
                <w:rFonts w:ascii="Arial" w:cs="Arial" w:eastAsia="Arial" w:hAnsi="Arial"/>
                <w:sz w:val="18"/>
                <w:szCs w:val="18"/>
                <w:color w:val="auto"/>
              </w:rPr>
              <w:t>Date: November 9, 2021</w:t>
            </w:r>
          </w:p>
        </w:tc>
        <w:tc>
          <w:tcPr>
            <w:tcW w:w="2480" w:type="dxa"/>
            <w:vAlign w:val="bottom"/>
          </w:tcPr>
          <w:p>
            <w:pPr>
              <w:ind w:left="20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Kevin Tan</w:t>
            </w:r>
          </w:p>
        </w:tc>
      </w:tr>
      <w:tr>
        <w:trPr>
          <w:trHeight w:val="222"/>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Kevin Tan</w:t>
            </w:r>
          </w:p>
        </w:tc>
      </w:tr>
      <w:tr>
        <w:trPr>
          <w:trHeight w:val="229"/>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ind w:right="540" w:firstLine="648"/>
        <w:spacing w:after="0" w:line="246"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September 3, 2021, is made by and between SELECTA BIOSCIENCES,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KEVIN TAN (“</w:t>
      </w:r>
      <w:r>
        <w:rPr>
          <w:rFonts w:ascii="Arial" w:cs="Arial" w:eastAsia="Arial" w:hAnsi="Arial"/>
          <w:sz w:val="20"/>
          <w:szCs w:val="20"/>
          <w:u w:val="single" w:color="auto"/>
          <w:color w:val="auto"/>
        </w:rPr>
        <w:t>Executive</w:t>
      </w:r>
      <w:r>
        <w:rPr>
          <w:rFonts w:ascii="Arial" w:cs="Arial" w:eastAsia="Arial" w:hAnsi="Arial"/>
          <w:sz w:val="20"/>
          <w:szCs w:val="20"/>
          <w:color w:val="auto"/>
        </w:rPr>
        <w:t>”)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 and effective as of September 20, 2021 (the “Effective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460" w:hanging="652"/>
        <w:spacing w:after="0" w:line="260" w:lineRule="auto"/>
        <w:tabs>
          <w:tab w:leader="none" w:pos="402"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is the desire of the Company to assure itself of the services of Executive on the Effective Date and thereafter by entering into this Agreement.</w:t>
      </w:r>
    </w:p>
    <w:p>
      <w:pPr>
        <w:spacing w:after="0" w:line="176" w:lineRule="exact"/>
        <w:rPr>
          <w:rFonts w:ascii="Arial" w:cs="Arial" w:eastAsia="Arial" w:hAnsi="Arial"/>
          <w:sz w:val="20"/>
          <w:szCs w:val="20"/>
          <w:color w:val="auto"/>
        </w:rPr>
      </w:pPr>
    </w:p>
    <w:p>
      <w:pPr>
        <w:ind w:left="380" w:hanging="372"/>
        <w:spacing w:after="0"/>
        <w:tabs>
          <w:tab w:leader="none" w:pos="3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Executive and the Company mutually desire that Executive provide services to the Company on the terms herein provided.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500" w:firstLine="656"/>
        <w:spacing w:after="0" w:line="316" w:lineRule="auto"/>
        <w:tabs>
          <w:tab w:leader="none" w:pos="128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Effective on the Effective Date, the Company shall employ Executive and Executive shall be employed by the Company, for the period and in the positions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and subject to the other terms and conditions herein provided.</w:t>
      </w:r>
    </w:p>
    <w:p>
      <w:pPr>
        <w:spacing w:after="0" w:line="129" w:lineRule="exact"/>
        <w:rPr>
          <w:rFonts w:ascii="Arial" w:cs="Arial" w:eastAsia="Arial" w:hAnsi="Arial"/>
          <w:sz w:val="18"/>
          <w:szCs w:val="18"/>
          <w:color w:val="auto"/>
        </w:rPr>
      </w:pPr>
    </w:p>
    <w:p>
      <w:pPr>
        <w:ind w:right="40" w:firstLine="656"/>
        <w:spacing w:after="0" w:line="257" w:lineRule="auto"/>
        <w:tabs>
          <w:tab w:leader="none" w:pos="1284"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9"/>
          <w:szCs w:val="19"/>
          <w:u w:val="single" w:color="auto"/>
          <w:color w:val="auto"/>
        </w:rPr>
        <w:t>Section 3(b)</w:t>
      </w:r>
      <w:r>
        <w:rPr>
          <w:rFonts w:ascii="Arial" w:cs="Arial" w:eastAsia="Arial" w:hAnsi="Arial"/>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shall commence on the Effective Date and end on the date this Agreement is terminated under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right="60" w:firstLine="656"/>
        <w:spacing w:after="0" w:line="270" w:lineRule="auto"/>
        <w:tabs>
          <w:tab w:leader="none" w:pos="128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 shall serve as the Chief Financial Officer of the Company with such responsibilities, duties and authority normally associated with such positions and as may from time to time be reasonably assigned to Executive by the Chief Executive Officer of the Company. Executive will report directly to Chief Executive Officer of the Company. Executive acknowledges that the Company’s principal place of business is currently in Watertown, Massachusetts, and that Executive is expected to be primarily available to spend time at the Company’s principal place of business in Watertown, Massachusetts as the Company’s Chief Executive Officer reasonably determines is necessary or appropriate for Executive to perform his duties and responsibilities under this Agreement.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“Board”)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“Restrictive Covenant Agreement”). Executive agrees to observe and comply with the rules and policies of the Company as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369" w:right="339" w:bottom="1440" w:gutter="0" w:footer="0" w:header="0"/>
        </w:sectPr>
      </w:pPr>
    </w:p>
    <w:bookmarkStart w:id="49" w:name="page50"/>
    <w:bookmarkEnd w:id="49"/>
    <w:p>
      <w:pPr>
        <w:ind w:right="360"/>
        <w:spacing w:after="0" w:line="260" w:lineRule="auto"/>
        <w:rPr>
          <w:sz w:val="20"/>
          <w:szCs w:val="20"/>
          <w:color w:val="auto"/>
        </w:rPr>
      </w:pPr>
      <w:r>
        <w:rPr>
          <w:rFonts w:ascii="Arial" w:cs="Arial" w:eastAsia="Arial" w:hAnsi="Arial"/>
          <w:sz w:val="20"/>
          <w:szCs w:val="20"/>
          <w:color w:val="auto"/>
        </w:rPr>
        <w:t>adopted by the Company from time to time, in each case as amended from time to time, as set forth in writing, and as delivered or made available to Executive (each, a “Policy”).</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right="60" w:firstLine="656"/>
        <w:spacing w:after="0" w:line="321" w:lineRule="auto"/>
        <w:tabs>
          <w:tab w:leader="none" w:pos="1286"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During the Term, Executive shall receive a base salary at a rate of $410,000 per annum, which shall be paid in accordance with the customary payroll practices of the Company and shall be pro-rated for partial years of employment. Upon or prior to the one- year anniversary of the commencement of Executive’s employment with the Company, the Company will re-evaluate Executive’s base salary according to external market data and performance. Such annual base salary shall further be reviewed (and may be increased) from time to time by the Board (such annual base salary, as it may be increased from time to time, the “Annual Base Salary”).</w:t>
      </w:r>
    </w:p>
    <w:p>
      <w:pPr>
        <w:spacing w:after="0" w:line="133" w:lineRule="exact"/>
        <w:rPr>
          <w:rFonts w:ascii="Arial" w:cs="Arial" w:eastAsia="Arial" w:hAnsi="Arial"/>
          <w:sz w:val="16"/>
          <w:szCs w:val="16"/>
          <w:color w:val="auto"/>
        </w:rPr>
      </w:pPr>
    </w:p>
    <w:p>
      <w:pPr>
        <w:ind w:right="160" w:firstLine="656"/>
        <w:spacing w:after="0" w:line="276" w:lineRule="auto"/>
        <w:tabs>
          <w:tab w:leader="none" w:pos="128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8"/>
          <w:szCs w:val="18"/>
          <w:u w:val="single" w:color="auto"/>
          <w:color w:val="auto"/>
        </w:rPr>
        <w:t>Annual Bonus</w:t>
      </w:r>
      <w:r>
        <w:rPr>
          <w:rFonts w:ascii="Arial" w:cs="Arial" w:eastAsia="Arial" w:hAnsi="Arial"/>
          <w:sz w:val="18"/>
          <w:szCs w:val="18"/>
          <w:color w:val="auto"/>
        </w:rPr>
        <w:t>”) shall be targeted at 40%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Annual Bonus payable under the incentive program shall be based on the achievement of performance goals to be determined by the Board; provided that, Executive’s Annual Bonus for the 2021 fiscal year shall not be less than $46,280. The payment of any Annual Bonus will be made on or before March 15 of the year following the calendar year in which such Annual Bonus is earned, subject to Executive’s continued employment through the last day of such year.</w:t>
      </w:r>
    </w:p>
    <w:p>
      <w:pPr>
        <w:spacing w:after="0" w:line="164" w:lineRule="exact"/>
        <w:rPr>
          <w:rFonts w:ascii="Arial" w:cs="Arial" w:eastAsia="Arial" w:hAnsi="Arial"/>
          <w:sz w:val="18"/>
          <w:szCs w:val="18"/>
          <w:color w:val="auto"/>
        </w:rPr>
      </w:pPr>
    </w:p>
    <w:p>
      <w:pPr>
        <w:ind w:right="100" w:firstLine="656"/>
        <w:spacing w:after="0" w:line="246" w:lineRule="auto"/>
        <w:tabs>
          <w:tab w:leader="none" w:pos="1286"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191" w:lineRule="exact"/>
        <w:rPr>
          <w:rFonts w:ascii="Arial" w:cs="Arial" w:eastAsia="Arial" w:hAnsi="Arial"/>
          <w:sz w:val="20"/>
          <w:szCs w:val="20"/>
          <w:color w:val="auto"/>
        </w:rPr>
      </w:pPr>
    </w:p>
    <w:p>
      <w:pPr>
        <w:ind w:firstLine="656"/>
        <w:spacing w:after="0" w:line="246" w:lineRule="auto"/>
        <w:tabs>
          <w:tab w:leader="none" w:pos="1284"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91" w:lineRule="exact"/>
        <w:rPr>
          <w:rFonts w:ascii="Arial" w:cs="Arial" w:eastAsia="Arial" w:hAnsi="Arial"/>
          <w:sz w:val="20"/>
          <w:szCs w:val="20"/>
          <w:color w:val="auto"/>
        </w:rPr>
      </w:pPr>
    </w:p>
    <w:p>
      <w:pPr>
        <w:ind w:right="240" w:firstLine="656"/>
        <w:spacing w:after="0" w:line="250" w:lineRule="auto"/>
        <w:tabs>
          <w:tab w:leader="none" w:pos="1286"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5" w:lineRule="exact"/>
        <w:rPr>
          <w:rFonts w:ascii="Arial" w:cs="Arial" w:eastAsia="Arial" w:hAnsi="Arial"/>
          <w:sz w:val="20"/>
          <w:szCs w:val="20"/>
          <w:color w:val="auto"/>
        </w:rPr>
      </w:pPr>
    </w:p>
    <w:p>
      <w:pPr>
        <w:ind w:right="60" w:firstLine="656"/>
        <w:spacing w:after="0" w:line="243" w:lineRule="auto"/>
        <w:tabs>
          <w:tab w:leader="none" w:pos="1291"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Key Person Insurance</w:t>
      </w:r>
      <w:r>
        <w:rPr>
          <w:rFonts w:ascii="Arial" w:cs="Arial" w:eastAsia="Arial" w:hAnsi="Arial"/>
          <w:sz w:val="20"/>
          <w:szCs w:val="20"/>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92" w:lineRule="exact"/>
        <w:rPr>
          <w:rFonts w:ascii="Arial" w:cs="Arial" w:eastAsia="Arial" w:hAnsi="Arial"/>
          <w:sz w:val="20"/>
          <w:szCs w:val="20"/>
          <w:color w:val="auto"/>
        </w:rPr>
      </w:pPr>
    </w:p>
    <w:p>
      <w:pPr>
        <w:ind w:right="20" w:firstLine="656"/>
        <w:spacing w:after="0" w:line="244" w:lineRule="auto"/>
        <w:tabs>
          <w:tab w:leader="none" w:pos="1284"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Effective as of the first day of employment, Executive will be granted an option to purchase 750,000 shares of common stock of the Company with an exercise price per share equal to the closing price per share of the Company’s common stock on the date of grant or the last trading day preceding the date of grant if the date of grant is not a trading day (the “</w:t>
      </w:r>
      <w:r>
        <w:rPr>
          <w:rFonts w:ascii="Arial" w:cs="Arial" w:eastAsia="Arial" w:hAnsi="Arial"/>
          <w:sz w:val="20"/>
          <w:szCs w:val="20"/>
          <w:u w:val="single" w:color="auto"/>
          <w:color w:val="auto"/>
        </w:rPr>
        <w:t>Option</w:t>
      </w:r>
      <w:r>
        <w:rPr>
          <w:rFonts w:ascii="Arial" w:cs="Arial" w:eastAsia="Arial" w:hAnsi="Arial"/>
          <w:sz w:val="20"/>
          <w:szCs w:val="20"/>
          <w:color w:val="auto"/>
        </w:rPr>
        <w:t>”). Subject to Executive’s continued employment by the Company, the Option shall vest over a four-year period, with 25% vesting on the first anniversary of the Effective</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40"/>
          </w:cols>
          <w:pgMar w:left="320" w:top="1095" w:right="439" w:bottom="1440" w:gutter="0" w:footer="0" w:header="0"/>
        </w:sectPr>
      </w:pPr>
    </w:p>
    <w:bookmarkStart w:id="50" w:name="page51"/>
    <w:bookmarkEnd w:id="50"/>
    <w:p>
      <w:pPr>
        <w:ind w:right="40"/>
        <w:spacing w:after="0" w:line="278" w:lineRule="auto"/>
        <w:rPr>
          <w:sz w:val="20"/>
          <w:szCs w:val="20"/>
          <w:color w:val="auto"/>
        </w:rPr>
      </w:pPr>
      <w:r>
        <w:rPr>
          <w:rFonts w:ascii="Arial" w:cs="Arial" w:eastAsia="Arial" w:hAnsi="Arial"/>
          <w:sz w:val="18"/>
          <w:szCs w:val="18"/>
          <w:color w:val="auto"/>
        </w:rPr>
        <w:t>Date and the remaining 75% vesting in 36 equal monthly installments following the first anniversary of the Effective Date. The Option will be subject to the terms of the Company’s 2016 Incentive Award Plan and the applicable award agreement evidencing such award. Each year, including the 2021 fiscal year, Executive shall also be eligible to participate in the Company’s annual equity incentive plans (including, without limitation, the Company’s 2016 Incentive Award Plan) as such plans are applicable to executive officers of the Company. Any award for 2021 fiscal year shall not be prorated, reduced or otherwise subject to diminution as a result of Executive’s partial year of employment.</w:t>
      </w:r>
    </w:p>
    <w:p>
      <w:pPr>
        <w:spacing w:after="0" w:line="165" w:lineRule="exact"/>
        <w:rPr>
          <w:sz w:val="20"/>
          <w:szCs w:val="20"/>
          <w:color w:val="auto"/>
        </w:rPr>
      </w:pPr>
    </w:p>
    <w:p>
      <w:pPr>
        <w:ind w:right="40" w:firstLine="656"/>
        <w:spacing w:after="0" w:line="276" w:lineRule="auto"/>
        <w:tabs>
          <w:tab w:leader="none" w:pos="128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Signing Bonus</w:t>
      </w:r>
      <w:r>
        <w:rPr>
          <w:rFonts w:ascii="Arial" w:cs="Arial" w:eastAsia="Arial" w:hAnsi="Arial"/>
          <w:sz w:val="18"/>
          <w:szCs w:val="18"/>
          <w:color w:val="auto"/>
        </w:rPr>
        <w:t>. Executive shall receive a single lump-sum cash payment of $75,000, payable at the same time as Executive’s first regularly scheduled Company paycheck, subject to and conditioned upon Executive’s continued employment through the payment date (the “</w:t>
      </w:r>
      <w:r>
        <w:rPr>
          <w:rFonts w:ascii="Arial" w:cs="Arial" w:eastAsia="Arial" w:hAnsi="Arial"/>
          <w:sz w:val="18"/>
          <w:szCs w:val="18"/>
          <w:u w:val="single" w:color="auto"/>
          <w:color w:val="auto"/>
        </w:rPr>
        <w:t>Signing Bonus</w:t>
      </w:r>
      <w:r>
        <w:rPr>
          <w:rFonts w:ascii="Arial" w:cs="Arial" w:eastAsia="Arial" w:hAnsi="Arial"/>
          <w:sz w:val="18"/>
          <w:szCs w:val="18"/>
          <w:color w:val="auto"/>
        </w:rPr>
        <w:t>”). If Executive’s employment is terminated by the Company for Cause or by Executive other than for Good Reason (as defined below), his death or Disability (as defined below), in either case within 12 months of the Effective Date, Executive will repay the Company the full amount of the Signing Bonus and the Company will be entitled (but not required) to deduct the amount of any such repayment obligations from any amounts otherwise payable to Executive by the Company or any of its affiliates.</w:t>
      </w:r>
    </w:p>
    <w:p>
      <w:pPr>
        <w:spacing w:after="0" w:line="164" w:lineRule="exact"/>
        <w:rPr>
          <w:rFonts w:ascii="Arial" w:cs="Arial" w:eastAsia="Arial" w:hAnsi="Arial"/>
          <w:sz w:val="18"/>
          <w:szCs w:val="18"/>
          <w:color w:val="auto"/>
        </w:rPr>
      </w:pPr>
    </w:p>
    <w:p>
      <w:pPr>
        <w:ind w:firstLine="656"/>
        <w:spacing w:after="0" w:line="255" w:lineRule="auto"/>
        <w:tabs>
          <w:tab w:leader="none" w:pos="1294"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Tuition Assistance.</w:t>
      </w:r>
      <w:r>
        <w:rPr>
          <w:rFonts w:ascii="Arial" w:cs="Arial" w:eastAsia="Arial" w:hAnsi="Arial"/>
          <w:sz w:val="19"/>
          <w:szCs w:val="19"/>
          <w:color w:val="auto"/>
        </w:rPr>
        <w:t xml:space="preserve"> During the 2022 and 2023 calendar years, the Company shall provide Executive up to a total of $8,000 per calendar year toward school tuition and related tuition expenses (up to a maximum amount of $16,000 over the two calendar year period) (the “Tuition Assistance”). The Tuition Assistance shall be paid directly to the Executive in one or more installments upon Executive’s delivery of one or more invoices for each enrolled class. Executive must have all courses pre-approved by the Chief Executive Officer and the Chief People Officer of the Company for which he seeks any Tuition Assistance. In order to be eligible for Tuition Assistance, Executive agrees not to resign from the Company without Good Reason (as defined below) for a period within twelve (12) months of the conclusion of any semester during which Executive took a class for which he is seeking Tuition Assistance (a “Clawback Period”). If Executive resigns from the Company without Good Reason during a Clawback Period, Executive will not be eligible to receive Tuition Assistance for that class (or those classes), and if Executive has already received Tuition Assistance for any class before the expiration of any applicable Clawback Period, Executive acknowledges he will be responsible for paying back to the Company any Tuition Assistance received prior to the expiration of any such Clawback Period.</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660" w:hanging="652"/>
        <w:spacing w:after="0"/>
        <w:tabs>
          <w:tab w:leader="none" w:pos="6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Executive’s employment hereunder may be terminated by the Company or Executive, as applicable, without any breach of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0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60" w:hanging="681"/>
        <w:spacing w:after="0"/>
        <w:tabs>
          <w:tab w:leader="none" w:pos="1960"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15" w:lineRule="exact"/>
        <w:rPr>
          <w:rFonts w:ascii="Arial" w:cs="Arial" w:eastAsia="Arial" w:hAnsi="Arial"/>
          <w:sz w:val="20"/>
          <w:szCs w:val="20"/>
          <w:color w:val="auto"/>
        </w:rPr>
      </w:pPr>
    </w:p>
    <w:p>
      <w:pPr>
        <w:ind w:left="1960" w:hanging="736"/>
        <w:spacing w:after="0"/>
        <w:tabs>
          <w:tab w:leader="none" w:pos="1960"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Disability</w:t>
      </w:r>
      <w:r>
        <w:rPr>
          <w:rFonts w:ascii="Arial" w:cs="Arial" w:eastAsia="Arial" w:hAnsi="Arial"/>
          <w:sz w:val="19"/>
          <w:szCs w:val="19"/>
          <w:color w:val="auto"/>
        </w:rPr>
        <w:t>. If Executive has incurred a Disability, as defined below, the Company may terminate Executive’s</w:t>
      </w:r>
    </w:p>
    <w:p>
      <w:pPr>
        <w:spacing w:after="0" w:line="27"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20"/>
          <w:szCs w:val="20"/>
          <w:color w:val="auto"/>
        </w:rPr>
        <w:t>employment.</w:t>
      </w:r>
    </w:p>
    <w:p>
      <w:pPr>
        <w:spacing w:after="0" w:line="199" w:lineRule="exact"/>
        <w:rPr>
          <w:rFonts w:ascii="Arial" w:cs="Arial" w:eastAsia="Arial" w:hAnsi="Arial"/>
          <w:sz w:val="19"/>
          <w:szCs w:val="19"/>
          <w:color w:val="auto"/>
        </w:rPr>
      </w:pPr>
    </w:p>
    <w:p>
      <w:pPr>
        <w:ind w:left="1960" w:hanging="791"/>
        <w:spacing w:after="0"/>
        <w:tabs>
          <w:tab w:leader="none" w:pos="1960"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Termination for Cause</w:t>
      </w:r>
      <w:r>
        <w:rPr>
          <w:rFonts w:ascii="Arial" w:cs="Arial" w:eastAsia="Arial" w:hAnsi="Arial"/>
          <w:sz w:val="19"/>
          <w:szCs w:val="19"/>
          <w:color w:val="auto"/>
        </w:rPr>
        <w:t>. The Company may terminate Executive’s employment for Cause, as defined below.</w:t>
      </w:r>
    </w:p>
    <w:p>
      <w:pPr>
        <w:spacing w:after="0" w:line="227" w:lineRule="exact"/>
        <w:rPr>
          <w:rFonts w:ascii="Arial" w:cs="Arial" w:eastAsia="Arial" w:hAnsi="Arial"/>
          <w:sz w:val="19"/>
          <w:szCs w:val="19"/>
          <w:color w:val="auto"/>
        </w:rPr>
      </w:pPr>
    </w:p>
    <w:p>
      <w:pPr>
        <w:ind w:left="1960" w:hanging="780"/>
        <w:spacing w:after="0"/>
        <w:tabs>
          <w:tab w:leader="none" w:pos="1960"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15" w:lineRule="exact"/>
        <w:rPr>
          <w:rFonts w:ascii="Arial" w:cs="Arial" w:eastAsia="Arial" w:hAnsi="Arial"/>
          <w:sz w:val="20"/>
          <w:szCs w:val="20"/>
          <w:color w:val="auto"/>
        </w:rPr>
      </w:pPr>
    </w:p>
    <w:p>
      <w:pPr>
        <w:ind w:left="820" w:right="780" w:firstLine="415"/>
        <w:spacing w:after="0" w:line="260" w:lineRule="auto"/>
        <w:tabs>
          <w:tab w:leader="none" w:pos="1954"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with Good Reason, as defined below.</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095" w:right="359" w:bottom="1440" w:gutter="0" w:footer="0" w:header="0"/>
        </w:sectPr>
      </w:pPr>
    </w:p>
    <w:bookmarkStart w:id="51" w:name="page52"/>
    <w:bookmarkEnd w:id="51"/>
    <w:p>
      <w:pPr>
        <w:ind w:left="812" w:right="520" w:firstLine="360"/>
        <w:spacing w:after="0" w:line="260" w:lineRule="auto"/>
        <w:tabs>
          <w:tab w:leader="none" w:pos="1946" w:val="left"/>
        </w:tabs>
        <w:numPr>
          <w:ilvl w:val="2"/>
          <w:numId w:val="21"/>
        </w:numPr>
        <w:rPr>
          <w:rFonts w:ascii="Arial" w:cs="Arial" w:eastAsia="Arial" w:hAnsi="Arial"/>
          <w:sz w:val="20"/>
          <w:szCs w:val="20"/>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for any reason other than Good Reason or for no reason.</w:t>
      </w:r>
    </w:p>
    <w:p>
      <w:pPr>
        <w:spacing w:after="0" w:line="176" w:lineRule="exact"/>
        <w:rPr>
          <w:rFonts w:ascii="Arial" w:cs="Arial" w:eastAsia="Arial" w:hAnsi="Arial"/>
          <w:sz w:val="20"/>
          <w:szCs w:val="20"/>
          <w:color w:val="auto"/>
        </w:rPr>
      </w:pPr>
    </w:p>
    <w:p>
      <w:pPr>
        <w:ind w:left="-8" w:right="120" w:firstLine="656"/>
        <w:spacing w:after="0" w:line="269"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Any termination of Executive’s employment by the Company or by Executive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in either case, that if the Company selects a Date of Termination that is less than thirty (30) days after the date of the Notice of Termination the Company will pay Executive the Annual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78" w:lineRule="exact"/>
        <w:rPr>
          <w:rFonts w:ascii="Arial" w:cs="Arial" w:eastAsia="Arial" w:hAnsi="Arial"/>
          <w:sz w:val="18"/>
          <w:szCs w:val="18"/>
          <w:color w:val="auto"/>
        </w:rPr>
      </w:pPr>
    </w:p>
    <w:p>
      <w:pPr>
        <w:ind w:left="-8" w:firstLine="656"/>
        <w:spacing w:after="0" w:line="271" w:lineRule="auto"/>
        <w:tabs>
          <w:tab w:leader="none" w:pos="1278"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9" w:lineRule="exact"/>
        <w:rPr>
          <w:rFonts w:ascii="Arial" w:cs="Arial" w:eastAsia="Arial" w:hAnsi="Arial"/>
          <w:sz w:val="18"/>
          <w:szCs w:val="18"/>
          <w:color w:val="auto"/>
        </w:rPr>
      </w:pPr>
    </w:p>
    <w:p>
      <w:pPr>
        <w:ind w:left="-8" w:right="520" w:firstLine="656"/>
        <w:spacing w:after="0" w:line="260" w:lineRule="auto"/>
        <w:tabs>
          <w:tab w:leader="none" w:pos="1276"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70" w:lineRule="exact"/>
        <w:rPr>
          <w:rFonts w:ascii="Arial" w:cs="Arial" w:eastAsia="Arial" w:hAnsi="Arial"/>
          <w:sz w:val="20"/>
          <w:szCs w:val="20"/>
          <w:color w:val="auto"/>
        </w:rPr>
      </w:pPr>
    </w:p>
    <w:p>
      <w:pPr>
        <w:ind w:left="652" w:hanging="652"/>
        <w:spacing w:after="0"/>
        <w:tabs>
          <w:tab w:leader="none" w:pos="652"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8" w:right="120" w:firstLine="656"/>
        <w:spacing w:after="0" w:line="282" w:lineRule="auto"/>
        <w:tabs>
          <w:tab w:leader="none" w:pos="127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Termination Upon Death, Disability or Resignation from the Company Without Good Reason</w:t>
      </w:r>
      <w:r>
        <w:rPr>
          <w:rFonts w:ascii="Arial" w:cs="Arial" w:eastAsia="Arial" w:hAnsi="Arial"/>
          <w:sz w:val="18"/>
          <w:szCs w:val="18"/>
          <w:color w:val="auto"/>
        </w:rPr>
        <w:t xml:space="preserve">. If Executive’s employment shall terminate as a result of Executive’s death pursuant to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or Disability pursuant to </w:t>
      </w:r>
      <w:r>
        <w:rPr>
          <w:rFonts w:ascii="Arial" w:cs="Arial" w:eastAsia="Arial" w:hAnsi="Arial"/>
          <w:sz w:val="18"/>
          <w:szCs w:val="18"/>
          <w:u w:val="single" w:color="auto"/>
          <w:color w:val="auto"/>
        </w:rPr>
        <w:t>Section 3(a)(ii)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3(a)(iii)</w:t>
      </w:r>
      <w:r>
        <w:rPr>
          <w:rFonts w:ascii="Arial" w:cs="Arial" w:eastAsia="Arial" w:hAnsi="Arial"/>
          <w:sz w:val="18"/>
          <w:szCs w:val="18"/>
          <w:color w:val="auto"/>
        </w:rPr>
        <w:t xml:space="preserve"> for Cause, or pursuant to </w:t>
      </w:r>
      <w:r>
        <w:rPr>
          <w:rFonts w:ascii="Arial" w:cs="Arial" w:eastAsia="Arial" w:hAnsi="Arial"/>
          <w:sz w:val="18"/>
          <w:szCs w:val="18"/>
          <w:u w:val="single" w:color="auto"/>
          <w:color w:val="auto"/>
        </w:rPr>
        <w:t>Section 3(a)(vi)</w:t>
      </w:r>
      <w:r>
        <w:rPr>
          <w:rFonts w:ascii="Arial" w:cs="Arial" w:eastAsia="Arial" w:hAnsi="Arial"/>
          <w:sz w:val="18"/>
          <w:szCs w:val="18"/>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8" w:right="340" w:firstLine="656"/>
        <w:spacing w:after="0" w:line="260" w:lineRule="auto"/>
        <w:tabs>
          <w:tab w:leader="none" w:pos="1276"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or Resignation from the Company with Good Reason</w:t>
      </w:r>
      <w:r>
        <w:rPr>
          <w:rFonts w:ascii="Arial" w:cs="Arial" w:eastAsia="Arial" w:hAnsi="Arial"/>
          <w:sz w:val="20"/>
          <w:szCs w:val="20"/>
          <w:color w:val="auto"/>
        </w:rPr>
        <w:t xml:space="preserve">. If Executive’s employment terminates without Cause pursuant to </w:t>
      </w:r>
      <w:r>
        <w:rPr>
          <w:rFonts w:ascii="Arial" w:cs="Arial" w:eastAsia="Arial" w:hAnsi="Arial"/>
          <w:sz w:val="20"/>
          <w:szCs w:val="20"/>
          <w:u w:val="single" w:color="auto"/>
          <w:color w:val="auto"/>
        </w:rPr>
        <w:t>Section 3(a)(iv)</w:t>
      </w:r>
      <w:r>
        <w:rPr>
          <w:rFonts w:ascii="Arial" w:cs="Arial" w:eastAsia="Arial" w:hAnsi="Arial"/>
          <w:sz w:val="20"/>
          <w:szCs w:val="20"/>
          <w:color w:val="auto"/>
        </w:rPr>
        <w:t xml:space="preserve">, or pursuant to </w:t>
      </w:r>
      <w:r>
        <w:rPr>
          <w:rFonts w:ascii="Arial" w:cs="Arial" w:eastAsia="Arial" w:hAnsi="Arial"/>
          <w:sz w:val="20"/>
          <w:szCs w:val="20"/>
          <w:u w:val="single" w:color="auto"/>
          <w:color w:val="auto"/>
        </w:rPr>
        <w:t>Section 3(a)(v)</w:t>
      </w:r>
      <w:r>
        <w:rPr>
          <w:rFonts w:ascii="Arial" w:cs="Arial" w:eastAsia="Arial" w:hAnsi="Arial"/>
          <w:sz w:val="20"/>
          <w:szCs w:val="20"/>
          <w:color w:val="auto"/>
        </w:rPr>
        <w:t xml:space="preserve"> due to</w:t>
      </w: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12"/>
          </w:cols>
          <w:pgMar w:left="328" w:top="1095" w:right="359" w:bottom="1440" w:gutter="0" w:footer="0" w:header="0"/>
        </w:sectPr>
      </w:pPr>
    </w:p>
    <w:bookmarkStart w:id="52" w:name="page53"/>
    <w:bookmarkEnd w:id="52"/>
    <w:p>
      <w:pPr>
        <w:ind w:right="140"/>
        <w:spacing w:after="0" w:line="244" w:lineRule="auto"/>
        <w:rPr>
          <w:sz w:val="20"/>
          <w:szCs w:val="20"/>
          <w:color w:val="auto"/>
        </w:rPr>
      </w:pPr>
      <w:r>
        <w:rPr>
          <w:rFonts w:ascii="Arial" w:cs="Arial" w:eastAsia="Arial" w:hAnsi="Arial"/>
          <w:sz w:val="20"/>
          <w:szCs w:val="20"/>
          <w:color w:val="auto"/>
        </w:rPr>
        <w:t xml:space="preserve">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(the “</w:t>
      </w:r>
      <w:r>
        <w:rPr>
          <w:rFonts w:ascii="Arial" w:cs="Arial" w:eastAsia="Arial" w:hAnsi="Arial"/>
          <w:sz w:val="20"/>
          <w:szCs w:val="20"/>
          <w:u w:val="single" w:color="auto"/>
          <w:color w:val="auto"/>
        </w:rPr>
        <w:t>Release</w:t>
      </w:r>
      <w:r>
        <w:rPr>
          <w:rFonts w:ascii="Arial" w:cs="Arial" w:eastAsia="Arial" w:hAnsi="Arial"/>
          <w:sz w:val="20"/>
          <w:szCs w:val="20"/>
          <w:color w:val="auto"/>
        </w:rPr>
        <w:t>”), and Executive’s continued compliance with Section 5, Executive shall receive, in addition to payments and benefits set forth in Section 3(c), the following:</w:t>
      </w:r>
    </w:p>
    <w:p>
      <w:pPr>
        <w:spacing w:after="0" w:line="194" w:lineRule="exact"/>
        <w:rPr>
          <w:sz w:val="20"/>
          <w:szCs w:val="20"/>
          <w:color w:val="auto"/>
        </w:rPr>
      </w:pPr>
    </w:p>
    <w:p>
      <w:pPr>
        <w:ind w:left="820" w:firstLine="459"/>
        <w:spacing w:after="0" w:line="328" w:lineRule="auto"/>
        <w:tabs>
          <w:tab w:leader="none" w:pos="1954"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in accordance with the Company’s normal payroll practices, commencing on the Company’s next regular payday that is at least five days following the effective date of the Release (with the first payment including all amounts accrued to that date) (the “</w:t>
      </w:r>
      <w:r>
        <w:rPr>
          <w:rFonts w:ascii="Arial" w:cs="Arial" w:eastAsia="Arial" w:hAnsi="Arial"/>
          <w:sz w:val="16"/>
          <w:szCs w:val="16"/>
          <w:u w:val="single" w:color="auto"/>
          <w:color w:val="auto"/>
        </w:rPr>
        <w:t>Payment Date</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820" w:firstLine="404"/>
        <w:spacing w:after="0" w:line="243" w:lineRule="auto"/>
        <w:tabs>
          <w:tab w:leader="none" w:pos="1954"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Pro-Rata Bonus payable in the form of a lump sum payment by the later of March 15 of the year following the year in which the Date of Termination occurs and the Payment Date. The term “Pro-Rata Bonus” shall mean a pro-rata portion of the Annual Bonus for the fiscal year in which the Date of Termination occurs based on actual results for such year (determined by multiplying the amount of such Annual Bonus which would be due for the full fiscal year by a fraction, the numerator of which is the number of days during the fiscal year of termination that Executive is employed by the Company and the denominator of which is 365); and</w:t>
      </w:r>
    </w:p>
    <w:p>
      <w:pPr>
        <w:spacing w:after="0" w:line="195" w:lineRule="exact"/>
        <w:rPr>
          <w:rFonts w:ascii="Arial" w:cs="Arial" w:eastAsia="Arial" w:hAnsi="Arial"/>
          <w:sz w:val="20"/>
          <w:szCs w:val="20"/>
          <w:color w:val="auto"/>
        </w:rPr>
      </w:pPr>
    </w:p>
    <w:p>
      <w:pPr>
        <w:ind w:left="820" w:right="40" w:firstLine="349"/>
        <w:spacing w:after="0" w:line="271" w:lineRule="auto"/>
        <w:tabs>
          <w:tab w:leader="none" w:pos="19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9" w:lineRule="exact"/>
        <w:rPr>
          <w:rFonts w:ascii="Arial" w:cs="Arial" w:eastAsia="Arial" w:hAnsi="Arial"/>
          <w:sz w:val="18"/>
          <w:szCs w:val="18"/>
          <w:color w:val="auto"/>
        </w:rPr>
      </w:pPr>
    </w:p>
    <w:p>
      <w:pPr>
        <w:ind w:right="40" w:firstLine="656"/>
        <w:spacing w:after="0" w:line="263" w:lineRule="auto"/>
        <w:tabs>
          <w:tab w:leader="none" w:pos="128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8"/>
          <w:szCs w:val="18"/>
          <w:u w:val="single" w:color="auto"/>
          <w:color w:val="auto"/>
        </w:rPr>
        <w:t>Section 3(a)(iv)</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3(a)(v)</w:t>
      </w:r>
      <w:r>
        <w:rPr>
          <w:rFonts w:ascii="Arial" w:cs="Arial" w:eastAsia="Arial" w:hAnsi="Arial"/>
          <w:sz w:val="18"/>
          <w:szCs w:val="18"/>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Executive shall receive, in addition to the payments and benefits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4(b)</w:t>
      </w:r>
      <w:r>
        <w:rPr>
          <w:rFonts w:ascii="Arial" w:cs="Arial" w:eastAsia="Arial" w:hAnsi="Arial"/>
          <w:sz w:val="18"/>
          <w:szCs w:val="18"/>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77" w:lineRule="exact"/>
        <w:rPr>
          <w:rFonts w:ascii="Arial" w:cs="Arial" w:eastAsia="Arial" w:hAnsi="Arial"/>
          <w:sz w:val="18"/>
          <w:szCs w:val="18"/>
          <w:color w:val="auto"/>
        </w:rPr>
      </w:pPr>
    </w:p>
    <w:p>
      <w:pPr>
        <w:ind w:right="40" w:firstLine="656"/>
        <w:spacing w:after="0" w:line="260" w:lineRule="auto"/>
        <w:tabs>
          <w:tab w:leader="none" w:pos="128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095" w:right="359" w:bottom="1440" w:gutter="0" w:footer="0" w:header="0"/>
        </w:sectPr>
      </w:pPr>
    </w:p>
    <w:bookmarkStart w:id="53" w:name="page54"/>
    <w:bookmarkEnd w:id="53"/>
    <w:p>
      <w:pPr>
        <w:ind w:right="100" w:firstLine="8"/>
        <w:spacing w:after="0" w:line="246" w:lineRule="auto"/>
        <w:tabs>
          <w:tab w:leader="none" w:pos="648"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84" w:lineRule="exact"/>
        <w:rPr>
          <w:rFonts w:ascii="Arial" w:cs="Arial" w:eastAsia="Arial" w:hAnsi="Arial"/>
          <w:sz w:val="20"/>
          <w:szCs w:val="20"/>
          <w:b w:val="1"/>
          <w:bCs w:val="1"/>
          <w:color w:val="auto"/>
        </w:rPr>
      </w:pPr>
    </w:p>
    <w:p>
      <w:pPr>
        <w:ind w:left="660" w:hanging="652"/>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22"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9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left="1300" w:hanging="644"/>
        <w:spacing w:after="0"/>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15" w:lineRule="exact"/>
        <w:rPr>
          <w:rFonts w:ascii="Arial" w:cs="Arial" w:eastAsia="Arial" w:hAnsi="Arial"/>
          <w:sz w:val="20"/>
          <w:szCs w:val="20"/>
          <w:color w:val="auto"/>
        </w:rPr>
      </w:pPr>
    </w:p>
    <w:p>
      <w:pPr>
        <w:ind w:left="820" w:right="40" w:firstLine="459"/>
        <w:spacing w:after="0" w:line="260" w:lineRule="auto"/>
        <w:tabs>
          <w:tab w:leader="none" w:pos="1954" w:val="left"/>
        </w:tabs>
        <w:numPr>
          <w:ilvl w:val="2"/>
          <w:numId w:val="27"/>
        </w:numPr>
        <w:rPr>
          <w:rFonts w:ascii="Arial" w:cs="Arial" w:eastAsia="Arial" w:hAnsi="Arial"/>
          <w:sz w:val="20"/>
          <w:szCs w:val="20"/>
          <w:color w:val="auto"/>
        </w:rPr>
      </w:pPr>
      <w:r>
        <w:rPr>
          <w:rFonts w:ascii="Arial" w:cs="Arial" w:eastAsia="Arial" w:hAnsi="Arial"/>
          <w:sz w:val="20"/>
          <w:szCs w:val="20"/>
          <w:color w:val="auto"/>
        </w:rPr>
        <w:t>Executive’s willful failure to perform (other than by reason of Disability), or gross negligence in the performance of, Executive’s duties and responsibilities to the Company or any of its affiliates;</w:t>
      </w:r>
    </w:p>
    <w:p>
      <w:pPr>
        <w:spacing w:after="0" w:line="176" w:lineRule="exact"/>
        <w:rPr>
          <w:rFonts w:ascii="Arial" w:cs="Arial" w:eastAsia="Arial" w:hAnsi="Arial"/>
          <w:sz w:val="20"/>
          <w:szCs w:val="20"/>
          <w:color w:val="auto"/>
        </w:rPr>
      </w:pPr>
    </w:p>
    <w:p>
      <w:pPr>
        <w:ind w:left="1960" w:hanging="736"/>
        <w:spacing w:after="0"/>
        <w:tabs>
          <w:tab w:leader="none" w:pos="1960" w:val="left"/>
        </w:tabs>
        <w:numPr>
          <w:ilvl w:val="2"/>
          <w:numId w:val="27"/>
        </w:numPr>
        <w:rPr>
          <w:rFonts w:ascii="Arial" w:cs="Arial" w:eastAsia="Arial" w:hAnsi="Arial"/>
          <w:sz w:val="19"/>
          <w:szCs w:val="19"/>
          <w:color w:val="auto"/>
        </w:rPr>
      </w:pPr>
      <w:r>
        <w:rPr>
          <w:rFonts w:ascii="Arial" w:cs="Arial" w:eastAsia="Arial" w:hAnsi="Arial"/>
          <w:sz w:val="19"/>
          <w:szCs w:val="19"/>
          <w:color w:val="auto"/>
        </w:rPr>
        <w:t>Executive’s commission of, or indictment or conviction for, any felony or any crime involving dishonesty by</w:t>
      </w:r>
    </w:p>
    <w:p>
      <w:pPr>
        <w:spacing w:after="0" w:line="27"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20"/>
          <w:szCs w:val="20"/>
          <w:color w:val="auto"/>
        </w:rPr>
        <w:t>Executive;</w:t>
      </w:r>
    </w:p>
    <w:p>
      <w:pPr>
        <w:spacing w:after="0" w:line="199" w:lineRule="exact"/>
        <w:rPr>
          <w:rFonts w:ascii="Arial" w:cs="Arial" w:eastAsia="Arial" w:hAnsi="Arial"/>
          <w:sz w:val="19"/>
          <w:szCs w:val="19"/>
          <w:color w:val="auto"/>
        </w:rPr>
      </w:pPr>
    </w:p>
    <w:p>
      <w:pPr>
        <w:ind w:left="1960" w:hanging="791"/>
        <w:spacing w:after="0"/>
        <w:tabs>
          <w:tab w:leader="none" w:pos="19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Executive’s participation in any fraud against the Company or any of its affiliates;</w:t>
      </w:r>
    </w:p>
    <w:p>
      <w:pPr>
        <w:spacing w:after="0" w:line="215" w:lineRule="exact"/>
        <w:rPr>
          <w:rFonts w:ascii="Arial" w:cs="Arial" w:eastAsia="Arial" w:hAnsi="Arial"/>
          <w:sz w:val="20"/>
          <w:szCs w:val="20"/>
          <w:color w:val="auto"/>
        </w:rPr>
      </w:pPr>
    </w:p>
    <w:p>
      <w:pPr>
        <w:ind w:left="1960" w:hanging="780"/>
        <w:spacing w:after="0"/>
        <w:tabs>
          <w:tab w:leader="none" w:pos="19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Any intentional material damage to any property of the Company or any of its affiliates by Executive;</w:t>
      </w:r>
    </w:p>
    <w:p>
      <w:pPr>
        <w:spacing w:after="0" w:line="215" w:lineRule="exact"/>
        <w:rPr>
          <w:rFonts w:ascii="Arial" w:cs="Arial" w:eastAsia="Arial" w:hAnsi="Arial"/>
          <w:sz w:val="20"/>
          <w:szCs w:val="20"/>
          <w:color w:val="auto"/>
        </w:rPr>
      </w:pPr>
    </w:p>
    <w:p>
      <w:pPr>
        <w:ind w:left="820" w:right="40" w:firstLine="415"/>
        <w:spacing w:after="0" w:line="250" w:lineRule="auto"/>
        <w:tabs>
          <w:tab w:leader="none" w:pos="1954" w:val="left"/>
        </w:tabs>
        <w:numPr>
          <w:ilvl w:val="2"/>
          <w:numId w:val="27"/>
        </w:numPr>
        <w:rPr>
          <w:rFonts w:ascii="Arial" w:cs="Arial" w:eastAsia="Arial" w:hAnsi="Arial"/>
          <w:sz w:val="20"/>
          <w:szCs w:val="20"/>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85" w:lineRule="exact"/>
        <w:rPr>
          <w:rFonts w:ascii="Arial" w:cs="Arial" w:eastAsia="Arial" w:hAnsi="Arial"/>
          <w:sz w:val="20"/>
          <w:szCs w:val="20"/>
          <w:color w:val="auto"/>
        </w:rPr>
      </w:pPr>
    </w:p>
    <w:p>
      <w:pPr>
        <w:ind w:left="820" w:right="80" w:firstLine="360"/>
        <w:spacing w:after="0" w:line="250" w:lineRule="auto"/>
        <w:tabs>
          <w:tab w:leader="none" w:pos="1954" w:val="left"/>
        </w:tabs>
        <w:numPr>
          <w:ilvl w:val="2"/>
          <w:numId w:val="27"/>
        </w:numPr>
        <w:rPr>
          <w:rFonts w:ascii="Arial" w:cs="Arial" w:eastAsia="Arial" w:hAnsi="Arial"/>
          <w:sz w:val="20"/>
          <w:szCs w:val="20"/>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85" w:lineRule="exact"/>
        <w:rPr>
          <w:rFonts w:ascii="Arial" w:cs="Arial" w:eastAsia="Arial" w:hAnsi="Arial"/>
          <w:sz w:val="20"/>
          <w:szCs w:val="20"/>
          <w:color w:val="auto"/>
        </w:rPr>
      </w:pPr>
    </w:p>
    <w:p>
      <w:pPr>
        <w:ind w:right="60" w:firstLine="656"/>
        <w:spacing w:after="0" w:line="260" w:lineRule="auto"/>
        <w:tabs>
          <w:tab w:leader="none" w:pos="1284"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“Change in Control” shall have the meaning set forth in the version of the Selecta Biosciences, Inc. 2016 Incentive Award Plan in effect on the Effective Date.</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 and the regulations and guidance promulgated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thereunder.</w:t>
      </w:r>
    </w:p>
    <w:p>
      <w:pPr>
        <w:spacing w:after="0" w:line="199" w:lineRule="exact"/>
        <w:rPr>
          <w:rFonts w:ascii="Arial" w:cs="Arial" w:eastAsia="Arial" w:hAnsi="Arial"/>
          <w:sz w:val="18"/>
          <w:szCs w:val="18"/>
          <w:color w:val="auto"/>
        </w:rPr>
      </w:pPr>
    </w:p>
    <w:p>
      <w:pPr>
        <w:ind w:right="20" w:firstLine="656"/>
        <w:spacing w:after="0" w:line="260" w:lineRule="auto"/>
        <w:tabs>
          <w:tab w:leader="none" w:pos="1284"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shall mean (i) if Executive’s employment is terminated by Executive’s death, the date of Executive’s death; or (ii) if Executive’s employment is terminated</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089" w:right="359" w:bottom="1440" w:gutter="0" w:footer="0" w:header="0"/>
        </w:sectPr>
      </w:pPr>
    </w:p>
    <w:bookmarkStart w:id="54" w:name="page55"/>
    <w:bookmarkEnd w:id="54"/>
    <w:p>
      <w:pPr>
        <w:ind w:right="400"/>
        <w:spacing w:after="0" w:line="260" w:lineRule="auto"/>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3(a)(ii) – (vi)</w:t>
      </w:r>
      <w:r>
        <w:rPr>
          <w:rFonts w:ascii="Arial" w:cs="Arial" w:eastAsia="Arial" w:hAnsi="Arial"/>
          <w:sz w:val="20"/>
          <w:szCs w:val="20"/>
          <w:color w:val="auto"/>
        </w:rPr>
        <w:t xml:space="preserve"> either the date indicated in the Notice of Termination or the date specified by the Company pursuant to </w:t>
      </w:r>
      <w:r>
        <w:rPr>
          <w:rFonts w:ascii="Arial" w:cs="Arial" w:eastAsia="Arial" w:hAnsi="Arial"/>
          <w:sz w:val="20"/>
          <w:szCs w:val="20"/>
          <w:u w:val="single" w:color="auto"/>
          <w:color w:val="auto"/>
        </w:rPr>
        <w:t>Section 3(b)</w:t>
      </w:r>
      <w:r>
        <w:rPr>
          <w:rFonts w:ascii="Arial" w:cs="Arial" w:eastAsia="Arial" w:hAnsi="Arial"/>
          <w:sz w:val="20"/>
          <w:szCs w:val="20"/>
          <w:color w:val="auto"/>
        </w:rPr>
        <w:t>, whichever is earlier.</w:t>
      </w:r>
    </w:p>
    <w:p>
      <w:pPr>
        <w:spacing w:after="0" w:line="177" w:lineRule="exact"/>
        <w:rPr>
          <w:sz w:val="20"/>
          <w:szCs w:val="20"/>
          <w:color w:val="auto"/>
        </w:rPr>
      </w:pPr>
    </w:p>
    <w:p>
      <w:pPr>
        <w:ind w:right="40" w:firstLine="656"/>
        <w:spacing w:after="0" w:line="271" w:lineRule="auto"/>
        <w:tabs>
          <w:tab w:leader="none" w:pos="128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69" w:lineRule="exact"/>
        <w:rPr>
          <w:rFonts w:ascii="Arial" w:cs="Arial" w:eastAsia="Arial" w:hAnsi="Arial"/>
          <w:sz w:val="18"/>
          <w:szCs w:val="18"/>
          <w:color w:val="auto"/>
        </w:rPr>
      </w:pPr>
    </w:p>
    <w:p>
      <w:pPr>
        <w:ind w:right="40" w:firstLine="656"/>
        <w:spacing w:after="0" w:line="271" w:lineRule="auto"/>
        <w:tabs>
          <w:tab w:leader="none" w:pos="129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the sole purpose of determining Executive’s right to severance payments and benefits as described above, Executive’s resignation will be for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(iii) the relocation of Executive’s primary office to a location more than 40 miles from the Boston metropolitan area, (iv) requirement that Executive report to someone other than the Chief Executive Officer of the Company, or (v)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ind w:firstLine="656"/>
        <w:spacing w:after="0" w:line="270" w:lineRule="auto"/>
        <w:tabs>
          <w:tab w:leader="none" w:pos="12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hereof, being hereinafter referred to as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would be subject (in whole or in part)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xml:space="preserve">”), then the Total Payments shall be reduced (in the order provided in </w:t>
      </w:r>
      <w:r>
        <w:rPr>
          <w:rFonts w:ascii="Arial" w:cs="Arial" w:eastAsia="Arial" w:hAnsi="Arial"/>
          <w:sz w:val="18"/>
          <w:szCs w:val="18"/>
          <w:u w:val="single" w:color="auto"/>
          <w:color w:val="auto"/>
        </w:rPr>
        <w:t>Section 8(b)</w:t>
      </w:r>
      <w:r>
        <w:rPr>
          <w:rFonts w:ascii="Arial" w:cs="Arial" w:eastAsia="Arial" w:hAnsi="Arial"/>
          <w:sz w:val="18"/>
          <w:szCs w:val="18"/>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75" w:lineRule="exact"/>
        <w:rPr>
          <w:rFonts w:ascii="Arial" w:cs="Arial" w:eastAsia="Arial" w:hAnsi="Arial"/>
          <w:sz w:val="18"/>
          <w:szCs w:val="18"/>
          <w:color w:val="auto"/>
        </w:rPr>
      </w:pPr>
    </w:p>
    <w:p>
      <w:pPr>
        <w:ind w:right="60" w:firstLine="656"/>
        <w:spacing w:after="0" w:line="260" w:lineRule="auto"/>
        <w:tabs>
          <w:tab w:leader="none" w:pos="1284"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Total Payments shall be reduced in the following order: (i) reduction on a pro-rata basis of any cash severance payments that are exempt from Section 409A of the Code (“</w:t>
      </w:r>
      <w:r>
        <w:rPr>
          <w:rFonts w:ascii="Arial" w:cs="Arial" w:eastAsia="Arial" w:hAnsi="Arial"/>
          <w:sz w:val="20"/>
          <w:szCs w:val="20"/>
          <w:u w:val="single" w:color="auto"/>
          <w:color w:val="auto"/>
        </w:rPr>
        <w:t>Section 409A</w:t>
      </w:r>
      <w:r>
        <w:rPr>
          <w:rFonts w:ascii="Arial" w:cs="Arial" w:eastAsia="Arial" w:hAnsi="Arial"/>
          <w:sz w:val="20"/>
          <w:szCs w:val="20"/>
          <w:color w:val="auto"/>
        </w:rPr>
        <w:t>”), (ii) reduction 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095" w:right="359" w:bottom="1440" w:gutter="0" w:footer="0" w:header="0"/>
        </w:sectPr>
      </w:pPr>
    </w:p>
    <w:bookmarkStart w:id="55" w:name="page56"/>
    <w:bookmarkEnd w:id="55"/>
    <w:p>
      <w:pPr>
        <w:spacing w:after="0" w:line="244" w:lineRule="auto"/>
        <w:rPr>
          <w:sz w:val="20"/>
          <w:szCs w:val="20"/>
          <w:color w:val="auto"/>
        </w:rPr>
      </w:pPr>
      <w:r>
        <w:rPr>
          <w:rFonts w:ascii="Arial" w:cs="Arial" w:eastAsia="Arial" w:hAnsi="Arial"/>
          <w:sz w:val="20"/>
          <w:szCs w:val="20"/>
          <w:color w:val="auto"/>
        </w:rPr>
        <w:t>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94" w:lineRule="exact"/>
        <w:rPr>
          <w:sz w:val="20"/>
          <w:szCs w:val="20"/>
          <w:color w:val="auto"/>
        </w:rPr>
      </w:pPr>
    </w:p>
    <w:p>
      <w:pPr>
        <w:ind w:right="60" w:firstLine="656"/>
        <w:spacing w:after="0" w:line="257" w:lineRule="auto"/>
        <w:tabs>
          <w:tab w:leader="none" w:pos="1286"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0" w:lineRule="exact"/>
        <w:rPr>
          <w:rFonts w:ascii="Arial" w:cs="Arial" w:eastAsia="Arial" w:hAnsi="Arial"/>
          <w:sz w:val="19"/>
          <w:szCs w:val="19"/>
          <w:color w:val="auto"/>
        </w:rPr>
      </w:pPr>
    </w:p>
    <w:p>
      <w:pPr>
        <w:ind w:firstLine="656"/>
        <w:spacing w:after="0" w:line="272" w:lineRule="auto"/>
        <w:tabs>
          <w:tab w:leader="none" w:pos="12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Executive incurs legal fees or other expenses (including expert witness and accounting fees) in an effort to determine the applicability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establish entitlement to or obtain any portion of the Total Payments that have been reduced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Legal and Other Expenses</w:t>
      </w:r>
      <w:r>
        <w:rPr>
          <w:rFonts w:ascii="Arial" w:cs="Arial" w:eastAsia="Arial" w:hAnsi="Arial"/>
          <w:sz w:val="18"/>
          <w:szCs w:val="18"/>
          <w:color w:val="auto"/>
        </w:rPr>
        <w:t xml:space="preserve">”), Executive shall be entitled to payment of or reimbursement for such Legal and Other Expenses in accordance with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Subject to Sections </w:t>
      </w:r>
      <w:r>
        <w:rPr>
          <w:rFonts w:ascii="Arial" w:cs="Arial" w:eastAsia="Arial" w:hAnsi="Arial"/>
          <w:sz w:val="18"/>
          <w:szCs w:val="18"/>
          <w:u w:val="single" w:color="auto"/>
          <w:color w:val="auto"/>
        </w:rPr>
        <w:t>9(1)(iv)</w:t>
      </w:r>
      <w:r>
        <w:rPr>
          <w:rFonts w:ascii="Arial" w:cs="Arial" w:eastAsia="Arial" w:hAnsi="Arial"/>
          <w:sz w:val="18"/>
          <w:szCs w:val="18"/>
          <w:color w:val="auto"/>
        </w:rPr>
        <w:t xml:space="preserve"> and 9(m) and the other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70" w:lineRule="exact"/>
        <w:rPr>
          <w:rFonts w:ascii="Arial" w:cs="Arial" w:eastAsia="Arial" w:hAnsi="Arial"/>
          <w:sz w:val="18"/>
          <w:szCs w:val="18"/>
          <w:color w:val="auto"/>
        </w:rPr>
      </w:pPr>
    </w:p>
    <w:p>
      <w:pPr>
        <w:ind w:right="60" w:firstLine="656"/>
        <w:spacing w:after="0" w:line="282" w:lineRule="auto"/>
        <w:tabs>
          <w:tab w:leader="none" w:pos="12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In the event it is later determined that to implement the objective and intent of this </w:t>
      </w:r>
      <w:r>
        <w:rPr>
          <w:rFonts w:ascii="Arial" w:cs="Arial" w:eastAsia="Arial" w:hAnsi="Arial"/>
          <w:sz w:val="18"/>
          <w:szCs w:val="18"/>
          <w:u w:val="single" w:color="auto"/>
          <w:color w:val="auto"/>
        </w:rPr>
        <w:t>Section 8</w:t>
      </w:r>
      <w:r>
        <w:rPr>
          <w:rFonts w:ascii="Arial" w:cs="Arial" w:eastAsia="Arial" w:hAnsi="Arial"/>
          <w:sz w:val="18"/>
          <w:szCs w:val="18"/>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5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firstLine="656"/>
        <w:spacing w:after="0" w:line="263" w:lineRule="auto"/>
        <w:tabs>
          <w:tab w:leader="none" w:pos="1286"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6" w:lineRule="exact"/>
        <w:rPr>
          <w:rFonts w:ascii="Arial" w:cs="Arial" w:eastAsia="Arial" w:hAnsi="Arial"/>
          <w:sz w:val="19"/>
          <w:szCs w:val="19"/>
          <w:color w:val="auto"/>
        </w:rPr>
      </w:pPr>
    </w:p>
    <w:p>
      <w:pPr>
        <w:ind w:right="260" w:firstLine="656"/>
        <w:spacing w:after="0" w:line="260" w:lineRule="auto"/>
        <w:tabs>
          <w:tab w:leader="none" w:pos="1284"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Arial" w:cs="Arial" w:eastAsia="Arial" w:hAnsi="Arial"/>
          <w:sz w:val="20"/>
          <w:szCs w:val="20"/>
          <w:color w:val="auto"/>
        </w:rPr>
      </w:pPr>
    </w:p>
    <w:p>
      <w:pPr>
        <w:ind w:right="20" w:firstLine="656"/>
        <w:spacing w:after="0" w:line="250" w:lineRule="auto"/>
        <w:tabs>
          <w:tab w:leader="none" w:pos="1286"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095" w:right="339" w:bottom="1440" w:gutter="0" w:footer="0" w:header="0"/>
        </w:sectPr>
      </w:pPr>
    </w:p>
    <w:bookmarkStart w:id="56" w:name="page57"/>
    <w:bookmarkEnd w:id="56"/>
    <w:p>
      <w:pPr>
        <w:ind w:left="1940" w:hanging="681"/>
        <w:spacing w:after="0"/>
        <w:tabs>
          <w:tab w:leader="none" w:pos="19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w:t>
      </w:r>
    </w:p>
    <w:p>
      <w:pPr>
        <w:spacing w:after="0" w:line="215" w:lineRule="exact"/>
        <w:rPr>
          <w:rFonts w:ascii="Arial" w:cs="Arial" w:eastAsia="Arial" w:hAnsi="Arial"/>
          <w:sz w:val="20"/>
          <w:szCs w:val="20"/>
          <w:color w:val="auto"/>
        </w:rPr>
      </w:pPr>
    </w:p>
    <w:p>
      <w:pPr>
        <w:ind w:left="1940" w:hanging="736"/>
        <w:spacing w:after="0"/>
        <w:tabs>
          <w:tab w:leader="none" w:pos="19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1940" w:hanging="791"/>
        <w:spacing w:after="0"/>
        <w:tabs>
          <w:tab w:leader="none" w:pos="19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5" w:lineRule="exact"/>
        <w:rPr>
          <w:rFonts w:ascii="Arial" w:cs="Arial" w:eastAsia="Arial" w:hAnsi="Arial"/>
          <w:sz w:val="20"/>
          <w:szCs w:val="20"/>
          <w:color w:val="auto"/>
        </w:rPr>
      </w:pPr>
    </w:p>
    <w:p>
      <w:pPr>
        <w:jc w:val="both"/>
        <w:ind w:left="-20" w:right="80" w:firstLine="656"/>
        <w:spacing w:after="0" w:line="250" w:lineRule="auto"/>
        <w:tabs>
          <w:tab w:leader="none" w:pos="126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5" w:lineRule="exact"/>
        <w:rPr>
          <w:rFonts w:ascii="Arial" w:cs="Arial" w:eastAsia="Arial" w:hAnsi="Arial"/>
          <w:sz w:val="20"/>
          <w:szCs w:val="20"/>
          <w:color w:val="auto"/>
        </w:rPr>
      </w:pPr>
    </w:p>
    <w:p>
      <w:pPr>
        <w:ind w:left="-20" w:right="20" w:firstLine="656"/>
        <w:spacing w:after="0" w:line="276" w:lineRule="auto"/>
        <w:tabs>
          <w:tab w:leader="none" w:pos="126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of this Agreement, the Restrictive Covenant Agreement incorporated herein by reference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64" w:lineRule="exact"/>
        <w:rPr>
          <w:rFonts w:ascii="Arial" w:cs="Arial" w:eastAsia="Arial" w:hAnsi="Arial"/>
          <w:sz w:val="18"/>
          <w:szCs w:val="18"/>
          <w:color w:val="auto"/>
        </w:rPr>
      </w:pPr>
    </w:p>
    <w:p>
      <w:pPr>
        <w:ind w:left="-20" w:right="20" w:firstLine="656"/>
        <w:spacing w:after="0" w:line="260" w:lineRule="auto"/>
        <w:tabs>
          <w:tab w:leader="none" w:pos="1271"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Parties acknowledge that they have or will enter into an Indemnification Agreement in substantially the form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w:t>
      </w:r>
    </w:p>
    <w:p>
      <w:pPr>
        <w:spacing w:after="0" w:line="176" w:lineRule="exact"/>
        <w:rPr>
          <w:rFonts w:ascii="Arial" w:cs="Arial" w:eastAsia="Arial" w:hAnsi="Arial"/>
          <w:sz w:val="20"/>
          <w:szCs w:val="20"/>
          <w:color w:val="auto"/>
        </w:rPr>
      </w:pPr>
    </w:p>
    <w:p>
      <w:pPr>
        <w:ind w:left="-20" w:right="20" w:firstLine="656"/>
        <w:spacing w:after="0" w:line="276"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64" w:lineRule="exact"/>
        <w:rPr>
          <w:rFonts w:ascii="Arial" w:cs="Arial" w:eastAsia="Arial" w:hAnsi="Arial"/>
          <w:sz w:val="18"/>
          <w:szCs w:val="18"/>
          <w:color w:val="auto"/>
        </w:rPr>
      </w:pPr>
    </w:p>
    <w:p>
      <w:pPr>
        <w:ind w:left="-20" w:right="40" w:firstLine="656"/>
        <w:spacing w:after="0" w:line="269" w:lineRule="auto"/>
        <w:tabs>
          <w:tab w:leader="none" w:pos="126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69" w:lineRule="exact"/>
        <w:rPr>
          <w:rFonts w:ascii="Arial" w:cs="Arial" w:eastAsia="Arial" w:hAnsi="Arial"/>
          <w:sz w:val="19"/>
          <w:szCs w:val="19"/>
          <w:color w:val="auto"/>
        </w:rPr>
      </w:pPr>
    </w:p>
    <w:p>
      <w:pPr>
        <w:ind w:left="-20" w:firstLine="656"/>
        <w:spacing w:after="0" w:line="255" w:lineRule="auto"/>
        <w:tabs>
          <w:tab w:leader="none" w:pos="127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40" w:top="1095" w:right="359" w:bottom="1440" w:gutter="0" w:footer="0" w:header="0"/>
        </w:sectPr>
      </w:pPr>
    </w:p>
    <w:bookmarkStart w:id="57" w:name="page58"/>
    <w:bookmarkEnd w:id="57"/>
    <w:p>
      <w:pPr>
        <w:ind w:left="-20" w:firstLine="656"/>
        <w:spacing w:after="0" w:line="276" w:lineRule="auto"/>
        <w:tabs>
          <w:tab w:leader="none" w:pos="127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4" w:lineRule="exact"/>
        <w:rPr>
          <w:rFonts w:ascii="Arial" w:cs="Arial" w:eastAsia="Arial" w:hAnsi="Arial"/>
          <w:sz w:val="18"/>
          <w:szCs w:val="18"/>
          <w:color w:val="auto"/>
        </w:rPr>
      </w:pPr>
    </w:p>
    <w:p>
      <w:pPr>
        <w:ind w:left="-20" w:right="100" w:firstLine="656"/>
        <w:spacing w:after="0" w:line="250" w:lineRule="auto"/>
        <w:tabs>
          <w:tab w:leader="none" w:pos="1264"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85" w:lineRule="exact"/>
        <w:rPr>
          <w:rFonts w:ascii="Arial" w:cs="Arial" w:eastAsia="Arial" w:hAnsi="Arial"/>
          <w:sz w:val="20"/>
          <w:szCs w:val="20"/>
          <w:color w:val="auto"/>
        </w:rPr>
      </w:pPr>
    </w:p>
    <w:p>
      <w:pPr>
        <w:ind w:left="1280" w:hanging="644"/>
        <w:spacing w:after="0"/>
        <w:tabs>
          <w:tab w:leader="none" w:pos="128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480" w:right="120" w:firstLine="642"/>
        <w:spacing w:after="0" w:line="250" w:lineRule="auto"/>
        <w:tabs>
          <w:tab w:leader="none" w:pos="1936" w:val="left"/>
        </w:tabs>
        <w:numPr>
          <w:ilvl w:val="1"/>
          <w:numId w:val="34"/>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The intent of the Parties is that the payments and benefits under this Agreement comply with or be exempt</w:t>
      </w:r>
      <w:r>
        <w:rPr>
          <w:rFonts w:ascii="Arial" w:cs="Arial" w:eastAsia="Arial" w:hAnsi="Arial"/>
          <w:sz w:val="20"/>
          <w:szCs w:val="20"/>
          <w:i w:val="1"/>
          <w:iCs w:val="1"/>
          <w:color w:val="auto"/>
        </w:rPr>
        <w:t xml:space="preserve"> </w:t>
      </w:r>
      <w:r>
        <w:rPr>
          <w:rFonts w:ascii="Arial" w:cs="Arial" w:eastAsia="Arial" w:hAnsi="Arial"/>
          <w:sz w:val="20"/>
          <w:szCs w:val="20"/>
          <w:color w:val="auto"/>
        </w:rPr>
        <w:t>from Section 409A and, accordingly, to the maximum extent permitted, this Agreement shall be interpreted to be in compliance therewith.</w:t>
      </w:r>
    </w:p>
    <w:p>
      <w:pPr>
        <w:spacing w:after="0" w:line="185" w:lineRule="exact"/>
        <w:rPr>
          <w:rFonts w:ascii="Arial" w:cs="Arial" w:eastAsia="Arial" w:hAnsi="Arial"/>
          <w:sz w:val="20"/>
          <w:szCs w:val="20"/>
          <w:color w:val="auto"/>
        </w:rPr>
      </w:pPr>
    </w:p>
    <w:p>
      <w:pPr>
        <w:ind w:left="480" w:right="140" w:firstLine="642"/>
        <w:spacing w:after="0" w:line="246" w:lineRule="auto"/>
        <w:tabs>
          <w:tab w:leader="none" w:pos="1937" w:val="left"/>
        </w:tabs>
        <w:numPr>
          <w:ilvl w:val="1"/>
          <w:numId w:val="34"/>
        </w:numPr>
        <w:rPr>
          <w:rFonts w:ascii="Arial" w:cs="Arial" w:eastAsia="Arial" w:hAnsi="Arial"/>
          <w:sz w:val="20"/>
          <w:szCs w:val="20"/>
          <w:color w:val="auto"/>
        </w:rPr>
      </w:pPr>
      <w:r>
        <w:rPr>
          <w:rFonts w:ascii="Arial" w:cs="Arial" w:eastAsia="Arial" w:hAnsi="Arial"/>
          <w:sz w:val="20"/>
          <w:szCs w:val="20"/>
          <w:i w:val="1"/>
          <w:iCs w:val="1"/>
          <w:color w:val="auto"/>
        </w:rPr>
        <w:t>Separation from Service</w:t>
      </w:r>
      <w:r>
        <w:rPr>
          <w:rFonts w:ascii="Arial" w:cs="Arial" w:eastAsia="Arial" w:hAnsi="Arial"/>
          <w:sz w:val="20"/>
          <w:szCs w:val="20"/>
          <w:color w:val="auto"/>
        </w:rPr>
        <w:t>. For purposes of any compensation or benefits payable to Executive under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all references to “termination of employment” and correlative phrases shall be construed to require a “separation from service” (as defined in Section 1.409A-1(h) of the Treasury regulations after giving effect to the presumptions contained therein) (a “Separation from Service”).</w:t>
      </w:r>
    </w:p>
    <w:p>
      <w:pPr>
        <w:spacing w:after="0" w:line="191" w:lineRule="exact"/>
        <w:rPr>
          <w:rFonts w:ascii="Arial" w:cs="Arial" w:eastAsia="Arial" w:hAnsi="Arial"/>
          <w:sz w:val="20"/>
          <w:szCs w:val="20"/>
          <w:color w:val="auto"/>
        </w:rPr>
      </w:pPr>
    </w:p>
    <w:p>
      <w:pPr>
        <w:ind w:left="480" w:right="20" w:firstLine="642"/>
        <w:spacing w:after="0" w:line="273" w:lineRule="auto"/>
        <w:tabs>
          <w:tab w:leader="none" w:pos="193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Specified Employee</w:t>
      </w:r>
      <w:r>
        <w:rPr>
          <w:rFonts w:ascii="Arial" w:cs="Arial" w:eastAsia="Arial" w:hAnsi="Arial"/>
          <w:sz w:val="18"/>
          <w:szCs w:val="18"/>
          <w:color w:val="auto"/>
        </w:rPr>
        <w:t>. Notwithstanding anything in this Agreement to the contrary, if Executive is deemed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95" w:lineRule="exact"/>
        <w:rPr>
          <w:rFonts w:ascii="Arial" w:cs="Arial" w:eastAsia="Arial" w:hAnsi="Arial"/>
          <w:sz w:val="18"/>
          <w:szCs w:val="18"/>
          <w:color w:val="auto"/>
        </w:rPr>
      </w:pPr>
    </w:p>
    <w:p>
      <w:pPr>
        <w:ind w:left="480" w:right="80" w:firstLine="642"/>
        <w:spacing w:after="0" w:line="274" w:lineRule="auto"/>
        <w:tabs>
          <w:tab w:leader="none" w:pos="1926" w:val="left"/>
        </w:tabs>
        <w:numPr>
          <w:ilvl w:val="1"/>
          <w:numId w:val="34"/>
        </w:numPr>
        <w:rPr>
          <w:rFonts w:ascii="Arial" w:cs="Arial" w:eastAsia="Arial" w:hAnsi="Arial"/>
          <w:sz w:val="19"/>
          <w:szCs w:val="19"/>
          <w:color w:val="auto"/>
        </w:rPr>
      </w:pPr>
      <w:r>
        <w:rPr>
          <w:rFonts w:ascii="Arial" w:cs="Arial" w:eastAsia="Arial" w:hAnsi="Arial"/>
          <w:sz w:val="18"/>
          <w:szCs w:val="18"/>
          <w:i w:val="1"/>
          <w:iCs w:val="1"/>
          <w:color w:val="auto"/>
        </w:rPr>
        <w:t xml:space="preserve">Expense Reimbursements. </w:t>
      </w:r>
      <w:r>
        <w:rPr>
          <w:rFonts w:ascii="Arial" w:cs="Arial" w:eastAsia="Arial" w:hAnsi="Arial"/>
          <w:sz w:val="18"/>
          <w:szCs w:val="18"/>
          <w:color w:val="auto"/>
        </w:rPr>
        <w:t>To the extent that any reimbursements under this Agreement are subject to 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95" w:lineRule="exact"/>
        <w:rPr>
          <w:rFonts w:ascii="Arial" w:cs="Arial" w:eastAsia="Arial" w:hAnsi="Arial"/>
          <w:sz w:val="19"/>
          <w:szCs w:val="19"/>
          <w:color w:val="auto"/>
        </w:rPr>
      </w:pPr>
    </w:p>
    <w:p>
      <w:pPr>
        <w:ind w:left="480" w:right="100" w:firstLine="642"/>
        <w:spacing w:after="0" w:line="253" w:lineRule="auto"/>
        <w:tabs>
          <w:tab w:leader="none" w:pos="1933" w:val="left"/>
        </w:tabs>
        <w:numPr>
          <w:ilvl w:val="1"/>
          <w:numId w:val="34"/>
        </w:numPr>
        <w:rPr>
          <w:rFonts w:ascii="Arial" w:cs="Arial" w:eastAsia="Arial" w:hAnsi="Arial"/>
          <w:sz w:val="21"/>
          <w:szCs w:val="21"/>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w:t>
      </w:r>
      <w:r>
        <w:rPr>
          <w:rFonts w:ascii="Arial" w:cs="Arial" w:eastAsia="Arial" w:hAnsi="Arial"/>
          <w:sz w:val="19"/>
          <w:szCs w:val="19"/>
          <w:i w:val="1"/>
          <w:iCs w:val="1"/>
          <w:color w:val="auto"/>
        </w:rPr>
        <w:t xml:space="preserve"> </w:t>
      </w:r>
      <w:r>
        <w:rPr>
          <w:rFonts w:ascii="Arial" w:cs="Arial" w:eastAsia="Arial" w:hAnsi="Arial"/>
          <w:sz w:val="19"/>
          <w:szCs w:val="19"/>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095" w:right="339" w:bottom="1440" w:gutter="0" w:footer="0" w:header="0"/>
        </w:sectPr>
      </w:pPr>
    </w:p>
    <w:bookmarkStart w:id="58" w:name="page59"/>
    <w:bookmarkEnd w:id="58"/>
    <w:p>
      <w:pPr>
        <w:ind w:left="500"/>
        <w:spacing w:after="0" w:line="260" w:lineRule="auto"/>
        <w:rPr>
          <w:sz w:val="20"/>
          <w:szCs w:val="20"/>
          <w:color w:val="auto"/>
        </w:rPr>
      </w:pPr>
      <w:r>
        <w:rPr>
          <w:rFonts w:ascii="Arial" w:cs="Arial" w:eastAsia="Arial" w:hAnsi="Arial"/>
          <w:sz w:val="20"/>
          <w:szCs w:val="20"/>
          <w:color w:val="auto"/>
        </w:rPr>
        <w:t>consider, return and not revoke the Release crosses two calendar years, any payments or benefits described in Section 4(b) will be paid in the later calendar year.</w:t>
      </w:r>
    </w:p>
    <w:p>
      <w:pPr>
        <w:spacing w:after="0" w:line="171"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60"/>
          </w:cols>
          <w:pgMar w:left="320" w:top="1095" w:right="41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IN WITNESS WHEREOF, the Parties have executed this Agreement on the date and year first above written.</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SELECTA BIOSCIENCES, INC.</w:t>
      </w:r>
    </w:p>
    <w:p>
      <w:pPr>
        <w:spacing w:after="0" w:line="316" w:lineRule="exact"/>
        <w:rPr>
          <w:sz w:val="20"/>
          <w:szCs w:val="20"/>
          <w:color w:val="auto"/>
        </w:rPr>
      </w:pPr>
    </w:p>
    <w:tbl>
      <w:tblPr>
        <w:tblLayout w:type="fixed"/>
        <w:tblInd w:w="3460" w:type="dxa"/>
        <w:tblCellMar>
          <w:top w:w="0" w:type="dxa"/>
          <w:left w:w="0" w:type="dxa"/>
          <w:bottom w:w="0" w:type="dxa"/>
          <w:right w:w="0" w:type="dxa"/>
        </w:tblCellMar>
      </w:tblPr>
      <w:tr>
        <w:trPr>
          <w:trHeight w:val="250"/>
        </w:trPr>
        <w:tc>
          <w:tcPr>
            <w:tcW w:w="1680" w:type="dxa"/>
            <w:vAlign w:val="bottom"/>
            <w:gridSpan w:val="2"/>
          </w:tcPr>
          <w:p>
            <w:pPr>
              <w:spacing w:after="0"/>
              <w:rPr>
                <w:sz w:val="20"/>
                <w:szCs w:val="20"/>
                <w:color w:val="auto"/>
              </w:rPr>
            </w:pPr>
            <w:r>
              <w:rPr>
                <w:rFonts w:ascii="Arial" w:cs="Arial" w:eastAsia="Arial" w:hAnsi="Arial"/>
                <w:sz w:val="20"/>
                <w:szCs w:val="20"/>
                <w:color w:val="auto"/>
              </w:rPr>
              <w:t>By:</w:t>
            </w:r>
          </w:p>
        </w:tc>
        <w:tc>
          <w:tcPr>
            <w:tcW w:w="4620" w:type="dxa"/>
            <w:vAlign w:val="bottom"/>
          </w:tcPr>
          <w:p>
            <w:pPr>
              <w:jc w:val="center"/>
              <w:ind w:right="461"/>
              <w:spacing w:after="0"/>
              <w:rPr>
                <w:sz w:val="20"/>
                <w:szCs w:val="20"/>
                <w:color w:val="auto"/>
              </w:rPr>
            </w:pPr>
            <w:r>
              <w:rPr>
                <w:rFonts w:ascii="Arial" w:cs="Arial" w:eastAsia="Arial" w:hAnsi="Arial"/>
                <w:sz w:val="20"/>
                <w:szCs w:val="20"/>
                <w:color w:val="auto"/>
                <w:w w:val="89"/>
              </w:rPr>
              <w:t>/s/ Carsten Brunn, Ph.D.</w:t>
            </w:r>
          </w:p>
        </w:tc>
      </w:tr>
      <w:tr>
        <w:trPr>
          <w:trHeight w:val="23"/>
        </w:trPr>
        <w:tc>
          <w:tcPr>
            <w:tcW w:w="1680" w:type="dxa"/>
            <w:vAlign w:val="bottom"/>
            <w:gridSpan w:val="2"/>
          </w:tcPr>
          <w:p>
            <w:pPr>
              <w:spacing w:after="0"/>
              <w:rPr>
                <w:sz w:val="2"/>
                <w:szCs w:val="2"/>
                <w:color w:val="auto"/>
              </w:rPr>
            </w:pPr>
          </w:p>
        </w:tc>
        <w:tc>
          <w:tcPr>
            <w:tcW w:w="4620" w:type="dxa"/>
            <w:vAlign w:val="bottom"/>
          </w:tcPr>
          <w:p>
            <w:pPr>
              <w:spacing w:after="0"/>
              <w:rPr>
                <w:sz w:val="2"/>
                <w:szCs w:val="2"/>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Name:</w:t>
            </w:r>
          </w:p>
        </w:tc>
        <w:tc>
          <w:tcPr>
            <w:tcW w:w="580" w:type="dxa"/>
            <w:vAlign w:val="bottom"/>
            <w:tcBorders>
              <w:top w:val="single" w:sz="8" w:color="auto"/>
            </w:tcBorders>
          </w:tcPr>
          <w:p>
            <w:pPr>
              <w:spacing w:after="0"/>
              <w:rPr>
                <w:sz w:val="22"/>
                <w:szCs w:val="22"/>
                <w:color w:val="auto"/>
              </w:rPr>
            </w:pPr>
          </w:p>
        </w:tc>
        <w:tc>
          <w:tcPr>
            <w:tcW w:w="4620" w:type="dxa"/>
            <w:vAlign w:val="bottom"/>
            <w:tcBorders>
              <w:top w:val="single" w:sz="8" w:color="auto"/>
            </w:tcBorders>
          </w:tcPr>
          <w:p>
            <w:pPr>
              <w:jc w:val="center"/>
              <w:ind w:right="461"/>
              <w:spacing w:after="0"/>
              <w:rPr>
                <w:sz w:val="20"/>
                <w:szCs w:val="20"/>
                <w:color w:val="auto"/>
              </w:rPr>
            </w:pPr>
            <w:r>
              <w:rPr>
                <w:rFonts w:ascii="Arial" w:cs="Arial" w:eastAsia="Arial" w:hAnsi="Arial"/>
                <w:sz w:val="20"/>
                <w:szCs w:val="20"/>
                <w:color w:val="auto"/>
                <w:w w:val="88"/>
              </w:rPr>
              <w:t>Carsten Brunn, Ph. D.</w:t>
            </w:r>
          </w:p>
        </w:tc>
      </w:tr>
      <w:tr>
        <w:trPr>
          <w:trHeight w:val="283"/>
        </w:trPr>
        <w:tc>
          <w:tcPr>
            <w:tcW w:w="1680" w:type="dxa"/>
            <w:vAlign w:val="bottom"/>
            <w:gridSpan w:val="2"/>
          </w:tcPr>
          <w:p>
            <w:pPr>
              <w:spacing w:after="0"/>
              <w:rPr>
                <w:sz w:val="20"/>
                <w:szCs w:val="20"/>
                <w:color w:val="auto"/>
              </w:rPr>
            </w:pPr>
            <w:r>
              <w:rPr>
                <w:rFonts w:ascii="Arial" w:cs="Arial" w:eastAsia="Arial" w:hAnsi="Arial"/>
                <w:sz w:val="20"/>
                <w:szCs w:val="20"/>
                <w:color w:val="auto"/>
              </w:rPr>
              <w:t>Title:</w:t>
            </w:r>
          </w:p>
        </w:tc>
        <w:tc>
          <w:tcPr>
            <w:tcW w:w="4620" w:type="dxa"/>
            <w:vAlign w:val="bottom"/>
          </w:tcPr>
          <w:p>
            <w:pPr>
              <w:jc w:val="center"/>
              <w:ind w:right="481"/>
              <w:spacing w:after="0"/>
              <w:rPr>
                <w:sz w:val="20"/>
                <w:szCs w:val="20"/>
                <w:color w:val="auto"/>
              </w:rPr>
            </w:pPr>
            <w:r>
              <w:rPr>
                <w:rFonts w:ascii="Arial" w:cs="Arial" w:eastAsia="Arial" w:hAnsi="Arial"/>
                <w:sz w:val="20"/>
                <w:szCs w:val="20"/>
                <w:i w:val="1"/>
                <w:iCs w:val="1"/>
                <w:color w:val="auto"/>
                <w:w w:val="90"/>
              </w:rPr>
              <w:t>President and Chief Executive Officer</w:t>
            </w:r>
          </w:p>
        </w:tc>
      </w:tr>
      <w:tr>
        <w:trPr>
          <w:trHeight w:val="810"/>
        </w:trPr>
        <w:tc>
          <w:tcPr>
            <w:tcW w:w="1680" w:type="dxa"/>
            <w:vAlign w:val="bottom"/>
            <w:gridSpan w:val="2"/>
          </w:tcPr>
          <w:p>
            <w:pPr>
              <w:spacing w:after="0"/>
              <w:rPr>
                <w:sz w:val="20"/>
                <w:szCs w:val="20"/>
                <w:color w:val="auto"/>
              </w:rPr>
            </w:pPr>
            <w:r>
              <w:rPr>
                <w:rFonts w:ascii="Arial" w:cs="Arial" w:eastAsia="Arial" w:hAnsi="Arial"/>
                <w:sz w:val="20"/>
                <w:szCs w:val="20"/>
                <w:b w:val="1"/>
                <w:bCs w:val="1"/>
                <w:color w:val="auto"/>
              </w:rPr>
              <w:t>EXECUTIVE</w:t>
            </w:r>
          </w:p>
        </w:tc>
        <w:tc>
          <w:tcPr>
            <w:tcW w:w="4620" w:type="dxa"/>
            <w:vAlign w:val="bottom"/>
          </w:tcPr>
          <w:p>
            <w:pPr>
              <w:spacing w:after="0"/>
              <w:rPr>
                <w:sz w:val="24"/>
                <w:szCs w:val="24"/>
                <w:color w:val="auto"/>
              </w:rPr>
            </w:pPr>
          </w:p>
        </w:tc>
      </w:tr>
      <w:tr>
        <w:trPr>
          <w:trHeight w:val="283"/>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20" w:type="dxa"/>
            <w:vAlign w:val="bottom"/>
          </w:tcPr>
          <w:p>
            <w:pPr>
              <w:jc w:val="center"/>
              <w:ind w:right="461"/>
              <w:spacing w:after="0"/>
              <w:rPr>
                <w:sz w:val="20"/>
                <w:szCs w:val="20"/>
                <w:color w:val="auto"/>
              </w:rPr>
            </w:pPr>
            <w:r>
              <w:rPr>
                <w:rFonts w:ascii="Arial" w:cs="Arial" w:eastAsia="Arial" w:hAnsi="Arial"/>
                <w:sz w:val="20"/>
                <w:szCs w:val="20"/>
                <w:color w:val="auto"/>
                <w:w w:val="90"/>
              </w:rPr>
              <w:t>/s/ Kevin Tan</w:t>
            </w:r>
          </w:p>
        </w:tc>
      </w:tr>
      <w:tr>
        <w:trPr>
          <w:trHeight w:val="23"/>
        </w:trPr>
        <w:tc>
          <w:tcPr>
            <w:tcW w:w="1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4"/>
        </w:trPr>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20" w:type="dxa"/>
            <w:vAlign w:val="bottom"/>
          </w:tcPr>
          <w:p>
            <w:pPr>
              <w:jc w:val="center"/>
              <w:ind w:right="461"/>
              <w:spacing w:after="0"/>
              <w:rPr>
                <w:sz w:val="20"/>
                <w:szCs w:val="20"/>
                <w:color w:val="auto"/>
              </w:rPr>
            </w:pPr>
            <w:r>
              <w:rPr>
                <w:rFonts w:ascii="Arial" w:cs="Arial" w:eastAsia="Arial" w:hAnsi="Arial"/>
                <w:sz w:val="20"/>
                <w:szCs w:val="20"/>
                <w:color w:val="auto"/>
              </w:rPr>
              <w:t>KEVIN TAN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9760"/>
          </w:cols>
          <w:pgMar w:left="980" w:top="1311" w:right="11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ind w:firstLine="383"/>
        <w:spacing w:after="0" w:line="269" w:lineRule="auto"/>
        <w:rPr>
          <w:sz w:val="20"/>
          <w:szCs w:val="20"/>
          <w:color w:val="auto"/>
        </w:rPr>
      </w:pPr>
      <w:r>
        <w:rPr>
          <w:rFonts w:ascii="Arial" w:cs="Arial" w:eastAsia="Arial" w:hAnsi="Arial"/>
          <w:sz w:val="19"/>
          <w:szCs w:val="19"/>
          <w:color w:val="auto"/>
        </w:rPr>
        <w:t>This Separation Agreement and Release (“Agreement”) is made by and between KEVIN TAN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WHEREAS, the Parties have previously entered into that certain Employment Agreement, dated as of _____________, 2021 (the</w:t>
      </w:r>
    </w:p>
    <w:p>
      <w:pPr>
        <w:spacing w:after="0" w:line="3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“Employment Agreement”) and that certain Employee Nondisclosure, Noncompetition and Assignment of Intellectual Property Agreement, dated as of ________, 2021 (the “RCA”); and</w:t>
      </w:r>
    </w:p>
    <w:p>
      <w:pPr>
        <w:spacing w:after="0" w:line="83" w:lineRule="exact"/>
        <w:rPr>
          <w:sz w:val="20"/>
          <w:szCs w:val="20"/>
          <w:color w:val="auto"/>
        </w:rPr>
      </w:pPr>
    </w:p>
    <w:p>
      <w:pPr>
        <w:ind w:right="180" w:firstLine="383"/>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62" w:lineRule="exact"/>
        <w:rPr>
          <w:sz w:val="20"/>
          <w:szCs w:val="20"/>
          <w:color w:val="auto"/>
        </w:rPr>
      </w:pPr>
    </w:p>
    <w:p>
      <w:pPr>
        <w:ind w:right="240" w:firstLine="387"/>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2" w:lineRule="exact"/>
        <w:rPr>
          <w:sz w:val="20"/>
          <w:szCs w:val="20"/>
          <w:color w:val="auto"/>
        </w:rPr>
      </w:pPr>
    </w:p>
    <w:p>
      <w:pPr>
        <w:ind w:right="340" w:firstLine="206"/>
        <w:spacing w:after="0" w:line="260" w:lineRule="auto"/>
        <w:tabs>
          <w:tab w:leader="none" w:pos="5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Arial" w:cs="Arial" w:eastAsia="Arial" w:hAnsi="Arial"/>
          <w:sz w:val="19"/>
          <w:szCs w:val="19"/>
          <w:color w:val="auto"/>
        </w:rPr>
      </w:pPr>
    </w:p>
    <w:p>
      <w:pPr>
        <w:ind w:left="560" w:hanging="35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other than with respect to the Retained Claims, the foregoing consideration represents</w:t>
      </w:r>
    </w:p>
    <w:p>
      <w:pPr>
        <w:spacing w:after="0" w:line="38" w:lineRule="exact"/>
        <w:rPr>
          <w:rFonts w:ascii="Arial" w:cs="Arial" w:eastAsia="Arial" w:hAnsi="Arial"/>
          <w:sz w:val="18"/>
          <w:szCs w:val="18"/>
          <w:color w:val="auto"/>
        </w:rPr>
      </w:pPr>
    </w:p>
    <w:p>
      <w:pPr>
        <w:spacing w:after="0" w:line="270" w:lineRule="auto"/>
        <w:rPr>
          <w:rFonts w:ascii="Arial" w:cs="Arial" w:eastAsia="Arial" w:hAnsi="Arial"/>
          <w:sz w:val="18"/>
          <w:szCs w:val="18"/>
          <w:color w:val="auto"/>
        </w:rPr>
      </w:pPr>
      <w:r>
        <w:rPr>
          <w:rFonts w:ascii="Arial" w:cs="Arial" w:eastAsia="Arial" w:hAnsi="Arial"/>
          <w:sz w:val="18"/>
          <w:szCs w:val="18"/>
          <w:color w:val="auto"/>
        </w:rPr>
        <w:t>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73" w:lineRule="exact"/>
        <w:rPr>
          <w:rFonts w:ascii="Arial" w:cs="Arial" w:eastAsia="Arial" w:hAnsi="Arial"/>
          <w:sz w:val="18"/>
          <w:szCs w:val="18"/>
          <w:color w:val="auto"/>
        </w:rPr>
      </w:pPr>
    </w:p>
    <w:p>
      <w:pPr>
        <w:ind w:right="40" w:firstLine="404"/>
        <w:spacing w:after="0" w:line="260" w:lineRule="auto"/>
        <w:tabs>
          <w:tab w:leader="none" w:pos="813"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20"/>
          </w:cols>
          <w:pgMar w:left="320" w:top="1089" w:right="359" w:bottom="1440" w:gutter="0" w:footer="0" w:header="0"/>
        </w:sectPr>
      </w:pPr>
    </w:p>
    <w:bookmarkStart w:id="61" w:name="page62"/>
    <w:bookmarkEnd w:id="61"/>
    <w:p>
      <w:pPr>
        <w:ind w:right="440" w:firstLine="404"/>
        <w:spacing w:after="0" w:line="291" w:lineRule="auto"/>
        <w:tabs>
          <w:tab w:leader="none" w:pos="8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220" w:firstLine="404"/>
        <w:spacing w:after="0" w:line="278" w:lineRule="auto"/>
        <w:tabs>
          <w:tab w:leader="none" w:pos="8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4" w:lineRule="exact"/>
        <w:rPr>
          <w:rFonts w:ascii="Arial" w:cs="Arial" w:eastAsia="Arial" w:hAnsi="Arial"/>
          <w:sz w:val="18"/>
          <w:szCs w:val="18"/>
          <w:color w:val="auto"/>
        </w:rPr>
      </w:pPr>
    </w:p>
    <w:p>
      <w:pPr>
        <w:ind w:right="40" w:firstLine="404"/>
        <w:spacing w:after="0" w:line="244" w:lineRule="auto"/>
        <w:tabs>
          <w:tab w:leader="none" w:pos="824"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820" w:hanging="416"/>
        <w:spacing w:after="0"/>
        <w:tabs>
          <w:tab w:leader="none" w:pos="8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840" w:hanging="436"/>
        <w:spacing w:after="0"/>
        <w:tabs>
          <w:tab w:leader="none" w:pos="8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and all claims arising out of any other laws and regulations relating to employment or employment discrimination;</w:t>
      </w:r>
    </w:p>
    <w:p>
      <w:pPr>
        <w:spacing w:after="0" w:line="215" w:lineRule="exact"/>
        <w:rPr>
          <w:rFonts w:ascii="Arial" w:cs="Arial" w:eastAsia="Arial" w:hAnsi="Arial"/>
          <w:sz w:val="20"/>
          <w:szCs w:val="20"/>
          <w:color w:val="auto"/>
        </w:rPr>
      </w:pPr>
    </w:p>
    <w:p>
      <w:pPr>
        <w:ind w:right="140" w:firstLine="404"/>
        <w:spacing w:after="0" w:line="260" w:lineRule="auto"/>
        <w:tabs>
          <w:tab w:leader="none" w:pos="824"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right="360" w:firstLine="404"/>
        <w:spacing w:after="0" w:line="250" w:lineRule="auto"/>
        <w:tabs>
          <w:tab w:leader="none" w:pos="824"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5" w:lineRule="exact"/>
        <w:rPr>
          <w:rFonts w:ascii="Arial" w:cs="Arial" w:eastAsia="Arial" w:hAnsi="Arial"/>
          <w:sz w:val="20"/>
          <w:szCs w:val="20"/>
          <w:color w:val="auto"/>
        </w:rPr>
      </w:pPr>
    </w:p>
    <w:p>
      <w:pPr>
        <w:ind w:left="780" w:hanging="376"/>
        <w:spacing w:after="0"/>
        <w:tabs>
          <w:tab w:leader="none" w:pos="7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11" w:right="339" w:bottom="1440" w:gutter="0" w:footer="0" w:header="0"/>
        </w:sectPr>
      </w:pPr>
    </w:p>
    <w:bookmarkStart w:id="62" w:name="page63"/>
    <w:bookmarkEnd w:id="62"/>
    <w:p>
      <w:pPr>
        <w:ind w:right="420"/>
        <w:spacing w:after="0" w:line="260" w:lineRule="auto"/>
        <w:rPr>
          <w:sz w:val="20"/>
          <w:szCs w:val="20"/>
          <w:color w:val="auto"/>
        </w:rPr>
      </w:pPr>
      <w:r>
        <w:rPr>
          <w:rFonts w:ascii="Arial" w:cs="Arial" w:eastAsia="Arial" w:hAnsi="Arial"/>
          <w:sz w:val="20"/>
          <w:szCs w:val="20"/>
          <w:color w:val="auto"/>
        </w:rPr>
        <w:t>Retained Claims. This release further does not release claims for breach of Section 3(c), Section 4(b) or Section 4(c) of the Employment Agreement arising after the date Executive signs this Agreement.</w:t>
      </w:r>
    </w:p>
    <w:p>
      <w:pPr>
        <w:spacing w:after="0" w:line="177" w:lineRule="exact"/>
        <w:rPr>
          <w:sz w:val="20"/>
          <w:szCs w:val="20"/>
          <w:color w:val="auto"/>
        </w:rPr>
      </w:pPr>
    </w:p>
    <w:p>
      <w:pPr>
        <w:ind w:firstLine="198"/>
        <w:spacing w:after="0" w:line="264"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days within which to consider this Agreement, and the parties agree that such time period to review this Agreement shall not be extended upon any material or immaterial changes to this Agreement; (c) Executive has 7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78"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u w:val="single" w:color="auto"/>
          <w:color w:val="auto"/>
        </w:rPr>
        <w:t>Restrictive Covenants</w:t>
      </w:r>
      <w:r>
        <w:rPr>
          <w:rFonts w:ascii="Arial" w:cs="Arial" w:eastAsia="Arial" w:hAnsi="Arial"/>
          <w:sz w:val="16"/>
          <w:szCs w:val="16"/>
          <w:color w:val="auto"/>
        </w:rPr>
        <w:t>.</w:t>
      </w:r>
    </w:p>
    <w:p>
      <w:pPr>
        <w:spacing w:after="0" w:line="216" w:lineRule="exact"/>
        <w:rPr>
          <w:sz w:val="20"/>
          <w:szCs w:val="20"/>
          <w:color w:val="auto"/>
        </w:rPr>
      </w:pPr>
    </w:p>
    <w:p>
      <w:pPr>
        <w:ind w:right="40" w:firstLine="396"/>
        <w:spacing w:after="0" w:line="243" w:lineRule="auto"/>
        <w:rPr>
          <w:sz w:val="20"/>
          <w:szCs w:val="20"/>
          <w:color w:val="auto"/>
        </w:rPr>
      </w:pPr>
      <w:r>
        <w:rPr>
          <w:rFonts w:ascii="Arial" w:cs="Arial" w:eastAsia="Arial" w:hAnsi="Arial"/>
          <w:sz w:val="20"/>
          <w:szCs w:val="20"/>
          <w:color w:val="auto"/>
        </w:rPr>
        <w:t>(a) Executive acknowledges and agrees that the restrictive covenants and other post-termination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by removing Section 6, and each subpart thereto, of the RCA, which shall be of no further force or effect upon the Effective Date (as defined below). Executive represents and warrants that Executive has complied with all provisions of the RCA at all times through the Effective Date.</w:t>
      </w:r>
    </w:p>
    <w:p>
      <w:pPr>
        <w:spacing w:after="0" w:line="193" w:lineRule="exact"/>
        <w:rPr>
          <w:sz w:val="20"/>
          <w:szCs w:val="20"/>
          <w:color w:val="auto"/>
        </w:rPr>
      </w:pPr>
    </w:p>
    <w:p>
      <w:pPr>
        <w:ind w:firstLine="396"/>
        <w:spacing w:after="0" w:line="269" w:lineRule="auto"/>
        <w:rPr>
          <w:sz w:val="20"/>
          <w:szCs w:val="20"/>
          <w:color w:val="auto"/>
        </w:rPr>
      </w:pPr>
      <w:r>
        <w:rPr>
          <w:rFonts w:ascii="Arial" w:cs="Arial" w:eastAsia="Arial" w:hAnsi="Arial"/>
          <w:sz w:val="18"/>
          <w:szCs w:val="18"/>
          <w:color w:val="auto"/>
        </w:rPr>
        <w:t>(b) In consideration for the severance payments and benefits set forth in Section 1 of this Agreement, Executive agrees for a period of 12 months after the Effective Date (the “Noncompetition Restricted Period”) to not directly or indirectly, on Executive’s own behalf or for the benefit of any other 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being developed, marketed, distributed, planned, sold or otherwise provided by the Company or its affiliates at the time of, or during the 12 months preceding, Executive’s termination from the Company (a “Competing Business”)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Effective Date. Without limiting the Company’s ability to seek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 xml:space="preserve"> To be determined by the Company at the time of separation.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311" w:right="359" w:bottom="1440" w:gutter="0" w:footer="0" w:header="0"/>
        </w:sectPr>
      </w:pPr>
    </w:p>
    <w:bookmarkStart w:id="63" w:name="page64"/>
    <w:bookmarkEnd w:id="63"/>
    <w:p>
      <w:pPr>
        <w:ind w:right="280"/>
        <w:spacing w:after="0" w:line="269" w:lineRule="auto"/>
        <w:rPr>
          <w:sz w:val="20"/>
          <w:szCs w:val="20"/>
          <w:color w:val="auto"/>
        </w:rPr>
      </w:pPr>
      <w:r>
        <w:rPr>
          <w:rFonts w:ascii="Arial" w:cs="Arial" w:eastAsia="Arial" w:hAnsi="Arial"/>
          <w:sz w:val="19"/>
          <w:szCs w:val="19"/>
          <w:color w:val="auto"/>
        </w:rPr>
        <w:t>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170" w:lineRule="exact"/>
        <w:rPr>
          <w:sz w:val="20"/>
          <w:szCs w:val="20"/>
          <w:color w:val="auto"/>
        </w:rPr>
      </w:pPr>
    </w:p>
    <w:p>
      <w:pPr>
        <w:ind w:right="80" w:firstLine="404"/>
        <w:spacing w:after="0" w:line="243" w:lineRule="auto"/>
        <w:tabs>
          <w:tab w:leader="none" w:pos="813" w:val="left"/>
        </w:tabs>
        <w:numPr>
          <w:ilvl w:val="1"/>
          <w:numId w:val="38"/>
        </w:numPr>
        <w:rPr>
          <w:rFonts w:ascii="Arial" w:cs="Arial" w:eastAsia="Arial" w:hAnsi="Arial"/>
          <w:sz w:val="20"/>
          <w:szCs w:val="20"/>
          <w:color w:val="auto"/>
        </w:rPr>
      </w:pPr>
      <w:r>
        <w:rPr>
          <w:rFonts w:ascii="Arial" w:cs="Arial" w:eastAsia="Arial" w:hAnsi="Arial"/>
          <w:sz w:val="20"/>
          <w:szCs w:val="20"/>
          <w:color w:val="auto"/>
        </w:rPr>
        <w:t>Executive’s continued compliance with the terms of the RCA (as modified in Section 4(a) above) and the noncompetition obligations set forth in Section 4(b) above (collectively, the “Restrictive Covenants”) is a material condition to receipt of the severance payments and benefits set forth in Section 1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192" w:lineRule="exact"/>
        <w:rPr>
          <w:rFonts w:ascii="Arial" w:cs="Arial" w:eastAsia="Arial" w:hAnsi="Arial"/>
          <w:sz w:val="20"/>
          <w:szCs w:val="20"/>
          <w:color w:val="auto"/>
        </w:rPr>
      </w:pPr>
    </w:p>
    <w:p>
      <w:pPr>
        <w:ind w:right="20" w:firstLine="404"/>
        <w:spacing w:after="0" w:line="291" w:lineRule="auto"/>
        <w:tabs>
          <w:tab w:leader="none" w:pos="8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151" w:lineRule="exact"/>
        <w:rPr>
          <w:rFonts w:ascii="Arial" w:cs="Arial" w:eastAsia="Arial" w:hAnsi="Arial"/>
          <w:sz w:val="18"/>
          <w:szCs w:val="18"/>
          <w:color w:val="auto"/>
        </w:rPr>
      </w:pPr>
    </w:p>
    <w:p>
      <w:pPr>
        <w:ind w:right="140" w:firstLine="206"/>
        <w:spacing w:after="0" w:line="259" w:lineRule="auto"/>
        <w:tabs>
          <w:tab w:leader="none" w:pos="54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Executive agrees that, at all times, Executive shall refrain from making any negative, critical, or disparaging statements, implied or express, concerning the Company, its affiliates and their respective directors, officers, agents, or employees. The Company agrees that it shall instruct the members of the Board and senior management of the Company to refrain from making any negative, critical, or disparaging statements, implied or express, concerning Executive. However, nothing in this Section 5 prohibits either Party’s disclosure of information that is required to be disclosed to enforce this Agreement or to comply with applicable law or order of a court or other regulatory body of competent jurisdiction.</w:t>
      </w:r>
    </w:p>
    <w:p>
      <w:pPr>
        <w:spacing w:after="0" w:line="178" w:lineRule="exact"/>
        <w:rPr>
          <w:rFonts w:ascii="Arial" w:cs="Arial" w:eastAsia="Arial" w:hAnsi="Arial"/>
          <w:sz w:val="19"/>
          <w:szCs w:val="19"/>
          <w:color w:val="auto"/>
        </w:rPr>
      </w:pPr>
    </w:p>
    <w:p>
      <w:pPr>
        <w:ind w:right="40" w:firstLine="206"/>
        <w:spacing w:after="0" w:line="276" w:lineRule="auto"/>
        <w:tabs>
          <w:tab w:leader="none" w:pos="5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Trade Secrets</w:t>
      </w:r>
      <w:r>
        <w:rPr>
          <w:rFonts w:ascii="Arial" w:cs="Arial" w:eastAsia="Arial" w:hAnsi="Arial"/>
          <w:sz w:val="18"/>
          <w:szCs w:val="18"/>
          <w:color w:val="auto"/>
        </w:rPr>
        <w:t>. In accordance with 18 U.S.C. § 1833, notwithstanding anything to the contrary in this Agreement, the Employment Agreement or the RCA (together, the “Subject Documents”): (i) Executive shall not be in breach of any Subject Document,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nothing in any Subject Document prevents Executive from reporting possible violations of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w:t>
      </w:r>
    </w:p>
    <w:p>
      <w:pPr>
        <w:spacing w:after="0" w:line="167" w:lineRule="exact"/>
        <w:rPr>
          <w:rFonts w:ascii="Arial" w:cs="Arial" w:eastAsia="Arial" w:hAnsi="Arial"/>
          <w:sz w:val="18"/>
          <w:szCs w:val="18"/>
          <w:color w:val="auto"/>
        </w:rPr>
      </w:pPr>
    </w:p>
    <w:p>
      <w:pPr>
        <w:ind w:firstLine="206"/>
        <w:spacing w:after="0" w:line="250" w:lineRule="auto"/>
        <w:tabs>
          <w:tab w:leader="none" w:pos="5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5" w:lineRule="exact"/>
        <w:rPr>
          <w:rFonts w:ascii="Arial" w:cs="Arial" w:eastAsia="Arial" w:hAnsi="Arial"/>
          <w:sz w:val="20"/>
          <w:szCs w:val="20"/>
          <w:color w:val="auto"/>
        </w:rPr>
      </w:pPr>
    </w:p>
    <w:p>
      <w:pPr>
        <w:ind w:right="340" w:firstLine="206"/>
        <w:spacing w:after="0" w:line="260" w:lineRule="auto"/>
        <w:tabs>
          <w:tab w:leader="none" w:pos="5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Executive and a duly authorized officer of the Company.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11" w:right="339" w:bottom="1440" w:gutter="0" w:footer="0" w:header="0"/>
        </w:sectPr>
      </w:pPr>
    </w:p>
    <w:bookmarkStart w:id="64" w:name="page65"/>
    <w:bookmarkEnd w:id="64"/>
    <w:p>
      <w:pPr>
        <w:ind w:left="552" w:hanging="354"/>
        <w:spacing w:after="0"/>
        <w:tabs>
          <w:tab w:leader="none" w:pos="55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subject to the provisions of Sections 9(a) and 9(c) of the Employment Agreement.</w:t>
      </w:r>
    </w:p>
    <w:p>
      <w:pPr>
        <w:spacing w:after="0" w:line="227" w:lineRule="exact"/>
        <w:rPr>
          <w:rFonts w:ascii="Arial" w:cs="Arial" w:eastAsia="Arial" w:hAnsi="Arial"/>
          <w:sz w:val="19"/>
          <w:szCs w:val="19"/>
          <w:color w:val="auto"/>
        </w:rPr>
      </w:pPr>
    </w:p>
    <w:p>
      <w:pPr>
        <w:ind w:left="-8" w:right="20" w:firstLine="206"/>
        <w:spacing w:after="0" w:line="276" w:lineRule="auto"/>
        <w:tabs>
          <w:tab w:leader="none" w:pos="63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has seven (7) business days after Executive signs this Agreement to revoke it, and this Agreement will become effective on the eighth (8th) business day after Executive signed this Agreement (the “Effective Date”), so long as it has been signed by the Parties and has not been revoked by either Party before such date. For the avoidance of doubt, if Executive revokes this Agreement as provided herein, the Parties’ modification to the RCA set forth in Section 4(a) above shall be void and of no effect. Unless the Company has elected or elects to expressly waive Executive’s noncompetition obligations set forth in Section 6(a) of the RCA as provided in Section 10(e) of the RCA, the RCA, including without limitation Section 6 of the RCA, shall remain in full force and effect.</w:t>
      </w:r>
    </w:p>
    <w:p>
      <w:pPr>
        <w:spacing w:after="0" w:line="164" w:lineRule="exact"/>
        <w:rPr>
          <w:rFonts w:ascii="Arial" w:cs="Arial" w:eastAsia="Arial" w:hAnsi="Arial"/>
          <w:sz w:val="18"/>
          <w:szCs w:val="18"/>
          <w:color w:val="auto"/>
        </w:rPr>
      </w:pPr>
    </w:p>
    <w:p>
      <w:pPr>
        <w:ind w:left="-8" w:right="180" w:firstLine="206"/>
        <w:spacing w:after="0" w:line="304" w:lineRule="auto"/>
        <w:tabs>
          <w:tab w:leader="none" w:pos="628"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Voluntary Execution of Agreement</w:t>
      </w:r>
      <w:r>
        <w:rPr>
          <w:rFonts w:ascii="Arial" w:cs="Arial" w:eastAsia="Arial" w:hAnsi="Arial"/>
          <w:sz w:val="16"/>
          <w:szCs w:val="16"/>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w:t>
      </w:r>
    </w:p>
    <w:p>
      <w:pPr>
        <w:spacing w:after="0" w:line="1" w:lineRule="exact"/>
        <w:rPr>
          <w:rFonts w:ascii="Arial" w:cs="Arial" w:eastAsia="Arial" w:hAnsi="Arial"/>
          <w:sz w:val="16"/>
          <w:szCs w:val="16"/>
          <w:color w:val="auto"/>
        </w:rPr>
      </w:pPr>
    </w:p>
    <w:p>
      <w:pPr>
        <w:ind w:left="-8" w:firstLine="8"/>
        <w:spacing w:after="0" w:line="260" w:lineRule="auto"/>
        <w:tabs>
          <w:tab w:leader="none" w:pos="261" w:val="left"/>
        </w:tabs>
        <w:numPr>
          <w:ilvl w:val="0"/>
          <w:numId w:val="41"/>
        </w:numPr>
        <w:rPr>
          <w:rFonts w:ascii="Arial" w:cs="Arial" w:eastAsia="Arial" w:hAnsi="Arial"/>
          <w:sz w:val="19"/>
          <w:szCs w:val="19"/>
          <w:color w:val="auto"/>
        </w:rPr>
      </w:pPr>
      <w:r>
        <w:rPr>
          <w:rFonts w:ascii="Arial" w:cs="Arial" w:eastAsia="Arial" w:hAnsi="Arial"/>
          <w:sz w:val="19"/>
          <w:szCs w:val="19"/>
          <w:color w:val="auto"/>
        </w:rPr>
        <w:t>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8" w:lineRule="exact"/>
        <w:rPr>
          <w:sz w:val="20"/>
          <w:szCs w:val="20"/>
          <w:color w:val="auto"/>
        </w:rPr>
      </w:pPr>
    </w:p>
    <w:p>
      <w:pPr>
        <w:ind w:left="392"/>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307" w:lineRule="exact"/>
        <w:rPr>
          <w:sz w:val="20"/>
          <w:szCs w:val="20"/>
          <w:color w:val="auto"/>
        </w:rPr>
      </w:pPr>
    </w:p>
    <w:tbl>
      <w:tblPr>
        <w:tblLayout w:type="fixed"/>
        <w:tblInd w:w="432" w:type="dxa"/>
        <w:tblCellMar>
          <w:top w:w="0" w:type="dxa"/>
          <w:left w:w="0" w:type="dxa"/>
          <w:bottom w:w="0" w:type="dxa"/>
          <w:right w:w="0" w:type="dxa"/>
        </w:tblCellMar>
      </w:tblPr>
      <w:tr>
        <w:trPr>
          <w:trHeight w:val="256"/>
        </w:trPr>
        <w:tc>
          <w:tcPr>
            <w:tcW w:w="2300" w:type="dxa"/>
            <w:vAlign w:val="bottom"/>
          </w:tcPr>
          <w:p>
            <w:pPr>
              <w:spacing w:after="0"/>
              <w:rPr>
                <w:sz w:val="22"/>
                <w:szCs w:val="22"/>
                <w:color w:val="auto"/>
              </w:rPr>
            </w:pPr>
          </w:p>
        </w:tc>
        <w:tc>
          <w:tcPr>
            <w:tcW w:w="3480" w:type="dxa"/>
            <w:vAlign w:val="bottom"/>
            <w:gridSpan w:val="2"/>
          </w:tcPr>
          <w:p>
            <w:pPr>
              <w:ind w:left="1780"/>
              <w:spacing w:after="0"/>
              <w:rPr>
                <w:sz w:val="20"/>
                <w:szCs w:val="20"/>
                <w:color w:val="auto"/>
              </w:rPr>
            </w:pPr>
            <w:r>
              <w:rPr>
                <w:rFonts w:ascii="Arial" w:cs="Arial" w:eastAsia="Arial" w:hAnsi="Arial"/>
                <w:sz w:val="20"/>
                <w:szCs w:val="20"/>
                <w:b w:val="1"/>
                <w:bCs w:val="1"/>
                <w:color w:val="auto"/>
              </w:rPr>
              <w:t>EXECUTIVE</w:t>
            </w:r>
          </w:p>
        </w:tc>
        <w:tc>
          <w:tcPr>
            <w:tcW w:w="4620" w:type="dxa"/>
            <w:vAlign w:val="bottom"/>
          </w:tcPr>
          <w:p>
            <w:pPr>
              <w:spacing w:after="0"/>
              <w:rPr>
                <w:sz w:val="22"/>
                <w:szCs w:val="22"/>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20"/>
                <w:szCs w:val="20"/>
                <w:color w:val="auto"/>
              </w:rPr>
              <w:t>Dated:</w:t>
            </w:r>
          </w:p>
        </w:tc>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jc w:val="center"/>
              <w:ind w:right="501"/>
              <w:spacing w:after="0"/>
              <w:rPr>
                <w:sz w:val="20"/>
                <w:szCs w:val="20"/>
                <w:color w:val="auto"/>
              </w:rPr>
            </w:pPr>
            <w:r>
              <w:rPr>
                <w:rFonts w:ascii="Arial" w:cs="Arial" w:eastAsia="Arial" w:hAnsi="Arial"/>
                <w:sz w:val="20"/>
                <w:szCs w:val="20"/>
                <w:color w:val="auto"/>
                <w:w w:val="90"/>
              </w:rPr>
              <w:t>/s/ Kevin Tan</w:t>
            </w:r>
          </w:p>
        </w:tc>
      </w:tr>
      <w:tr>
        <w:trPr>
          <w:trHeight w:val="23"/>
        </w:trPr>
        <w:tc>
          <w:tcPr>
            <w:tcW w:w="2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4"/>
        </w:trPr>
        <w:tc>
          <w:tcPr>
            <w:tcW w:w="23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20" w:type="dxa"/>
            <w:vAlign w:val="bottom"/>
          </w:tcPr>
          <w:p>
            <w:pPr>
              <w:jc w:val="center"/>
              <w:ind w:right="501"/>
              <w:spacing w:after="0"/>
              <w:rPr>
                <w:sz w:val="20"/>
                <w:szCs w:val="20"/>
                <w:color w:val="auto"/>
              </w:rPr>
            </w:pPr>
            <w:r>
              <w:rPr>
                <w:rFonts w:ascii="Arial" w:cs="Arial" w:eastAsia="Arial" w:hAnsi="Arial"/>
                <w:sz w:val="20"/>
                <w:szCs w:val="20"/>
                <w:color w:val="auto"/>
                <w:w w:val="91"/>
              </w:rPr>
              <w:t>Kevin Tan</w:t>
            </w:r>
          </w:p>
        </w:tc>
      </w:tr>
      <w:tr>
        <w:trPr>
          <w:trHeight w:val="823"/>
        </w:trPr>
        <w:tc>
          <w:tcPr>
            <w:tcW w:w="2300" w:type="dxa"/>
            <w:vAlign w:val="bottom"/>
          </w:tcPr>
          <w:p>
            <w:pPr>
              <w:spacing w:after="0"/>
              <w:rPr>
                <w:sz w:val="24"/>
                <w:szCs w:val="24"/>
                <w:color w:val="auto"/>
              </w:rPr>
            </w:pPr>
          </w:p>
        </w:tc>
        <w:tc>
          <w:tcPr>
            <w:tcW w:w="8100" w:type="dxa"/>
            <w:vAlign w:val="bottom"/>
            <w:gridSpan w:val="3"/>
          </w:tcPr>
          <w:p>
            <w:pPr>
              <w:ind w:left="1780"/>
              <w:spacing w:after="0"/>
              <w:rPr>
                <w:sz w:val="20"/>
                <w:szCs w:val="20"/>
                <w:color w:val="auto"/>
              </w:rPr>
            </w:pPr>
            <w:r>
              <w:rPr>
                <w:rFonts w:ascii="Arial" w:cs="Arial" w:eastAsia="Arial" w:hAnsi="Arial"/>
                <w:sz w:val="20"/>
                <w:szCs w:val="20"/>
                <w:b w:val="1"/>
                <w:bCs w:val="1"/>
                <w:color w:val="auto"/>
              </w:rPr>
              <w:t>SELECTA BIOSCIENCES, INC.</w:t>
            </w:r>
          </w:p>
        </w:tc>
      </w:tr>
      <w:tr>
        <w:trPr>
          <w:trHeight w:val="283"/>
        </w:trPr>
        <w:tc>
          <w:tcPr>
            <w:tcW w:w="2300" w:type="dxa"/>
            <w:vAlign w:val="bottom"/>
          </w:tcPr>
          <w:p>
            <w:pPr>
              <w:spacing w:after="0"/>
              <w:rPr>
                <w:sz w:val="20"/>
                <w:szCs w:val="20"/>
                <w:color w:val="auto"/>
              </w:rPr>
            </w:pPr>
            <w:r>
              <w:rPr>
                <w:rFonts w:ascii="Arial" w:cs="Arial" w:eastAsia="Arial" w:hAnsi="Arial"/>
                <w:sz w:val="20"/>
                <w:szCs w:val="20"/>
                <w:color w:val="auto"/>
              </w:rPr>
              <w:t>Dated:</w:t>
            </w:r>
          </w:p>
        </w:tc>
        <w:tc>
          <w:tcPr>
            <w:tcW w:w="3480" w:type="dxa"/>
            <w:vAlign w:val="bottom"/>
            <w:gridSpan w:val="2"/>
          </w:tcPr>
          <w:p>
            <w:pPr>
              <w:ind w:left="1780"/>
              <w:spacing w:after="0"/>
              <w:rPr>
                <w:sz w:val="20"/>
                <w:szCs w:val="20"/>
                <w:color w:val="auto"/>
              </w:rPr>
            </w:pPr>
            <w:r>
              <w:rPr>
                <w:rFonts w:ascii="Arial" w:cs="Arial" w:eastAsia="Arial" w:hAnsi="Arial"/>
                <w:sz w:val="20"/>
                <w:szCs w:val="20"/>
                <w:color w:val="auto"/>
              </w:rPr>
              <w:t>By:</w:t>
            </w:r>
          </w:p>
        </w:tc>
        <w:tc>
          <w:tcPr>
            <w:tcW w:w="4620" w:type="dxa"/>
            <w:vAlign w:val="bottom"/>
          </w:tcPr>
          <w:p>
            <w:pPr>
              <w:jc w:val="center"/>
              <w:ind w:right="501"/>
              <w:spacing w:after="0"/>
              <w:rPr>
                <w:sz w:val="20"/>
                <w:szCs w:val="20"/>
                <w:color w:val="auto"/>
              </w:rPr>
            </w:pPr>
            <w:r>
              <w:rPr>
                <w:rFonts w:ascii="Arial" w:cs="Arial" w:eastAsia="Arial" w:hAnsi="Arial"/>
                <w:sz w:val="20"/>
                <w:szCs w:val="20"/>
                <w:color w:val="auto"/>
                <w:w w:val="89"/>
              </w:rPr>
              <w:t>/s/ Carsten Brunn, Ph.D.</w:t>
            </w:r>
          </w:p>
        </w:tc>
      </w:tr>
      <w:tr>
        <w:trPr>
          <w:trHeight w:val="23"/>
        </w:trPr>
        <w:tc>
          <w:tcPr>
            <w:tcW w:w="230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4620" w:type="dxa"/>
            <w:vAlign w:val="bottom"/>
          </w:tcPr>
          <w:p>
            <w:pPr>
              <w:spacing w:after="0"/>
              <w:rPr>
                <w:sz w:val="2"/>
                <w:szCs w:val="2"/>
                <w:color w:val="auto"/>
              </w:rPr>
            </w:pPr>
          </w:p>
        </w:tc>
      </w:tr>
      <w:tr>
        <w:trPr>
          <w:trHeight w:val="254"/>
        </w:trPr>
        <w:tc>
          <w:tcPr>
            <w:tcW w:w="2300" w:type="dxa"/>
            <w:vAlign w:val="bottom"/>
          </w:tcPr>
          <w:p>
            <w:pPr>
              <w:spacing w:after="0"/>
              <w:rPr>
                <w:sz w:val="22"/>
                <w:szCs w:val="22"/>
                <w:color w:val="auto"/>
              </w:rPr>
            </w:pPr>
          </w:p>
        </w:tc>
        <w:tc>
          <w:tcPr>
            <w:tcW w:w="2880" w:type="dxa"/>
            <w:vAlign w:val="bottom"/>
          </w:tcPr>
          <w:p>
            <w:pPr>
              <w:ind w:left="1780"/>
              <w:spacing w:after="0"/>
              <w:rPr>
                <w:sz w:val="20"/>
                <w:szCs w:val="20"/>
                <w:color w:val="auto"/>
              </w:rPr>
            </w:pPr>
            <w:r>
              <w:rPr>
                <w:rFonts w:ascii="Arial" w:cs="Arial" w:eastAsia="Arial" w:hAnsi="Arial"/>
                <w:sz w:val="20"/>
                <w:szCs w:val="20"/>
                <w:color w:val="auto"/>
              </w:rPr>
              <w:t>Name:</w:t>
            </w:r>
          </w:p>
        </w:tc>
        <w:tc>
          <w:tcPr>
            <w:tcW w:w="600" w:type="dxa"/>
            <w:vAlign w:val="bottom"/>
            <w:tcBorders>
              <w:top w:val="single" w:sz="8" w:color="auto"/>
            </w:tcBorders>
          </w:tcPr>
          <w:p>
            <w:pPr>
              <w:spacing w:after="0"/>
              <w:rPr>
                <w:sz w:val="22"/>
                <w:szCs w:val="22"/>
                <w:color w:val="auto"/>
              </w:rPr>
            </w:pPr>
          </w:p>
        </w:tc>
        <w:tc>
          <w:tcPr>
            <w:tcW w:w="4620" w:type="dxa"/>
            <w:vAlign w:val="bottom"/>
            <w:tcBorders>
              <w:top w:val="single" w:sz="8" w:color="auto"/>
            </w:tcBorders>
          </w:tcPr>
          <w:p>
            <w:pPr>
              <w:jc w:val="center"/>
              <w:ind w:right="501"/>
              <w:spacing w:after="0"/>
              <w:rPr>
                <w:sz w:val="20"/>
                <w:szCs w:val="20"/>
                <w:color w:val="auto"/>
              </w:rPr>
            </w:pPr>
            <w:r>
              <w:rPr>
                <w:rFonts w:ascii="Arial" w:cs="Arial" w:eastAsia="Arial" w:hAnsi="Arial"/>
                <w:sz w:val="20"/>
                <w:szCs w:val="20"/>
                <w:color w:val="auto"/>
                <w:w w:val="88"/>
              </w:rPr>
              <w:t>Carsten Brunn, Ph. D.</w:t>
            </w:r>
          </w:p>
        </w:tc>
      </w:tr>
      <w:tr>
        <w:trPr>
          <w:trHeight w:val="283"/>
        </w:trPr>
        <w:tc>
          <w:tcPr>
            <w:tcW w:w="2300" w:type="dxa"/>
            <w:vAlign w:val="bottom"/>
          </w:tcPr>
          <w:p>
            <w:pPr>
              <w:spacing w:after="0"/>
              <w:rPr>
                <w:sz w:val="24"/>
                <w:szCs w:val="24"/>
                <w:color w:val="auto"/>
              </w:rPr>
            </w:pPr>
          </w:p>
        </w:tc>
        <w:tc>
          <w:tcPr>
            <w:tcW w:w="3480" w:type="dxa"/>
            <w:vAlign w:val="bottom"/>
            <w:gridSpan w:val="2"/>
          </w:tcPr>
          <w:p>
            <w:pPr>
              <w:ind w:left="1780"/>
              <w:spacing w:after="0"/>
              <w:rPr>
                <w:sz w:val="20"/>
                <w:szCs w:val="20"/>
                <w:color w:val="auto"/>
              </w:rPr>
            </w:pPr>
            <w:r>
              <w:rPr>
                <w:rFonts w:ascii="Arial" w:cs="Arial" w:eastAsia="Arial" w:hAnsi="Arial"/>
                <w:sz w:val="20"/>
                <w:szCs w:val="20"/>
                <w:color w:val="auto"/>
              </w:rPr>
              <w:t>Title:</w:t>
            </w:r>
          </w:p>
        </w:tc>
        <w:tc>
          <w:tcPr>
            <w:tcW w:w="4620" w:type="dxa"/>
            <w:vAlign w:val="bottom"/>
          </w:tcPr>
          <w:p>
            <w:pPr>
              <w:jc w:val="center"/>
              <w:ind w:right="501"/>
              <w:spacing w:after="0"/>
              <w:rPr>
                <w:sz w:val="20"/>
                <w:szCs w:val="20"/>
                <w:color w:val="auto"/>
              </w:rPr>
            </w:pPr>
            <w:r>
              <w:rPr>
                <w:rFonts w:ascii="Arial" w:cs="Arial" w:eastAsia="Arial" w:hAnsi="Arial"/>
                <w:sz w:val="20"/>
                <w:szCs w:val="20"/>
                <w:i w:val="1"/>
                <w:iCs w:val="1"/>
                <w:color w:val="auto"/>
                <w:w w:val="90"/>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72"/>
          </w:cols>
          <w:pgMar w:left="328" w:top="1311" w:right="39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Nondisclosure, Noncompetition and Assignment of Intellectual Property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305"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305"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PROGRAM</w:t>
      </w:r>
    </w:p>
    <w:p>
      <w:pPr>
        <w:spacing w:after="0" w:line="2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Selecta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as amended by the Board effective March 30, 2021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Effective Date.</w:t>
      </w: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25" w:lineRule="exact"/>
        <w:rPr>
          <w:rFonts w:ascii="Arial" w:cs="Arial" w:eastAsia="Arial" w:hAnsi="Arial"/>
          <w:sz w:val="22"/>
          <w:szCs w:val="22"/>
          <w:b w:val="1"/>
          <w:bCs w:val="1"/>
          <w:color w:val="auto"/>
        </w:rPr>
      </w:pPr>
    </w:p>
    <w:p>
      <w:pPr>
        <w:ind w:left="640" w:hanging="308"/>
        <w:spacing w:after="0"/>
        <w:tabs>
          <w:tab w:leader="none" w:pos="64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$40,000 for service on the Board.</w:t>
      </w:r>
    </w:p>
    <w:p>
      <w:pPr>
        <w:spacing w:after="0" w:line="254" w:lineRule="exact"/>
        <w:rPr>
          <w:rFonts w:ascii="Arial" w:cs="Arial" w:eastAsia="Arial" w:hAnsi="Arial"/>
          <w:sz w:val="19"/>
          <w:szCs w:val="19"/>
          <w:color w:val="auto"/>
        </w:rPr>
      </w:pPr>
    </w:p>
    <w:p>
      <w:pPr>
        <w:ind w:left="660" w:hanging="328"/>
        <w:spacing w:after="0"/>
        <w:tabs>
          <w:tab w:leader="none" w:pos="660"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Retainers</w:t>
      </w:r>
      <w:r>
        <w:rPr>
          <w:rFonts w:ascii="Arial" w:cs="Arial" w:eastAsia="Arial" w:hAnsi="Arial"/>
          <w:sz w:val="21"/>
          <w:szCs w:val="21"/>
          <w:color w:val="auto"/>
        </w:rPr>
        <w:t>. In addition, each Non-Employee Director shall receive the following annual retainers:</w:t>
      </w:r>
    </w:p>
    <w:p>
      <w:pPr>
        <w:spacing w:after="0" w:line="231" w:lineRule="exact"/>
        <w:rPr>
          <w:rFonts w:ascii="Arial" w:cs="Arial" w:eastAsia="Arial" w:hAnsi="Arial"/>
          <w:sz w:val="21"/>
          <w:szCs w:val="21"/>
          <w:color w:val="auto"/>
        </w:rPr>
      </w:pPr>
    </w:p>
    <w:p>
      <w:pPr>
        <w:jc w:val="both"/>
        <w:ind w:left="1300" w:hanging="320"/>
        <w:spacing w:after="0" w:line="312" w:lineRule="auto"/>
        <w:tabs>
          <w:tab w:leader="none" w:pos="1300" w:val="left"/>
        </w:tabs>
        <w:numPr>
          <w:ilvl w:val="2"/>
          <w:numId w:val="42"/>
        </w:numPr>
        <w:rPr>
          <w:rFonts w:ascii="Arial" w:cs="Arial" w:eastAsia="Arial" w:hAnsi="Arial"/>
          <w:sz w:val="19"/>
          <w:szCs w:val="19"/>
          <w:color w:val="auto"/>
        </w:rPr>
      </w:pPr>
      <w:r>
        <w:rPr>
          <w:rFonts w:ascii="Arial" w:cs="Arial" w:eastAsia="Arial" w:hAnsi="Arial"/>
          <w:sz w:val="19"/>
          <w:szCs w:val="19"/>
          <w:i w:val="1"/>
          <w:iCs w:val="1"/>
          <w:color w:val="auto"/>
        </w:rPr>
        <w:t>Chairperson of the Board or Lead Independent Director</w:t>
      </w:r>
      <w:r>
        <w:rPr>
          <w:rFonts w:ascii="Arial" w:cs="Arial" w:eastAsia="Arial" w:hAnsi="Arial"/>
          <w:sz w:val="19"/>
          <w:szCs w:val="19"/>
          <w:color w:val="auto"/>
        </w:rPr>
        <w:t>. A Non-Employee Director serving as Chairperson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shall receive an additional annual retainer of $30,000 for such service, and a Non-Employee Director serving as Lead Independent Director shall receive an additional annual retainer of $20,000 for such service.</w:t>
      </w:r>
    </w:p>
    <w:p>
      <w:pPr>
        <w:spacing w:after="0" w:line="133" w:lineRule="exact"/>
        <w:rPr>
          <w:rFonts w:ascii="Arial" w:cs="Arial" w:eastAsia="Arial" w:hAnsi="Arial"/>
          <w:sz w:val="19"/>
          <w:szCs w:val="19"/>
          <w:color w:val="auto"/>
        </w:rPr>
      </w:pPr>
    </w:p>
    <w:p>
      <w:pPr>
        <w:jc w:val="both"/>
        <w:ind w:left="1300" w:right="20" w:hanging="320"/>
        <w:spacing w:after="0" w:line="312" w:lineRule="auto"/>
        <w:tabs>
          <w:tab w:leader="none" w:pos="1300" w:val="left"/>
        </w:tabs>
        <w:numPr>
          <w:ilvl w:val="2"/>
          <w:numId w:val="42"/>
        </w:numPr>
        <w:rPr>
          <w:rFonts w:ascii="Arial" w:cs="Arial" w:eastAsia="Arial" w:hAnsi="Arial"/>
          <w:sz w:val="19"/>
          <w:szCs w:val="19"/>
          <w:color w:val="auto"/>
        </w:rPr>
      </w:pPr>
      <w:r>
        <w:rPr>
          <w:rFonts w:ascii="Arial" w:cs="Arial" w:eastAsia="Arial" w:hAnsi="Arial"/>
          <w:sz w:val="19"/>
          <w:szCs w:val="19"/>
          <w:i w:val="1"/>
          <w:iCs w:val="1"/>
          <w:color w:val="auto"/>
        </w:rPr>
        <w:t>Audit Committee</w:t>
      </w:r>
      <w:r>
        <w:rPr>
          <w:rFonts w:ascii="Arial" w:cs="Arial" w:eastAsia="Arial" w:hAnsi="Arial"/>
          <w:sz w:val="19"/>
          <w:szCs w:val="19"/>
          <w:color w:val="auto"/>
        </w:rPr>
        <w:t>. A Non-Employee Director serving as Chairperson of the Audit Committee shall receive an</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annual retainer of $15,000 for such service. A Non-Employee Director serving as a member other than the Chairperson of the Audit Committee shall receive an additional annual retainer of $7,500 for such service.</w:t>
      </w:r>
    </w:p>
    <w:p>
      <w:pPr>
        <w:spacing w:after="0" w:line="133" w:lineRule="exact"/>
        <w:rPr>
          <w:rFonts w:ascii="Arial" w:cs="Arial" w:eastAsia="Arial" w:hAnsi="Arial"/>
          <w:sz w:val="19"/>
          <w:szCs w:val="19"/>
          <w:color w:val="auto"/>
        </w:rPr>
      </w:pPr>
    </w:p>
    <w:p>
      <w:pPr>
        <w:jc w:val="both"/>
        <w:ind w:left="1300" w:hanging="320"/>
        <w:spacing w:after="0" w:line="250" w:lineRule="auto"/>
        <w:tabs>
          <w:tab w:leader="none" w:pos="1300" w:val="left"/>
        </w:tabs>
        <w:numPr>
          <w:ilvl w:val="2"/>
          <w:numId w:val="42"/>
        </w:numPr>
        <w:rPr>
          <w:rFonts w:ascii="Arial" w:cs="Arial" w:eastAsia="Arial" w:hAnsi="Arial"/>
          <w:sz w:val="22"/>
          <w:szCs w:val="22"/>
          <w:color w:val="auto"/>
        </w:rPr>
      </w:pPr>
      <w:r>
        <w:rPr>
          <w:rFonts w:ascii="Arial" w:cs="Arial" w:eastAsia="Arial" w:hAnsi="Arial"/>
          <w:sz w:val="22"/>
          <w:szCs w:val="22"/>
          <w:i w:val="1"/>
          <w:iCs w:val="1"/>
          <w:color w:val="auto"/>
        </w:rPr>
        <w:t>Compensation Committee</w:t>
      </w:r>
      <w:r>
        <w:rPr>
          <w:rFonts w:ascii="Arial" w:cs="Arial" w:eastAsia="Arial" w:hAnsi="Arial"/>
          <w:sz w:val="22"/>
          <w:szCs w:val="22"/>
          <w:color w:val="auto"/>
        </w:rPr>
        <w:t>. A Non-Employee Director serving as Chairperson of the Compensation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shall receive an additional annual retainer of $12,000 for such service. A Non-Employee Director serving as a member other than the Chairperson of the Compensation Committee shall receive an additional annual retainer of $6,000 for such service.</w:t>
      </w:r>
    </w:p>
    <w:p>
      <w:pPr>
        <w:sectPr>
          <w:pgSz w:w="11900" w:h="16838" w:orient="portrait"/>
          <w:cols w:equalWidth="0" w:num="1">
            <w:col w:w="11240"/>
          </w:cols>
          <w:pgMar w:left="320" w:top="1089" w:right="339" w:bottom="1440" w:gutter="0" w:footer="0" w:header="0"/>
        </w:sectPr>
      </w:pPr>
    </w:p>
    <w:bookmarkStart w:id="68" w:name="page69"/>
    <w:bookmarkEnd w:id="68"/>
    <w:p>
      <w:pPr>
        <w:jc w:val="both"/>
        <w:ind w:left="1300" w:hanging="320"/>
        <w:spacing w:after="0" w:line="302" w:lineRule="auto"/>
        <w:tabs>
          <w:tab w:leader="none" w:pos="1300" w:val="left"/>
        </w:tabs>
        <w:numPr>
          <w:ilvl w:val="2"/>
          <w:numId w:val="43"/>
        </w:numPr>
        <w:rPr>
          <w:rFonts w:ascii="Arial" w:cs="Arial" w:eastAsia="Arial" w:hAnsi="Arial"/>
          <w:sz w:val="19"/>
          <w:szCs w:val="19"/>
          <w:color w:val="auto"/>
        </w:rPr>
      </w:pPr>
      <w:r>
        <w:rPr>
          <w:rFonts w:ascii="Arial" w:cs="Arial" w:eastAsia="Arial" w:hAnsi="Arial"/>
          <w:sz w:val="19"/>
          <w:szCs w:val="19"/>
          <w:i w:val="1"/>
          <w:iCs w:val="1"/>
          <w:color w:val="auto"/>
        </w:rPr>
        <w:t>Nominating and Corporate Governance Committee</w:t>
      </w:r>
      <w:r>
        <w:rPr>
          <w:rFonts w:ascii="Arial" w:cs="Arial" w:eastAsia="Arial" w:hAnsi="Arial"/>
          <w:sz w:val="19"/>
          <w:szCs w:val="19"/>
          <w:color w:val="auto"/>
        </w:rPr>
        <w:t>. A Non-Employee Director serving as Chairperson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Nominating and Corporate Governance Committee shall receive an additional annual retainer of $8,000 for such service. A Non-Employee Director serving as a member other than the Chairperson of the Nominating and Corporate Governance Committee shall receive an additional annual retainer of $4,000 for such service.</w:t>
      </w:r>
    </w:p>
    <w:p>
      <w:pPr>
        <w:spacing w:after="0" w:line="142" w:lineRule="exact"/>
        <w:rPr>
          <w:rFonts w:ascii="Arial" w:cs="Arial" w:eastAsia="Arial" w:hAnsi="Arial"/>
          <w:sz w:val="19"/>
          <w:szCs w:val="19"/>
          <w:color w:val="auto"/>
        </w:rPr>
      </w:pPr>
    </w:p>
    <w:p>
      <w:pPr>
        <w:jc w:val="both"/>
        <w:ind w:left="1300" w:hanging="320"/>
        <w:spacing w:after="0" w:line="312" w:lineRule="auto"/>
        <w:tabs>
          <w:tab w:leader="none" w:pos="1300" w:val="left"/>
        </w:tabs>
        <w:numPr>
          <w:ilvl w:val="2"/>
          <w:numId w:val="43"/>
        </w:numPr>
        <w:rPr>
          <w:rFonts w:ascii="Arial" w:cs="Arial" w:eastAsia="Arial" w:hAnsi="Arial"/>
          <w:sz w:val="19"/>
          <w:szCs w:val="19"/>
          <w:color w:val="auto"/>
        </w:rPr>
      </w:pPr>
      <w:r>
        <w:rPr>
          <w:rFonts w:ascii="Arial" w:cs="Arial" w:eastAsia="Arial" w:hAnsi="Arial"/>
          <w:sz w:val="19"/>
          <w:szCs w:val="19"/>
          <w:i w:val="1"/>
          <w:iCs w:val="1"/>
          <w:color w:val="auto"/>
        </w:rPr>
        <w:t>Science Committee</w:t>
      </w:r>
      <w:r>
        <w:rPr>
          <w:rFonts w:ascii="Arial" w:cs="Arial" w:eastAsia="Arial" w:hAnsi="Arial"/>
          <w:sz w:val="19"/>
          <w:szCs w:val="19"/>
          <w:color w:val="auto"/>
        </w:rPr>
        <w:t>. A Non-Employee Director serving as Chairperson of the Science Committee shall receive an</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annual retainer of $8,000 for such service. A Non-Employee Director serving as a member other than the Chairperson of the Science Committee shall receive an additional annual retainer of $4,000 for such service.</w:t>
      </w:r>
    </w:p>
    <w:p>
      <w:pPr>
        <w:spacing w:after="0" w:line="133" w:lineRule="exact"/>
        <w:rPr>
          <w:rFonts w:ascii="Arial" w:cs="Arial" w:eastAsia="Arial" w:hAnsi="Arial"/>
          <w:sz w:val="19"/>
          <w:szCs w:val="19"/>
          <w:color w:val="auto"/>
        </w:rPr>
      </w:pPr>
    </w:p>
    <w:p>
      <w:pPr>
        <w:jc w:val="both"/>
        <w:ind w:left="1300" w:hanging="320"/>
        <w:spacing w:after="0" w:line="250" w:lineRule="auto"/>
        <w:tabs>
          <w:tab w:leader="none" w:pos="1300" w:val="left"/>
        </w:tabs>
        <w:numPr>
          <w:ilvl w:val="2"/>
          <w:numId w:val="43"/>
        </w:numPr>
        <w:rPr>
          <w:rFonts w:ascii="Arial" w:cs="Arial" w:eastAsia="Arial" w:hAnsi="Arial"/>
          <w:sz w:val="22"/>
          <w:szCs w:val="22"/>
          <w:color w:val="auto"/>
        </w:rPr>
      </w:pPr>
      <w:r>
        <w:rPr>
          <w:rFonts w:ascii="Arial" w:cs="Arial" w:eastAsia="Arial" w:hAnsi="Arial"/>
          <w:sz w:val="22"/>
          <w:szCs w:val="22"/>
          <w:i w:val="1"/>
          <w:iCs w:val="1"/>
          <w:color w:val="auto"/>
        </w:rPr>
        <w:t>Research and Development Committee</w:t>
      </w:r>
      <w:r>
        <w:rPr>
          <w:rFonts w:ascii="Arial" w:cs="Arial" w:eastAsia="Arial" w:hAnsi="Arial"/>
          <w:sz w:val="22"/>
          <w:szCs w:val="22"/>
          <w:color w:val="auto"/>
        </w:rPr>
        <w:t>. A Non-Employee Director serving as Chairperson of the Research and</w:t>
      </w:r>
      <w:r>
        <w:rPr>
          <w:rFonts w:ascii="Arial" w:cs="Arial" w:eastAsia="Arial" w:hAnsi="Arial"/>
          <w:sz w:val="22"/>
          <w:szCs w:val="22"/>
          <w:i w:val="1"/>
          <w:iCs w:val="1"/>
          <w:color w:val="auto"/>
        </w:rPr>
        <w:t xml:space="preserve"> </w:t>
      </w:r>
      <w:r>
        <w:rPr>
          <w:rFonts w:ascii="Arial" w:cs="Arial" w:eastAsia="Arial" w:hAnsi="Arial"/>
          <w:sz w:val="22"/>
          <w:szCs w:val="22"/>
          <w:color w:val="auto"/>
        </w:rPr>
        <w:t>Development Committee shall receive an additional annual retainer of $12,000 for such service. A Non-Employee Director serving as a member other than the Chairperson of the Research and Development Committee shall receive an additional annual retainer of $6,000 for such service.</w:t>
      </w:r>
    </w:p>
    <w:p>
      <w:pPr>
        <w:spacing w:after="0" w:line="187" w:lineRule="exact"/>
        <w:rPr>
          <w:rFonts w:ascii="Arial" w:cs="Arial" w:eastAsia="Arial" w:hAnsi="Arial"/>
          <w:sz w:val="22"/>
          <w:szCs w:val="22"/>
          <w:color w:val="auto"/>
        </w:rPr>
      </w:pPr>
    </w:p>
    <w:p>
      <w:pPr>
        <w:jc w:val="both"/>
        <w:ind w:left="660" w:hanging="328"/>
        <w:spacing w:after="0" w:line="247" w:lineRule="auto"/>
        <w:tabs>
          <w:tab w:leader="none" w:pos="656"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Payment of Retainers</w:t>
      </w:r>
      <w:r>
        <w:rPr>
          <w:rFonts w:ascii="Arial" w:cs="Arial" w:eastAsia="Arial" w:hAnsi="Arial"/>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213" w:lineRule="exact"/>
        <w:rPr>
          <w:rFonts w:ascii="Arial" w:cs="Arial" w:eastAsia="Arial" w:hAnsi="Arial"/>
          <w:sz w:val="22"/>
          <w:szCs w:val="22"/>
          <w:color w:val="auto"/>
        </w:rPr>
      </w:pPr>
    </w:p>
    <w:p>
      <w:pPr>
        <w:ind w:left="320" w:hanging="312"/>
        <w:spacing w:after="0"/>
        <w:tabs>
          <w:tab w:leader="none" w:pos="32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225"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19"/>
          <w:szCs w:val="19"/>
          <w:color w:val="auto"/>
        </w:rPr>
        <w:t>Non-Employee Directors shall be granted the equity awards described below. The awards described below shall be granted</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under and shall be subject to the terms and provisions of the Company’s 2016 Incentive Award Plan or any other applicable Company equity incentive plan then-maintained by the Company (the “</w:t>
      </w:r>
      <w:r>
        <w:rPr>
          <w:rFonts w:ascii="Arial" w:cs="Arial" w:eastAsia="Arial" w:hAnsi="Arial"/>
          <w:sz w:val="22"/>
          <w:szCs w:val="22"/>
          <w:b w:val="1"/>
          <w:bCs w:val="1"/>
          <w:i w:val="1"/>
          <w:iCs w:val="1"/>
          <w:color w:val="auto"/>
        </w:rPr>
        <w:t>Equity Plan</w:t>
      </w:r>
      <w:r>
        <w:rPr>
          <w:rFonts w:ascii="Arial" w:cs="Arial" w:eastAsia="Arial" w:hAnsi="Arial"/>
          <w:sz w:val="22"/>
          <w:szCs w:val="22"/>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201" w:lineRule="exact"/>
        <w:rPr>
          <w:sz w:val="20"/>
          <w:szCs w:val="20"/>
          <w:color w:val="auto"/>
        </w:rPr>
      </w:pPr>
    </w:p>
    <w:p>
      <w:pPr>
        <w:jc w:val="both"/>
        <w:ind w:left="660" w:hanging="328"/>
        <w:spacing w:after="0" w:line="250" w:lineRule="auto"/>
        <w:tabs>
          <w:tab w:leader="none" w:pos="65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Non-Employee Director who is initially elected or appointed to the Board after the Effective Date shall receive an option to purchase 80,000 shares of the Company’s common stock on the date of such initial election or appointment. The awards described in this Section II(A)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color w:val="auto"/>
        </w:rPr>
        <w:t>.” No Non-Employee Director shall be granted more than one Initial Award.</w:t>
      </w:r>
    </w:p>
    <w:p>
      <w:pPr>
        <w:sectPr>
          <w:pgSz w:w="11900" w:h="16838" w:orient="portrait"/>
          <w:cols w:equalWidth="0" w:num="1">
            <w:col w:w="11240"/>
          </w:cols>
          <w:pgMar w:left="320" w:top="1104" w:right="339" w:bottom="1440" w:gutter="0" w:footer="0" w:header="0"/>
        </w:sectPr>
      </w:pPr>
    </w:p>
    <w:bookmarkStart w:id="69" w:name="page70"/>
    <w:bookmarkEnd w:id="69"/>
    <w:p>
      <w:pPr>
        <w:jc w:val="both"/>
        <w:ind w:left="328" w:hanging="328"/>
        <w:spacing w:after="0" w:line="288" w:lineRule="auto"/>
        <w:tabs>
          <w:tab w:leader="none" w:pos="32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Subsequent Awards</w:t>
      </w:r>
      <w:r>
        <w:rPr>
          <w:rFonts w:ascii="Arial" w:cs="Arial" w:eastAsia="Arial" w:hAnsi="Arial"/>
          <w:sz w:val="19"/>
          <w:szCs w:val="19"/>
          <w:color w:val="auto"/>
        </w:rPr>
        <w:t>. A Non-Employee Director who (i) has been serving as a Non-Employee Director on the Board for at least six months as of the first business day of any calendar year after the Effective Date (each, a “Subsequent Award Grant Date”) and (ii) will continue to serve as a Non-Employee Director immediately following such Subsequent Award Grant Date, shall be automatically granted an option to purchase 40,000 shares of the Company’s common stock on such Subsequent Award Grant Date, provided, however that if such Non-Employee Director will serve as Chairperson of the Board as of immediately following such Subsequent Award Grant Date, such Non-Employee Director shall receive an option to purchase 60,000 shares of the Company’s common stock on such the Subsequent Award Grant Date. The awards described in this Section II(B) shall be referred to as “</w:t>
      </w:r>
      <w:r>
        <w:rPr>
          <w:rFonts w:ascii="Arial" w:cs="Arial" w:eastAsia="Arial" w:hAnsi="Arial"/>
          <w:sz w:val="19"/>
          <w:szCs w:val="19"/>
          <w:b w:val="1"/>
          <w:bCs w:val="1"/>
          <w:i w:val="1"/>
          <w:iCs w:val="1"/>
          <w:color w:val="auto"/>
        </w:rPr>
        <w:t>Subsequent Awards</w:t>
      </w:r>
      <w:r>
        <w:rPr>
          <w:rFonts w:ascii="Arial" w:cs="Arial" w:eastAsia="Arial" w:hAnsi="Arial"/>
          <w:sz w:val="19"/>
          <w:szCs w:val="19"/>
          <w:color w:val="auto"/>
        </w:rPr>
        <w:t>.” Notwithstanding anything to the contrary in this paragraph, for the calendar year 2021, each Non-Employee Director, including the Chairperson of the Board, as of the Effective Date shall receive a Subsequent Award grant on the Effective Date.</w:t>
      </w:r>
    </w:p>
    <w:p>
      <w:pPr>
        <w:spacing w:after="0" w:line="159" w:lineRule="exact"/>
        <w:rPr>
          <w:rFonts w:ascii="Arial" w:cs="Arial" w:eastAsia="Arial" w:hAnsi="Arial"/>
          <w:sz w:val="19"/>
          <w:szCs w:val="19"/>
          <w:color w:val="auto"/>
        </w:rPr>
      </w:pPr>
    </w:p>
    <w:p>
      <w:pPr>
        <w:jc w:val="both"/>
        <w:ind w:left="328" w:hanging="328"/>
        <w:spacing w:after="0" w:line="297" w:lineRule="auto"/>
        <w:tabs>
          <w:tab w:leader="none" w:pos="32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of Employee Directors</w:t>
      </w:r>
      <w:r>
        <w:rPr>
          <w:rFonts w:ascii="Arial" w:cs="Arial" w:eastAsia="Arial" w:hAnsi="Arial"/>
          <w:sz w:val="19"/>
          <w:szCs w:val="19"/>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46" w:lineRule="exact"/>
        <w:rPr>
          <w:rFonts w:ascii="Arial" w:cs="Arial" w:eastAsia="Arial" w:hAnsi="Arial"/>
          <w:sz w:val="19"/>
          <w:szCs w:val="19"/>
          <w:color w:val="auto"/>
        </w:rPr>
      </w:pPr>
    </w:p>
    <w:p>
      <w:pPr>
        <w:ind w:left="308" w:hanging="308"/>
        <w:spacing w:after="0"/>
        <w:tabs>
          <w:tab w:leader="none" w:pos="30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19" w:lineRule="exact"/>
        <w:rPr>
          <w:rFonts w:ascii="Arial" w:cs="Arial" w:eastAsia="Arial" w:hAnsi="Arial"/>
          <w:sz w:val="22"/>
          <w:szCs w:val="22"/>
          <w:color w:val="auto"/>
        </w:rPr>
      </w:pPr>
    </w:p>
    <w:p>
      <w:pPr>
        <w:ind w:left="968" w:right="20" w:hanging="320"/>
        <w:spacing w:after="0" w:line="343" w:lineRule="auto"/>
        <w:tabs>
          <w:tab w:leader="none" w:pos="968" w:val="left"/>
        </w:tabs>
        <w:numPr>
          <w:ilvl w:val="1"/>
          <w:numId w:val="47"/>
        </w:numPr>
        <w:rPr>
          <w:rFonts w:ascii="Arial" w:cs="Arial" w:eastAsia="Arial" w:hAnsi="Arial"/>
          <w:sz w:val="19"/>
          <w:szCs w:val="19"/>
          <w:color w:val="auto"/>
        </w:rPr>
      </w:pPr>
      <w:r>
        <w:rPr>
          <w:rFonts w:ascii="Arial" w:cs="Arial" w:eastAsia="Arial" w:hAnsi="Arial"/>
          <w:sz w:val="19"/>
          <w:szCs w:val="19"/>
          <w:i w:val="1"/>
          <w:iCs w:val="1"/>
          <w:color w:val="auto"/>
        </w:rPr>
        <w:t>Exercise Price</w:t>
      </w:r>
      <w:r>
        <w:rPr>
          <w:rFonts w:ascii="Arial" w:cs="Arial" w:eastAsia="Arial" w:hAnsi="Arial"/>
          <w:sz w:val="19"/>
          <w:szCs w:val="19"/>
          <w:color w:val="auto"/>
        </w:rPr>
        <w:t>. The per share exercise price of each option granted to a Non-Employee Director shall equal the</w:t>
      </w:r>
      <w:r>
        <w:rPr>
          <w:rFonts w:ascii="Arial" w:cs="Arial" w:eastAsia="Arial" w:hAnsi="Arial"/>
          <w:sz w:val="19"/>
          <w:szCs w:val="19"/>
          <w:i w:val="1"/>
          <w:iCs w:val="1"/>
          <w:color w:val="auto"/>
        </w:rPr>
        <w:t xml:space="preserve"> </w:t>
      </w:r>
      <w:r>
        <w:rPr>
          <w:rFonts w:ascii="Arial" w:cs="Arial" w:eastAsia="Arial" w:hAnsi="Arial"/>
          <w:sz w:val="19"/>
          <w:szCs w:val="19"/>
          <w:color w:val="auto"/>
        </w:rPr>
        <w:t>Fair Market Value (as defined in the Equity Plan) of a share of common stock on the date the option is granted.</w:t>
      </w:r>
    </w:p>
    <w:p>
      <w:pPr>
        <w:spacing w:after="0" w:line="104" w:lineRule="exact"/>
        <w:rPr>
          <w:rFonts w:ascii="Arial" w:cs="Arial" w:eastAsia="Arial" w:hAnsi="Arial"/>
          <w:sz w:val="19"/>
          <w:szCs w:val="19"/>
          <w:color w:val="auto"/>
        </w:rPr>
      </w:pPr>
    </w:p>
    <w:p>
      <w:pPr>
        <w:jc w:val="both"/>
        <w:ind w:left="968" w:hanging="320"/>
        <w:spacing w:after="0" w:line="287" w:lineRule="auto"/>
        <w:tabs>
          <w:tab w:leader="none" w:pos="968" w:val="left"/>
        </w:tabs>
        <w:numPr>
          <w:ilvl w:val="1"/>
          <w:numId w:val="47"/>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Initial Award shall vest and become exercisable in thirty-six (36) substantially equal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63" w:lineRule="exact"/>
        <w:rPr>
          <w:rFonts w:ascii="Arial" w:cs="Arial" w:eastAsia="Arial" w:hAnsi="Arial"/>
          <w:sz w:val="19"/>
          <w:szCs w:val="19"/>
          <w:color w:val="auto"/>
        </w:rPr>
      </w:pPr>
    </w:p>
    <w:p>
      <w:pPr>
        <w:ind w:left="968" w:hanging="320"/>
        <w:spacing w:after="0" w:line="263" w:lineRule="auto"/>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stock option granted to a Non-Employee Director hereunder shall be ten (10)</w:t>
      </w:r>
      <w:r>
        <w:rPr>
          <w:rFonts w:ascii="Arial" w:cs="Arial" w:eastAsia="Arial" w:hAnsi="Arial"/>
          <w:sz w:val="22"/>
          <w:szCs w:val="22"/>
          <w:i w:val="1"/>
          <w:iCs w:val="1"/>
          <w:color w:val="auto"/>
        </w:rPr>
        <w:t xml:space="preserve"> </w:t>
      </w:r>
      <w:r>
        <w:rPr>
          <w:rFonts w:ascii="Arial" w:cs="Arial" w:eastAsia="Arial" w:hAnsi="Arial"/>
          <w:sz w:val="22"/>
          <w:szCs w:val="22"/>
          <w:color w:val="auto"/>
        </w:rPr>
        <w:t>years from the date the option is granted.</w:t>
      </w:r>
    </w:p>
    <w:p>
      <w:pPr>
        <w:sectPr>
          <w:pgSz w:w="11900" w:h="16838" w:orient="portrait"/>
          <w:cols w:equalWidth="0" w:num="1">
            <w:col w:w="10908"/>
          </w:cols>
          <w:pgMar w:left="652" w:top="1104"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auto"/>
        </w:rPr>
        <w:t>III. COMPENSATION LIMITS</w:t>
      </w:r>
    </w:p>
    <w:p>
      <w:pPr>
        <w:spacing w:after="0" w:line="2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09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THIS FIRST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September 7, 2021, by and among OXFORD FINANCE LLC, a Delaware limited liability company with an office located at 115 South Union Street, Suite 300, Alexandria, Virginia 22314 (“Oxford”),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the Lenders listed on Schedule 1.1 to the Loan Agreement (as defined below) or otherwise a party thereto from time to time including Oxford in its capacity as a Lender and SILICON VALLEY BANK, a California corporation with an office located at 3003 Tasman Drive, Santa Clara, CA 95054 (“Bank” or “SVB”)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SELECTA BIOSCIENCES, INC., a Delaware corporation with offices located at 65 Grove Street, Suite 101, Watertown, MA 02472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4" w:lineRule="exact"/>
        <w:rPr>
          <w:sz w:val="20"/>
          <w:szCs w:val="20"/>
          <w:color w:val="auto"/>
        </w:rPr>
      </w:pPr>
    </w:p>
    <w:p>
      <w:pPr>
        <w:jc w:val="both"/>
        <w:ind w:firstLine="656"/>
        <w:spacing w:after="0" w:line="248" w:lineRule="auto"/>
        <w:tabs>
          <w:tab w:leader="none" w:pos="10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WHEREAS, Collateral Agent, Borrower and Lenders have entered into that certain Loan and Security Agreement dated as of August 31, 2020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 and</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WHEREAS, Borrower desires to enter into (i) that certain Collaboration and License Agreement with Cyrus Biotechnology, Inc., a Delaware corporation (“</w:t>
      </w:r>
      <w:r>
        <w:rPr>
          <w:rFonts w:ascii="Arial" w:cs="Arial" w:eastAsia="Arial" w:hAnsi="Arial"/>
          <w:sz w:val="17"/>
          <w:szCs w:val="17"/>
          <w:b w:val="1"/>
          <w:bCs w:val="1"/>
          <w:color w:val="auto"/>
        </w:rPr>
        <w:t>Cyrus</w:t>
      </w:r>
      <w:r>
        <w:rPr>
          <w:rFonts w:ascii="Arial" w:cs="Arial" w:eastAsia="Arial" w:hAnsi="Arial"/>
          <w:sz w:val="17"/>
          <w:szCs w:val="17"/>
          <w:color w:val="auto"/>
        </w:rPr>
        <w:t>”) (the “</w:t>
      </w:r>
      <w:r>
        <w:rPr>
          <w:rFonts w:ascii="Arial" w:cs="Arial" w:eastAsia="Arial" w:hAnsi="Arial"/>
          <w:sz w:val="17"/>
          <w:szCs w:val="17"/>
          <w:b w:val="1"/>
          <w:bCs w:val="1"/>
          <w:color w:val="auto"/>
        </w:rPr>
        <w:t>Collaboration Agreement</w:t>
      </w:r>
      <w:r>
        <w:rPr>
          <w:rFonts w:ascii="Arial" w:cs="Arial" w:eastAsia="Arial" w:hAnsi="Arial"/>
          <w:sz w:val="17"/>
          <w:szCs w:val="17"/>
          <w:color w:val="auto"/>
        </w:rPr>
        <w:t>”) pursuant to which Borrower and Cyrus will collaborate to use Cyrus’ computerized protein engineering capabilities to identify novel molecules with desired biological functions to be further developed and commercialized by Borrower, all as more particularly described in the Collaboration Agreement, and (ii) that certain Series B Preferred Stock Purchase Agreement with Cyrus (the “</w:t>
      </w:r>
      <w:r>
        <w:rPr>
          <w:rFonts w:ascii="Arial" w:cs="Arial" w:eastAsia="Arial" w:hAnsi="Arial"/>
          <w:sz w:val="17"/>
          <w:szCs w:val="17"/>
          <w:b w:val="1"/>
          <w:bCs w:val="1"/>
          <w:color w:val="auto"/>
        </w:rPr>
        <w:t>Stock 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Borrower will purchase [2,326,934] shares of Series B Preferred Stock, $0.0001 par value per share, of Cyrus for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purchase price of $[1,999,999.78], all as more particularly described therein; and</w:t>
      </w:r>
    </w:p>
    <w:p>
      <w:pPr>
        <w:spacing w:after="0" w:line="175" w:lineRule="exact"/>
        <w:rPr>
          <w:rFonts w:ascii="Arial" w:cs="Arial" w:eastAsia="Arial" w:hAnsi="Arial"/>
          <w:sz w:val="17"/>
          <w:szCs w:val="17"/>
          <w:color w:val="auto"/>
        </w:rPr>
      </w:pPr>
    </w:p>
    <w:p>
      <w:pPr>
        <w:jc w:val="both"/>
        <w:ind w:firstLine="656"/>
        <w:spacing w:after="0" w:line="248" w:lineRule="auto"/>
        <w:tabs>
          <w:tab w:leader="none" w:pos="11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WHEREAS, Borrower has requested that Collateral Agent and Lenders (i) modify the defined term Permitted Investments to add the Collaboration Agreement and the Stock Purchase Agreement as Permitted Investments and (ii) make certain other revisions to the Loan Agreement as more fully set forth herein; and</w:t>
      </w:r>
    </w:p>
    <w:p>
      <w:pPr>
        <w:spacing w:after="0" w:line="181" w:lineRule="exact"/>
        <w:rPr>
          <w:rFonts w:ascii="Arial" w:cs="Arial" w:eastAsia="Arial" w:hAnsi="Arial"/>
          <w:sz w:val="18"/>
          <w:szCs w:val="18"/>
          <w:color w:val="auto"/>
        </w:rPr>
      </w:pPr>
    </w:p>
    <w:p>
      <w:pPr>
        <w:ind w:firstLine="656"/>
        <w:spacing w:after="0" w:line="261" w:lineRule="auto"/>
        <w:tabs>
          <w:tab w:leader="none" w:pos="10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WHEREAS, Borrower, the Lenders party to this Amendment (constituting the Required Lenders) and Collateral Agent desire to amend certain provisions of the Loan Agreement as provided herein and subject to the terms and conditions set forth herein.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6"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43"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 to them in the Loan Agreement.</w:t>
      </w:r>
    </w:p>
    <w:p>
      <w:pPr>
        <w:spacing w:after="0" w:line="211" w:lineRule="exact"/>
        <w:rPr>
          <w:rFonts w:ascii="Arial" w:cs="Arial" w:eastAsia="Arial" w:hAnsi="Arial"/>
          <w:sz w:val="18"/>
          <w:szCs w:val="18"/>
          <w:b w:val="1"/>
          <w:bCs w:val="1"/>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1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Section 10 (Notices)</w:t>
      </w:r>
      <w:r>
        <w:rPr>
          <w:rFonts w:ascii="Arial" w:cs="Arial" w:eastAsia="Arial" w:hAnsi="Arial"/>
          <w:sz w:val="16"/>
          <w:szCs w:val="16"/>
          <w:color w:val="auto"/>
        </w:rPr>
        <w:t>. Section 10 of the Loan Agreement is hereby amended by replacing Section 10 in its entirety with the following:</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“All notices, consents, requests, approvals, demands, or other communication (collectively,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1240"/>
          </w:cols>
          <w:pgMar w:left="320" w:top="121" w:right="339" w:bottom="1440" w:gutter="0" w:footer="0" w:header="0"/>
        </w:sectPr>
      </w:pPr>
    </w:p>
    <w:bookmarkStart w:id="72" w:name="page73"/>
    <w:bookmarkEnd w:id="72"/>
    <w:p>
      <w:pPr>
        <w:spacing w:after="0" w:line="279" w:lineRule="exact"/>
        <w:rPr>
          <w:sz w:val="20"/>
          <w:szCs w:val="20"/>
          <w:color w:val="auto"/>
        </w:rPr>
      </w:pPr>
    </w:p>
    <w:p>
      <w:pPr>
        <w:ind w:left="2780"/>
        <w:spacing w:after="0"/>
        <w:tabs>
          <w:tab w:leader="none" w:pos="5880"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7"/>
          <w:szCs w:val="17"/>
          <w:color w:val="auto"/>
        </w:rPr>
        <w:t>SELECTA BIOSCIENCES, INC.</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65 Grove Street, Suite 101</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Watertown, MA 02472</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Attention: Carsten Brunn, Ph.D.</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Email: cbrunn@selectabio.com</w:t>
      </w:r>
    </w:p>
    <w:p>
      <w:pPr>
        <w:spacing w:after="0" w:line="32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with a copy to (which shall not</w:t>
      </w:r>
    </w:p>
    <w:p>
      <w:pPr>
        <w:spacing w:after="0" w:line="50" w:lineRule="exact"/>
        <w:rPr>
          <w:sz w:val="20"/>
          <w:szCs w:val="20"/>
          <w:color w:val="auto"/>
        </w:rPr>
      </w:pPr>
    </w:p>
    <w:p>
      <w:pPr>
        <w:ind w:left="2780"/>
        <w:spacing w:after="0"/>
        <w:tabs>
          <w:tab w:leader="none" w:pos="5880"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7"/>
          <w:szCs w:val="17"/>
          <w:color w:val="auto"/>
        </w:rPr>
        <w:t>COVINGTON &amp; BURLING LLP</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New York Times Building</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620 Eighth Avenue</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New York, NY 10018</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Attention: Brian K. Rosenzweig</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Email: brosenzweig@cov.com</w:t>
      </w:r>
    </w:p>
    <w:p>
      <w:pPr>
        <w:spacing w:after="0" w:line="320" w:lineRule="exact"/>
        <w:rPr>
          <w:sz w:val="20"/>
          <w:szCs w:val="20"/>
          <w:color w:val="auto"/>
        </w:rPr>
      </w:pPr>
    </w:p>
    <w:p>
      <w:pPr>
        <w:ind w:left="2780"/>
        <w:spacing w:after="0"/>
        <w:tabs>
          <w:tab w:leader="none" w:pos="588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OXFORD FINANCE LLC</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115 South Union Street</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Suite 300</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Alexandria, VA 22314</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Attention: Legal Department</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Fax: (703) 519-5225</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Email: LegalDepartment@oxfordfinance.com</w:t>
      </w:r>
    </w:p>
    <w:p>
      <w:pPr>
        <w:spacing w:after="0" w:line="320" w:lineRule="exact"/>
        <w:rPr>
          <w:sz w:val="20"/>
          <w:szCs w:val="20"/>
          <w:color w:val="auto"/>
        </w:rPr>
      </w:pPr>
    </w:p>
    <w:p>
      <w:pPr>
        <w:ind w:left="2780"/>
        <w:spacing w:after="0"/>
        <w:tabs>
          <w:tab w:leader="none" w:pos="588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8"/>
          <w:szCs w:val="18"/>
          <w:color w:val="auto"/>
        </w:rPr>
        <w:t>SILICON VALLEY BANK</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275 Grove Street, Suite 2-200</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Newton, MA 02472</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Attention: Ryan Roller</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Email: rroller@svb.com</w:t>
      </w:r>
    </w:p>
    <w:p>
      <w:pPr>
        <w:spacing w:after="0" w:line="27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with a copy (which shall not constitute notice) to:</w:t>
      </w:r>
    </w:p>
    <w:p>
      <w:pPr>
        <w:spacing w:after="0" w:line="32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DLA Piper LLP (US)</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500 8th Street, NW</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Washington, DC 20004</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Attention: Eric Eisenberg</w:t>
      </w:r>
    </w:p>
    <w:p>
      <w:pPr>
        <w:spacing w:after="0" w:line="3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Fax: (202) 799-5211</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Email: eric.eisenberg@dlapiper.com</w:t>
      </w:r>
    </w:p>
    <w:p>
      <w:pPr>
        <w:spacing w:after="0" w:line="3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2.2 Section 13.1 (Definitions)</w:t>
      </w:r>
      <w:r>
        <w:rPr>
          <w:rFonts w:ascii="Arial" w:cs="Arial" w:eastAsia="Arial" w:hAnsi="Arial"/>
          <w:sz w:val="18"/>
          <w:szCs w:val="18"/>
          <w:color w:val="auto"/>
        </w:rPr>
        <w:t>. The following terms and their respective definitions hereby are added or amended and restated in their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to Section 13.1 of the Loan Agreement as follows:</w:t>
      </w:r>
    </w:p>
    <w:p>
      <w:pPr>
        <w:spacing w:after="0" w:line="162" w:lineRule="exact"/>
        <w:rPr>
          <w:sz w:val="20"/>
          <w:szCs w:val="20"/>
          <w:color w:val="auto"/>
        </w:rPr>
      </w:pPr>
    </w:p>
    <w:p>
      <w:pPr>
        <w:jc w:val="both"/>
        <w:ind w:firstLine="18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Collaboration Agreement</w:t>
      </w:r>
      <w:r>
        <w:rPr>
          <w:rFonts w:ascii="Arial" w:cs="Arial" w:eastAsia="Arial" w:hAnsi="Arial"/>
          <w:sz w:val="18"/>
          <w:szCs w:val="18"/>
          <w:color w:val="auto"/>
        </w:rPr>
        <w:t>” means that certain Collaboration and License Agreement, dated as of August [__], 2021, by and between Borrower and Cyrus, as in effect on the date thereof or as amended after the date thereof so long as such amendment could not reasonably be expected to be materially adverse to Borrower or to the Lenders.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Cyrus</w:t>
      </w:r>
      <w:r>
        <w:rPr>
          <w:rFonts w:ascii="Arial" w:cs="Arial" w:eastAsia="Arial" w:hAnsi="Arial"/>
          <w:sz w:val="18"/>
          <w:szCs w:val="18"/>
          <w:color w:val="auto"/>
        </w:rPr>
        <w:t>” is Cyrus Biotechnology, Inc., a Delaware corporation.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08"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Investments disclosed on the Perfection Certificate(s) and existing on the Effective Date;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40" w:right="339" w:bottom="1440" w:gutter="0" w:footer="0" w:header="0"/>
          <w:type w:val="continuous"/>
        </w:sectPr>
      </w:pPr>
    </w:p>
    <w:bookmarkStart w:id="73" w:name="page74"/>
    <w:bookmarkEnd w:id="73"/>
    <w:p>
      <w:pPr>
        <w:ind w:right="20" w:firstLine="1304"/>
        <w:spacing w:after="0" w:line="324" w:lineRule="auto"/>
        <w:tabs>
          <w:tab w:leader="none" w:pos="17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4" w:lineRule="exact"/>
        <w:rPr>
          <w:rFonts w:ascii="Arial" w:cs="Arial" w:eastAsia="Arial" w:hAnsi="Arial"/>
          <w:sz w:val="16"/>
          <w:szCs w:val="16"/>
          <w:color w:val="auto"/>
        </w:rPr>
      </w:pPr>
    </w:p>
    <w:p>
      <w:pPr>
        <w:ind w:left="1700" w:hanging="396"/>
        <w:spacing w:after="0"/>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cash Investments by Borrower in MSC, provided that no Event of Default has occurred and is continuing or would result from such</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Investment;</w:t>
      </w:r>
    </w:p>
    <w:p>
      <w:pPr>
        <w:spacing w:after="0" w:line="195" w:lineRule="exact"/>
        <w:rPr>
          <w:rFonts w:ascii="Arial" w:cs="Arial" w:eastAsia="Arial" w:hAnsi="Arial"/>
          <w:sz w:val="16"/>
          <w:szCs w:val="16"/>
          <w:color w:val="auto"/>
        </w:rPr>
      </w:pPr>
    </w:p>
    <w:p>
      <w:pPr>
        <w:ind w:left="1700" w:hanging="396"/>
        <w:spacing w:after="0"/>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Borrower;</w:t>
      </w:r>
    </w:p>
    <w:p>
      <w:pPr>
        <w:spacing w:after="0" w:line="195" w:lineRule="exact"/>
        <w:rPr>
          <w:rFonts w:ascii="Arial" w:cs="Arial" w:eastAsia="Arial" w:hAnsi="Arial"/>
          <w:sz w:val="16"/>
          <w:szCs w:val="16"/>
          <w:color w:val="auto"/>
        </w:rPr>
      </w:pPr>
    </w:p>
    <w:p>
      <w:pPr>
        <w:ind w:left="1700" w:hanging="396"/>
        <w:spacing w:after="0"/>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Investments consisting of deposit accounts in which Collateral Agent has a perfected security interest, except pursuant to the terms</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Section 6.6;</w:t>
      </w:r>
    </w:p>
    <w:p>
      <w:pPr>
        <w:spacing w:after="0" w:line="195" w:lineRule="exact"/>
        <w:rPr>
          <w:rFonts w:ascii="Arial" w:cs="Arial" w:eastAsia="Arial" w:hAnsi="Arial"/>
          <w:sz w:val="16"/>
          <w:szCs w:val="16"/>
          <w:color w:val="auto"/>
        </w:rPr>
      </w:pPr>
    </w:p>
    <w:p>
      <w:pPr>
        <w:ind w:left="1660" w:hanging="356"/>
        <w:spacing w:after="0"/>
        <w:tabs>
          <w:tab w:leader="none" w:pos="1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11" w:lineRule="exact"/>
        <w:rPr>
          <w:rFonts w:ascii="Arial" w:cs="Arial" w:eastAsia="Arial" w:hAnsi="Arial"/>
          <w:sz w:val="18"/>
          <w:szCs w:val="18"/>
          <w:color w:val="auto"/>
        </w:rPr>
      </w:pPr>
    </w:p>
    <w:p>
      <w:pPr>
        <w:jc w:val="both"/>
        <w:ind w:firstLine="1304"/>
        <w:spacing w:after="0" w:line="243" w:lineRule="auto"/>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Fifty Thousand Dollars ($250,000.00) in the aggregate for (i) and (ii) in any fiscal year;</w:t>
      </w:r>
    </w:p>
    <w:p>
      <w:pPr>
        <w:spacing w:after="0" w:line="187" w:lineRule="exact"/>
        <w:rPr>
          <w:rFonts w:ascii="Arial" w:cs="Arial" w:eastAsia="Arial" w:hAnsi="Arial"/>
          <w:sz w:val="18"/>
          <w:szCs w:val="18"/>
          <w:color w:val="auto"/>
        </w:rPr>
      </w:pPr>
    </w:p>
    <w:p>
      <w:pPr>
        <w:ind w:firstLine="1304"/>
        <w:spacing w:after="0" w:line="291" w:lineRule="auto"/>
        <w:tabs>
          <w:tab w:leader="none" w:pos="1691"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firstLine="1304"/>
        <w:spacing w:after="0" w:line="261" w:lineRule="auto"/>
        <w:tabs>
          <w:tab w:leader="none" w:pos="17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 of Borrower and its Subsidiaries in Borrower or any Guarantor or (ii) by Borrower in other Subsidiaries not to exceed Two Hundred Fifty Thousand Dollars ($250,000.00) in the aggregate in any fiscal year;</w:t>
      </w:r>
    </w:p>
    <w:p>
      <w:pPr>
        <w:spacing w:after="0" w:line="170" w:lineRule="exact"/>
        <w:rPr>
          <w:rFonts w:ascii="Arial" w:cs="Arial" w:eastAsia="Arial" w:hAnsi="Arial"/>
          <w:sz w:val="18"/>
          <w:szCs w:val="18"/>
          <w:color w:val="auto"/>
        </w:rPr>
      </w:pPr>
    </w:p>
    <w:p>
      <w:pPr>
        <w:ind w:firstLine="1304"/>
        <w:spacing w:after="0" w:line="291" w:lineRule="auto"/>
        <w:tabs>
          <w:tab w:leader="none" w:pos="169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46" w:lineRule="exact"/>
        <w:rPr>
          <w:rFonts w:ascii="Arial" w:cs="Arial" w:eastAsia="Arial" w:hAnsi="Arial"/>
          <w:sz w:val="17"/>
          <w:szCs w:val="17"/>
          <w:color w:val="auto"/>
        </w:rPr>
      </w:pPr>
    </w:p>
    <w:p>
      <w:pPr>
        <w:jc w:val="both"/>
        <w:ind w:firstLine="1304"/>
        <w:spacing w:after="0" w:line="276" w:lineRule="auto"/>
        <w:tabs>
          <w:tab w:leader="none" w:pos="16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joint ventures or strategic alliances in the ordinary course of Borrower's business consisting of licenses not prohibited hereunder, the development of technology or the providing of technical support, provided that any cash Investments by Borrower do not exceed Five Hundred Thousand Dollars ($500,000.00) per fiscal year, and provided further that (i) an Event of Default does not exist at the time of any such Investment and would not exist after giving effect to any such Investment and (ii) the Quarterly Financial Statement (and the opinion of an independent certified public accounting firm reasonably acceptable to Collateral Agent and the Lenders) for the fiscal quarter in which such Investment is made does not contain a qualification as to going concern and a going concern qualification would not result after giving effect to any such Investment;</w:t>
      </w:r>
    </w:p>
    <w:p>
      <w:pPr>
        <w:spacing w:after="0" w:line="161" w:lineRule="exact"/>
        <w:rPr>
          <w:rFonts w:ascii="Arial" w:cs="Arial" w:eastAsia="Arial" w:hAnsi="Arial"/>
          <w:sz w:val="16"/>
          <w:szCs w:val="16"/>
          <w:color w:val="auto"/>
        </w:rPr>
      </w:pPr>
    </w:p>
    <w:p>
      <w:pPr>
        <w:ind w:firstLine="1304"/>
        <w:spacing w:after="0" w:line="261" w:lineRule="auto"/>
        <w:tabs>
          <w:tab w:leader="none" w:pos="1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Investment in Cyrus pursuant to the terms of that certain Series B Preferred Stock Purchase Agreement, dated as of August [__], 2021, by and among Borrower, Cyrus and the other purchasers party thereto, as in effect on the date thereof;</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Collaboration Agreement; and</w:t>
      </w:r>
    </w:p>
    <w:p>
      <w:pPr>
        <w:spacing w:after="0" w:line="211" w:lineRule="exact"/>
        <w:rPr>
          <w:rFonts w:ascii="Arial" w:cs="Arial" w:eastAsia="Arial" w:hAnsi="Arial"/>
          <w:sz w:val="18"/>
          <w:szCs w:val="18"/>
          <w:color w:val="auto"/>
        </w:rPr>
      </w:pPr>
    </w:p>
    <w:p>
      <w:pPr>
        <w:ind w:firstLine="1304"/>
        <w:spacing w:after="0" w:line="261" w:lineRule="auto"/>
        <w:tabs>
          <w:tab w:leader="none" w:pos="18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Investments not otherwise permitted hereunder in an amount not to exceed Two Hundred Fifty Thousand Dollars ($250,000.00) in any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74" w:name="page75"/>
    <w:bookmarkEnd w:id="74"/>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Limitation of Amendment.</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above are effective for the purposes set forth herein and shall be limited precisely as written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color w:val="auto"/>
        </w:rPr>
        <w:t>This Amendment shall be construed in connection with and as part of the Loan Documents and all terms, conditions,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covenants and agreements set forth in the Loan Documents are hereby ratified and confirmed and shall remain in full force and effect.</w:t>
      </w:r>
    </w:p>
    <w:p>
      <w:pPr>
        <w:spacing w:after="0" w:line="139" w:lineRule="exact"/>
        <w:rPr>
          <w:sz w:val="20"/>
          <w:szCs w:val="20"/>
          <w:color w:val="auto"/>
        </w:rPr>
      </w:pPr>
    </w:p>
    <w:p>
      <w:pPr>
        <w:ind w:right="20" w:firstLine="8"/>
        <w:spacing w:after="0" w:line="266" w:lineRule="auto"/>
        <w:tabs>
          <w:tab w:leader="none" w:pos="3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To induce Collateral Agent and Lenders to enter into this Amendment, Borrower hereby represents and warrants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Lenders as follows: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are true,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due authority to execute and deliver this Amendment and to perform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Collateral Agent on the Effective Date, and updated pursuant to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deliveries by or on behalf of the Borrower to the Collateral Agent, remain true, accurate and complete and have not been amended, supplemented or restated and are and continue to be in full force and effect;</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do not contravene (i) any material law or regulation binding on or affecting Borrower, (ii) any material contractual restriction with a Person binding on Borrower, (iii) any material order, judgment or decree of any court or other governmental or public body or authority, or subdivision thereof, binding on Borrower, or (iv) the organizational documents of Borrower;</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The execution and delivery by Borrower of this Amendment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Release by Borrower</w:t>
      </w:r>
      <w:r>
        <w:rPr>
          <w:rFonts w:ascii="Arial" w:cs="Arial" w:eastAsia="Arial" w:hAnsi="Arial"/>
          <w:sz w:val="16"/>
          <w:szCs w:val="16"/>
          <w:color w:val="auto"/>
        </w:rPr>
        <w:t>.</w:t>
      </w:r>
    </w:p>
    <w:p>
      <w:pPr>
        <w:spacing w:after="0" w:line="2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b w:val="1"/>
          <w:bCs w:val="1"/>
          <w:color w:val="auto"/>
        </w:rPr>
        <w:t>5.1 FOR GOOD AND VALUABLE CONSIDERATION</w:t>
      </w:r>
      <w:r>
        <w:rPr>
          <w:rFonts w:ascii="Arial" w:cs="Arial" w:eastAsia="Arial" w:hAnsi="Arial"/>
          <w:sz w:val="17"/>
          <w:szCs w:val="17"/>
          <w:color w:val="auto"/>
        </w:rPr>
        <w:t>, Borrower hereby forever relieves, releases, and discharges Collateral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solely to the extent such claims arise out of or are in any manner whatsoever connected with or related to the Loan Documents, the Recitals hereto, any instruments, agreements or documents executed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75" w:name="page76"/>
    <w:bookmarkEnd w:id="75"/>
    <w:p>
      <w:pPr>
        <w:spacing w:after="0" w:line="261" w:lineRule="auto"/>
        <w:rPr>
          <w:sz w:val="20"/>
          <w:szCs w:val="20"/>
          <w:color w:val="auto"/>
        </w:rPr>
      </w:pPr>
      <w:r>
        <w:rPr>
          <w:rFonts w:ascii="Arial" w:cs="Arial" w:eastAsia="Arial" w:hAnsi="Arial"/>
          <w:sz w:val="18"/>
          <w:szCs w:val="18"/>
          <w:color w:val="auto"/>
        </w:rPr>
        <w:t>connection with any of the foregoing or the origination, negotiation, administration, servicing and/or enforcement of any of the foregoing (collectively “</w:t>
      </w:r>
      <w:r>
        <w:rPr>
          <w:rFonts w:ascii="Arial" w:cs="Arial" w:eastAsia="Arial" w:hAnsi="Arial"/>
          <w:sz w:val="18"/>
          <w:szCs w:val="18"/>
          <w:b w:val="1"/>
          <w:bCs w:val="1"/>
          <w:color w:val="auto"/>
        </w:rPr>
        <w:t>Released Claims</w:t>
      </w:r>
      <w:r>
        <w:rPr>
          <w:rFonts w:ascii="Arial" w:cs="Arial" w:eastAsia="Arial" w:hAnsi="Arial"/>
          <w:sz w:val="18"/>
          <w:szCs w:val="18"/>
          <w:color w:val="auto"/>
        </w:rPr>
        <w:t>”).</w:t>
      </w:r>
    </w:p>
    <w:p>
      <w:pPr>
        <w:spacing w:after="0" w:line="16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In furtherance of this release, Borrower expressly acknowledges and waives the provisions of California Civil Code Section 1542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provision under the laws of any state), which states:</w:t>
      </w:r>
    </w:p>
    <w:p>
      <w:pPr>
        <w:spacing w:after="0" w:line="166" w:lineRule="exact"/>
        <w:rPr>
          <w:sz w:val="20"/>
          <w:szCs w:val="20"/>
          <w:color w:val="auto"/>
        </w:rPr>
      </w:pPr>
    </w:p>
    <w:p>
      <w:pPr>
        <w:jc w:val="both"/>
        <w:ind w:left="660" w:right="660"/>
        <w:spacing w:after="0" w:line="24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color w:val="auto"/>
        </w:rPr>
        <w:t>By entering into this release, Borrower recognizes that no facts or representations are ever absolutely certain and it may hereafter discover</w:t>
      </w:r>
      <w:r>
        <w:rPr>
          <w:rFonts w:ascii="Arial" w:cs="Arial" w:eastAsia="Arial" w:hAnsi="Arial"/>
          <w:sz w:val="16"/>
          <w:szCs w:val="16"/>
          <w:b w:val="1"/>
          <w:bCs w:val="1"/>
          <w:color w:val="auto"/>
        </w:rPr>
        <w:t xml:space="preserve"> </w:t>
      </w:r>
      <w:r>
        <w:rPr>
          <w:rFonts w:ascii="Arial" w:cs="Arial" w:eastAsia="Arial" w:hAnsi="Arial"/>
          <w:sz w:val="16"/>
          <w:szCs w:val="16"/>
          <w:color w:val="auto"/>
        </w:rPr>
        <w:t>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color w:val="auto"/>
        </w:rPr>
        <w:t>This release may be pleaded as a full and complete defense and/or as a cross-complaint or counterclaim against any action, suit,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66" w:lineRule="exact"/>
        <w:rPr>
          <w:sz w:val="20"/>
          <w:szCs w:val="20"/>
          <w:color w:val="auto"/>
        </w:rPr>
      </w:pPr>
    </w:p>
    <w:p>
      <w:pPr>
        <w:ind w:firstLine="8"/>
        <w:spacing w:after="0" w:line="296" w:lineRule="auto"/>
        <w:tabs>
          <w:tab w:leader="none" w:pos="342"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This Amendment shall be deemed effective as of the date hereof upon (a) the due execution of this Amendment by the parties thereto,</w:t>
      </w:r>
      <w:r>
        <w:rPr>
          <w:rFonts w:ascii="Arial" w:cs="Arial" w:eastAsia="Arial" w:hAnsi="Arial"/>
          <w:sz w:val="17"/>
          <w:szCs w:val="17"/>
          <w:b w:val="1"/>
          <w:bCs w:val="1"/>
          <w:color w:val="auto"/>
        </w:rPr>
        <w:t xml:space="preserve"> </w:t>
      </w:r>
      <w:r>
        <w:rPr>
          <w:rFonts w:ascii="Arial" w:cs="Arial" w:eastAsia="Arial" w:hAnsi="Arial"/>
          <w:sz w:val="17"/>
          <w:szCs w:val="17"/>
          <w:color w:val="auto"/>
        </w:rPr>
        <w:t>and (b) receipt by Collateral Agent and Lenders of fully-executed copies of the Collaboration Agreement and the Stock Purchase Agreement.</w:t>
      </w:r>
    </w:p>
    <w:p>
      <w:pPr>
        <w:spacing w:after="0" w:line="138" w:lineRule="exact"/>
        <w:rPr>
          <w:rFonts w:ascii="Arial" w:cs="Arial" w:eastAsia="Arial" w:hAnsi="Arial"/>
          <w:sz w:val="17"/>
          <w:szCs w:val="17"/>
          <w:b w:val="1"/>
          <w:bCs w:val="1"/>
          <w:color w:val="auto"/>
        </w:rPr>
      </w:pPr>
    </w:p>
    <w:p>
      <w:pPr>
        <w:jc w:val="both"/>
        <w:ind w:firstLine="8"/>
        <w:spacing w:after="0" w:line="250" w:lineRule="auto"/>
        <w:tabs>
          <w:tab w:leader="none" w:pos="34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each of which shall be deemed an original, and all of which,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Delivery by electronic transmission (e.g. “.pdf”) of an executed counterpart of this Amendment shall be effective as a manually executed counterpart signature thereof.</w:t>
      </w:r>
    </w:p>
    <w:p>
      <w:pPr>
        <w:spacing w:after="0" w:line="176" w:lineRule="exact"/>
        <w:rPr>
          <w:rFonts w:ascii="Arial" w:cs="Arial" w:eastAsia="Arial" w:hAnsi="Arial"/>
          <w:sz w:val="18"/>
          <w:szCs w:val="18"/>
          <w:b w:val="1"/>
          <w:bCs w:val="1"/>
          <w:color w:val="auto"/>
        </w:rPr>
      </w:pPr>
    </w:p>
    <w:p>
      <w:pPr>
        <w:ind w:right="20" w:firstLine="8"/>
        <w:spacing w:after="0" w:line="266" w:lineRule="auto"/>
        <w:tabs>
          <w:tab w:leader="none" w:pos="3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hereto shall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76" w:name="page77"/>
    <w:bookmarkEnd w:id="76"/>
    <w:p>
      <w:pPr>
        <w:ind w:firstLine="648"/>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First Amendment to Loan and Security Agreement to be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set forth above.</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BORROWER:</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SELECTA BIOSCIENCES, INC.</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COLLATERAL AGENT AND LENDER:</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OXFORD FINANCE LLC</w:t>
            </w:r>
          </w:p>
        </w:tc>
        <w:tc>
          <w:tcPr>
            <w:tcW w:w="3620" w:type="dxa"/>
            <w:vAlign w:val="bottom"/>
          </w:tcPr>
          <w:p>
            <w:pPr>
              <w:spacing w:after="0"/>
              <w:rPr>
                <w:sz w:val="20"/>
                <w:szCs w:val="20"/>
                <w:color w:val="auto"/>
              </w:rPr>
            </w:pPr>
          </w:p>
        </w:tc>
      </w:tr>
      <w:tr>
        <w:trPr>
          <w:trHeight w:val="520"/>
        </w:trPr>
        <w:tc>
          <w:tcPr>
            <w:tcW w:w="2340" w:type="dxa"/>
            <w:vAlign w:val="bottom"/>
            <w:gridSpan w:val="2"/>
          </w:tcPr>
          <w:p>
            <w:pPr>
              <w:spacing w:after="0"/>
              <w:rPr>
                <w:sz w:val="20"/>
                <w:szCs w:val="20"/>
                <w:color w:val="auto"/>
              </w:rPr>
            </w:pPr>
            <w:r>
              <w:rPr>
                <w:rFonts w:ascii="Arial" w:cs="Arial" w:eastAsia="Arial" w:hAnsi="Arial"/>
                <w:sz w:val="18"/>
                <w:szCs w:val="18"/>
                <w:color w:val="auto"/>
              </w:rPr>
              <w:t>By:</w:t>
            </w:r>
          </w:p>
        </w:tc>
        <w:tc>
          <w:tcPr>
            <w:tcW w:w="3620" w:type="dxa"/>
            <w:vAlign w:val="bottom"/>
          </w:tcPr>
          <w:p>
            <w:pPr>
              <w:jc w:val="center"/>
              <w:ind w:right="1170"/>
              <w:spacing w:after="0"/>
              <w:rPr>
                <w:sz w:val="20"/>
                <w:szCs w:val="20"/>
                <w:color w:val="auto"/>
              </w:rPr>
            </w:pPr>
            <w:r>
              <w:rPr>
                <w:rFonts w:ascii="Arial" w:cs="Arial" w:eastAsia="Arial" w:hAnsi="Arial"/>
                <w:sz w:val="18"/>
                <w:szCs w:val="18"/>
                <w:color w:val="auto"/>
                <w:w w:val="91"/>
              </w:rPr>
              <w:t>/s/ Colette H. Featherly</w:t>
            </w: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tcPr>
          <w:p>
            <w:pPr>
              <w:spacing w:after="0"/>
              <w:rPr>
                <w:sz w:val="21"/>
                <w:szCs w:val="21"/>
                <w:color w:val="auto"/>
              </w:rPr>
            </w:pPr>
          </w:p>
        </w:tc>
        <w:tc>
          <w:tcPr>
            <w:tcW w:w="36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91"/>
              </w:rPr>
              <w:t>Colette H. Featherly</w:t>
            </w:r>
          </w:p>
        </w:tc>
      </w:tr>
      <w:tr>
        <w:trPr>
          <w:trHeight w:val="257"/>
        </w:trPr>
        <w:tc>
          <w:tcPr>
            <w:tcW w:w="23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jc w:val="center"/>
              <w:ind w:right="1190"/>
              <w:spacing w:after="0"/>
              <w:rPr>
                <w:sz w:val="20"/>
                <w:szCs w:val="20"/>
                <w:color w:val="auto"/>
              </w:rPr>
            </w:pPr>
            <w:r>
              <w:rPr>
                <w:rFonts w:ascii="Arial" w:cs="Arial" w:eastAsia="Arial" w:hAnsi="Arial"/>
                <w:sz w:val="18"/>
                <w:szCs w:val="18"/>
                <w:i w:val="1"/>
                <w:iCs w:val="1"/>
                <w:color w:val="auto"/>
                <w:w w:val="88"/>
              </w:rPr>
              <w:t>Senior Vice President</w:t>
            </w:r>
          </w:p>
        </w:tc>
      </w:tr>
      <w:tr>
        <w:trPr>
          <w:trHeight w:val="79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LENDER:</w:t>
            </w:r>
          </w:p>
        </w:tc>
        <w:tc>
          <w:tcPr>
            <w:tcW w:w="3620" w:type="dxa"/>
            <w:vAlign w:val="bottom"/>
          </w:tcPr>
          <w:p>
            <w:pPr>
              <w:spacing w:after="0"/>
              <w:rPr>
                <w:sz w:val="24"/>
                <w:szCs w:val="24"/>
                <w:color w:val="auto"/>
              </w:rPr>
            </w:pPr>
          </w:p>
        </w:tc>
      </w:tr>
      <w:tr>
        <w:trPr>
          <w:trHeight w:val="526"/>
        </w:trPr>
        <w:tc>
          <w:tcPr>
            <w:tcW w:w="234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620" w:type="dxa"/>
            <w:vAlign w:val="bottom"/>
          </w:tcPr>
          <w:p>
            <w:pPr>
              <w:spacing w:after="0"/>
              <w:rPr>
                <w:sz w:val="24"/>
                <w:szCs w:val="24"/>
                <w:color w:val="auto"/>
              </w:rPr>
            </w:pPr>
          </w:p>
        </w:tc>
      </w:tr>
      <w:tr>
        <w:trPr>
          <w:trHeight w:val="533"/>
        </w:trPr>
        <w:tc>
          <w:tcPr>
            <w:tcW w:w="2340" w:type="dxa"/>
            <w:vAlign w:val="bottom"/>
            <w:gridSpan w:val="2"/>
          </w:tcPr>
          <w:p>
            <w:pPr>
              <w:spacing w:after="0"/>
              <w:rPr>
                <w:sz w:val="20"/>
                <w:szCs w:val="20"/>
                <w:color w:val="auto"/>
              </w:rPr>
            </w:pPr>
            <w:r>
              <w:rPr>
                <w:rFonts w:ascii="Arial" w:cs="Arial" w:eastAsia="Arial" w:hAnsi="Arial"/>
                <w:sz w:val="18"/>
                <w:szCs w:val="18"/>
                <w:color w:val="auto"/>
              </w:rPr>
              <w:t>By:</w:t>
            </w:r>
          </w:p>
        </w:tc>
        <w:tc>
          <w:tcPr>
            <w:tcW w:w="3620" w:type="dxa"/>
            <w:vAlign w:val="bottom"/>
          </w:tcPr>
          <w:p>
            <w:pPr>
              <w:jc w:val="center"/>
              <w:ind w:right="1190"/>
              <w:spacing w:after="0"/>
              <w:rPr>
                <w:sz w:val="20"/>
                <w:szCs w:val="20"/>
                <w:color w:val="auto"/>
              </w:rPr>
            </w:pPr>
            <w:r>
              <w:rPr>
                <w:rFonts w:ascii="Arial" w:cs="Arial" w:eastAsia="Arial" w:hAnsi="Arial"/>
                <w:sz w:val="18"/>
                <w:szCs w:val="18"/>
                <w:color w:val="auto"/>
                <w:w w:val="90"/>
              </w:rPr>
              <w:t>/s/ Lauren Cole</w:t>
            </w: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tcPr>
          <w:p>
            <w:pPr>
              <w:spacing w:after="0"/>
              <w:rPr>
                <w:sz w:val="21"/>
                <w:szCs w:val="21"/>
                <w:color w:val="auto"/>
              </w:rPr>
            </w:pPr>
          </w:p>
        </w:tc>
        <w:tc>
          <w:tcPr>
            <w:tcW w:w="36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91"/>
              </w:rPr>
              <w:t>Lauren Cole</w:t>
            </w:r>
          </w:p>
        </w:tc>
      </w:tr>
      <w:tr>
        <w:trPr>
          <w:trHeight w:val="256"/>
        </w:trPr>
        <w:tc>
          <w:tcPr>
            <w:tcW w:w="23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jc w:val="center"/>
              <w:ind w:right="1190"/>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First Amendment to Loan and Security Agreement</w:t>
      </w:r>
      <w:r>
        <w:rPr>
          <w:rFonts w:ascii="Arial" w:cs="Arial" w:eastAsia="Arial" w:hAnsi="Arial"/>
          <w:sz w:val="18"/>
          <w:szCs w:val="18"/>
          <w:b w:val="1"/>
          <w:bCs w:val="1"/>
          <w:color w:val="auto"/>
        </w:rPr>
        <w:t>]</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417" w:right="3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216" w:lineRule="exact"/>
        <w:rPr>
          <w:sz w:val="20"/>
          <w:szCs w:val="20"/>
          <w:color w:val="auto"/>
        </w:rPr>
      </w:pPr>
    </w:p>
    <w:p>
      <w:pPr>
        <w:ind w:left="680" w:hanging="348"/>
        <w:spacing w:after="0"/>
        <w:tabs>
          <w:tab w:leader="none" w:pos="6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November 9, 2021</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Executive Officer)</w:t>
            </w:r>
          </w:p>
        </w:tc>
      </w:tr>
    </w:tbl>
    <w:p>
      <w:pPr>
        <w:sectPr>
          <w:pgSz w:w="11900" w:h="16838" w:orient="portrait"/>
          <w:cols w:equalWidth="0" w:num="1">
            <w:col w:w="11240"/>
          </w:cols>
          <w:pgMar w:left="320" w:top="76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Kevin Tan, certify that:</w:t>
      </w:r>
    </w:p>
    <w:p>
      <w:pPr>
        <w:spacing w:after="0" w:line="216" w:lineRule="exact"/>
        <w:rPr>
          <w:sz w:val="20"/>
          <w:szCs w:val="20"/>
          <w:color w:val="auto"/>
        </w:rPr>
      </w:pPr>
    </w:p>
    <w:p>
      <w:pPr>
        <w:ind w:left="680" w:hanging="348"/>
        <w:spacing w:after="0"/>
        <w:tabs>
          <w:tab w:leader="none" w:pos="6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5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920" w:type="dxa"/>
            <w:vAlign w:val="bottom"/>
          </w:tcPr>
          <w:p>
            <w:pPr>
              <w:spacing w:after="0"/>
              <w:rPr>
                <w:sz w:val="20"/>
                <w:szCs w:val="20"/>
                <w:color w:val="auto"/>
              </w:rPr>
            </w:pPr>
            <w:r>
              <w:rPr>
                <w:rFonts w:ascii="Arial" w:cs="Arial" w:eastAsia="Arial" w:hAnsi="Arial"/>
                <w:sz w:val="20"/>
                <w:szCs w:val="20"/>
                <w:color w:val="2C2C2C"/>
              </w:rPr>
              <w:t>November 9, 2021</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Kevin Tan</w:t>
            </w:r>
          </w:p>
        </w:tc>
      </w:tr>
      <w:tr>
        <w:trPr>
          <w:trHeight w:val="233"/>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1"/>
              </w:rPr>
              <w:t>Kevin Tan</w:t>
            </w:r>
          </w:p>
        </w:tc>
      </w:tr>
      <w:tr>
        <w:trPr>
          <w:trHeight w:val="243"/>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5"/>
              </w:rPr>
              <w:t>(Principal Financial Officer)</w:t>
            </w:r>
          </w:p>
        </w:tc>
      </w:tr>
    </w:tbl>
    <w:p>
      <w:pPr>
        <w:sectPr>
          <w:pgSz w:w="11900" w:h="16838" w:orient="portrait"/>
          <w:cols w:equalWidth="0" w:num="1">
            <w:col w:w="11240"/>
          </w:cols>
          <w:pgMar w:left="320" w:top="76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35" w:lineRule="exact"/>
        <w:rPr>
          <w:sz w:val="20"/>
          <w:szCs w:val="20"/>
          <w:color w:val="auto"/>
        </w:rPr>
      </w:pPr>
    </w:p>
    <w:p>
      <w:pPr>
        <w:ind w:right="60" w:firstLine="324"/>
        <w:spacing w:after="0" w:line="250" w:lineRule="auto"/>
        <w:rPr>
          <w:sz w:val="20"/>
          <w:szCs w:val="20"/>
          <w:color w:val="auto"/>
        </w:rPr>
      </w:pPr>
      <w:r>
        <w:rPr>
          <w:rFonts w:ascii="Arial" w:cs="Arial" w:eastAsia="Arial" w:hAnsi="Arial"/>
          <w:sz w:val="20"/>
          <w:szCs w:val="20"/>
          <w:color w:val="auto"/>
        </w:rPr>
        <w:t>In connection with the Quarterly Report on Form 10-Q of Selecta Biosciences, Inc. (the “Company”) for the period ended September 30, 2021 as filed with the Securities and Exchange Commission on the date hereof (the “Report”), each of the undersigned officers of the Company hereby certifies, pursuant to 18 U.S.C. Section 1350, that to his knowledge:</w:t>
      </w:r>
    </w:p>
    <w:p>
      <w:pPr>
        <w:spacing w:after="0" w:line="78" w:lineRule="exact"/>
        <w:rPr>
          <w:sz w:val="20"/>
          <w:szCs w:val="20"/>
          <w:color w:val="auto"/>
        </w:rPr>
      </w:pPr>
    </w:p>
    <w:p>
      <w:pPr>
        <w:ind w:left="660" w:hanging="328"/>
        <w:spacing w:after="0" w:line="260" w:lineRule="auto"/>
        <w:tabs>
          <w:tab w:leader="none" w:pos="679"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September 30, 2021 (the “Report”) fully complies with the requirements of Section 13(a) or 15(d) of the Securities Exchange Act of 1934, as amended; and</w:t>
      </w:r>
    </w:p>
    <w:p>
      <w:pPr>
        <w:spacing w:after="0" w:line="68"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November 9, 2021</w:t>
            </w:r>
          </w:p>
        </w:tc>
        <w:tc>
          <w:tcPr>
            <w:tcW w:w="40" w:type="dxa"/>
            <w:vAlign w:val="bottom"/>
            <w:tcBorders>
              <w:bottom w:val="single" w:sz="8" w:color="auto"/>
            </w:tcBorders>
          </w:tcPr>
          <w:p>
            <w:pPr>
              <w:spacing w:after="0"/>
              <w:rPr>
                <w:sz w:val="21"/>
                <w:szCs w:val="21"/>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i w:val="1"/>
                <w:iCs w:val="1"/>
                <w:color w:val="auto"/>
                <w:w w:val="93"/>
              </w:rPr>
              <w:t>(Principal Executive Officer)</w:t>
            </w:r>
          </w:p>
        </w:tc>
      </w:tr>
      <w:tr>
        <w:trPr>
          <w:trHeight w:val="927"/>
        </w:trPr>
        <w:tc>
          <w:tcPr>
            <w:tcW w:w="6280" w:type="dxa"/>
            <w:vAlign w:val="bottom"/>
          </w:tcPr>
          <w:p>
            <w:pPr>
              <w:spacing w:after="0"/>
              <w:rPr>
                <w:sz w:val="20"/>
                <w:szCs w:val="20"/>
                <w:color w:val="auto"/>
              </w:rPr>
            </w:pPr>
            <w:r>
              <w:rPr>
                <w:rFonts w:ascii="Arial" w:cs="Arial" w:eastAsia="Arial" w:hAnsi="Arial"/>
                <w:sz w:val="20"/>
                <w:szCs w:val="20"/>
                <w:color w:val="2C2C2C"/>
              </w:rPr>
              <w:t>November 9, 2021</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color w:val="auto"/>
                <w:w w:val="90"/>
              </w:rPr>
              <w:t>/s/ Kevin Tan</w:t>
            </w:r>
          </w:p>
        </w:tc>
      </w:tr>
      <w:tr>
        <w:trPr>
          <w:trHeight w:val="233"/>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Kevin Tan</w:t>
            </w:r>
          </w:p>
        </w:tc>
        <w:tc>
          <w:tcPr>
            <w:tcW w:w="20" w:type="dxa"/>
            <w:vAlign w:val="bottom"/>
          </w:tcPr>
          <w:p>
            <w:pPr>
              <w:spacing w:after="0"/>
              <w:rPr>
                <w:sz w:val="20"/>
                <w:szCs w:val="20"/>
                <w:color w:val="auto"/>
              </w:rPr>
            </w:pPr>
          </w:p>
        </w:tc>
      </w:tr>
      <w:tr>
        <w:trPr>
          <w:trHeight w:val="243"/>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i w:val="1"/>
                <w:iCs w:val="1"/>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2"/>
    </w:lvl>
  </w:abstractNum>
  <w:abstractNum w:abstractNumId="4">
    <w:nsid w:val="8138641"/>
    <w:multiLevelType w:val="hybridMultilevel"/>
    <w:lvl w:ilvl="0">
      <w:lvlJc w:val="left"/>
      <w:lvlText w:val="%1."/>
      <w:numFmt w:val="decimal"/>
      <w:start w:val="13"/>
    </w:lvl>
  </w:abstractNum>
  <w:abstractNum w:abstractNumId="5">
    <w:nsid w:val="1E7FF521"/>
    <w:multiLevelType w:val="hybridMultilevel"/>
    <w:lvl w:ilvl="0">
      <w:lvlJc w:val="left"/>
      <w:lvlText w:val="%1."/>
      <w:numFmt w:val="decimal"/>
      <w:start w:val="14"/>
    </w:lvl>
  </w:abstractNum>
  <w:abstractNum w:abstractNumId="6">
    <w:nsid w:val="7C3DBD3D"/>
    <w:multiLevelType w:val="hybridMultilevel"/>
    <w:lvl w:ilvl="0">
      <w:lvlJc w:val="left"/>
      <w:lvlText w:val="%1."/>
      <w:numFmt w:val="decimal"/>
      <w:start w:val="18"/>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04"/>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upperLetter"/>
      <w:start w:val="1"/>
    </w:lvl>
  </w:abstractNum>
  <w:abstractNum w:abstractNumId="15">
    <w:nsid w:val="440BADFC"/>
    <w:multiLevelType w:val="hybridMultilevel"/>
    <w:lvl w:ilvl="0">
      <w:lvlJc w:val="left"/>
      <w:lvlText w:val="%1."/>
      <w:numFmt w:val="decimal"/>
      <w:start w:val="1"/>
    </w:lvl>
    <w:lvl w:ilvl="1">
      <w:lvlJc w:val="left"/>
      <w:lvlText w:val="(%2)"/>
      <w:numFmt w:val="lowerLetter"/>
      <w:start w:val="1"/>
    </w:lvl>
  </w:abstractNum>
  <w:abstractNum w:abstractNumId="16">
    <w:nsid w:val="5072367"/>
    <w:multiLevelType w:val="hybridMultilevel"/>
    <w:lvl w:ilvl="0">
      <w:lvlJc w:val="left"/>
      <w:lvlText w:val="%1."/>
      <w:numFmt w:val="decimal"/>
      <w:start w:val="2"/>
    </w:lvl>
    <w:lvl w:ilvl="1">
      <w:lvlJc w:val="left"/>
      <w:lvlText w:val="(%2)"/>
      <w:numFmt w:val="lowerLetter"/>
      <w:start w:val="1"/>
    </w:lvl>
  </w:abstractNum>
  <w:abstractNum w:abstractNumId="17">
    <w:nsid w:val="3804823E"/>
    <w:multiLevelType w:val="hybridMultilevel"/>
    <w:lvl w:ilvl="0">
      <w:lvlJc w:val="left"/>
      <w:lvlText w:val="%1"/>
      <w:numFmt w:val="decimal"/>
      <w:start w:val="1"/>
    </w:lvl>
    <w:lvl w:ilvl="1">
      <w:lvlJc w:val="left"/>
      <w:lvlText w:val="(%2)"/>
      <w:numFmt w:val="lowerLetter"/>
      <w:start w:val="8"/>
    </w:lvl>
  </w:abstractNum>
  <w:abstractNum w:abstractNumId="18">
    <w:nsid w:val="77465F01"/>
    <w:multiLevelType w:val="hybridMultilevel"/>
    <w:lvl w:ilvl="0">
      <w:lvlJc w:val="left"/>
      <w:lvlText w:val="%1."/>
      <w:numFmt w:val="decimal"/>
      <w:start w:val="3"/>
    </w:lvl>
    <w:lvl w:ilvl="1">
      <w:lvlJc w:val="left"/>
      <w:lvlText w:val="%2"/>
      <w:numFmt w:val="lowerLetter"/>
      <w:start w:val="1"/>
    </w:lvl>
  </w:abstractNum>
  <w:abstractNum w:abstractNumId="19">
    <w:nsid w:val="7724C67E"/>
    <w:multiLevelType w:val="hybridMultilevel"/>
    <w:lvl w:ilvl="0">
      <w:lvlJc w:val="left"/>
      <w:lvlText w:val="(%1)"/>
      <w:numFmt w:val="lowerLetter"/>
      <w:start w:val="1"/>
    </w:lvl>
    <w:lvl w:ilvl="1">
      <w:lvlJc w:val="left"/>
      <w:lvlText w:val="(%2)"/>
      <w:numFmt w:val="lowerRoman"/>
      <w:start w:val="1"/>
    </w:lvl>
  </w:abstractNum>
  <w:abstractNum w:abstractNumId="20">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1">
    <w:nsid w:val="2463B9E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5E884A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
    <w:nsid w:val="51EAD36B"/>
    <w:multiLevelType w:val="hybridMultilevel"/>
    <w:lvl w:ilvl="0">
      <w:lvlJc w:val="left"/>
      <w:lvlText w:val="%1"/>
      <w:numFmt w:val="lowerLetter"/>
      <w:start w:val="1"/>
    </w:lvl>
    <w:lvl w:ilvl="1">
      <w:lvlJc w:val="left"/>
      <w:lvlText w:val="(%2)"/>
      <w:numFmt w:val="lowerRoman"/>
      <w:start w:val="1"/>
    </w:lvl>
  </w:abstractNum>
  <w:abstractNum w:abstractNumId="24">
    <w:nsid w:val="2D517796"/>
    <w:multiLevelType w:val="hybridMultilevel"/>
    <w:lvl w:ilvl="0">
      <w:lvlJc w:val="left"/>
      <w:lvlText w:val="(%1)"/>
      <w:numFmt w:val="lowerLetter"/>
      <w:start w:val="3"/>
    </w:lvl>
    <w:lvl w:ilvl="1">
      <w:lvlJc w:val="left"/>
      <w:lvlText w:val="%2"/>
      <w:numFmt w:val="lowerRoman"/>
      <w:start w:val="1"/>
    </w:lvl>
  </w:abstractNum>
  <w:abstractNum w:abstractNumId="25">
    <w:nsid w:val="580BD78F"/>
    <w:multiLevelType w:val="hybridMultilevel"/>
    <w:lvl w:ilvl="0">
      <w:lvlJc w:val="left"/>
      <w:lvlText w:val="%1."/>
      <w:numFmt w:val="decimal"/>
      <w:start w:val="5"/>
    </w:lvl>
  </w:abstractNum>
  <w:abstractNum w:abstractNumId="26">
    <w:nsid w:val="153EA43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3855585C"/>
    <w:multiLevelType w:val="hybridMultilevel"/>
    <w:lvl w:ilvl="0">
      <w:lvlJc w:val="left"/>
      <w:lvlText w:val="%1"/>
      <w:numFmt w:val="decimal"/>
      <w:start w:val="1"/>
    </w:lvl>
    <w:lvl w:ilvl="1">
      <w:lvlJc w:val="left"/>
      <w:lvlText w:val="(%2)"/>
      <w:numFmt w:val="lowerLetter"/>
      <w:start w:val="5"/>
    </w:lvl>
  </w:abstractNum>
  <w:abstractNum w:abstractNumId="28">
    <w:nsid w:val="70A64E2A"/>
    <w:multiLevelType w:val="hybridMultilevel"/>
    <w:lvl w:ilvl="0">
      <w:lvlJc w:val="left"/>
      <w:lvlText w:val="%1."/>
      <w:numFmt w:val="decimal"/>
      <w:start w:val="8"/>
    </w:lvl>
    <w:lvl w:ilvl="1">
      <w:lvlJc w:val="left"/>
      <w:lvlText w:val="(%2)"/>
      <w:numFmt w:val="lowerLetter"/>
      <w:start w:val="1"/>
    </w:lvl>
  </w:abstractNum>
  <w:abstractNum w:abstractNumId="29">
    <w:nsid w:val="6A2342EC"/>
    <w:multiLevelType w:val="hybridMultilevel"/>
    <w:lvl w:ilvl="0">
      <w:lvlJc w:val="left"/>
      <w:lvlText w:val="%1"/>
      <w:numFmt w:val="decimal"/>
      <w:start w:val="1"/>
    </w:lvl>
    <w:lvl w:ilvl="1">
      <w:lvlJc w:val="left"/>
      <w:lvlText w:val="(%2)"/>
      <w:numFmt w:val="lowerLetter"/>
      <w:start w:val="3"/>
    </w:lvl>
  </w:abstractNum>
  <w:abstractNum w:abstractNumId="30">
    <w:nsid w:val="2A487CB0"/>
    <w:multiLevelType w:val="hybridMultilevel"/>
    <w:lvl w:ilvl="0">
      <w:lvlJc w:val="left"/>
      <w:lvlText w:val="%1."/>
      <w:numFmt w:val="decimal"/>
      <w:start w:val="9"/>
    </w:lvl>
    <w:lvl w:ilvl="1">
      <w:lvlJc w:val="left"/>
      <w:lvlText w:val="(%2)"/>
      <w:numFmt w:val="lowerLetter"/>
      <w:start w:val="1"/>
    </w:lvl>
  </w:abstractNum>
  <w:abstractNum w:abstractNumId="31">
    <w:nsid w:val="1D4ED43B"/>
    <w:multiLevelType w:val="hybridMultilevel"/>
    <w:lvl w:ilvl="0">
      <w:lvlJc w:val="left"/>
      <w:lvlText w:val="%1"/>
      <w:numFmt w:val="lowerLetter"/>
      <w:start w:val="1"/>
    </w:lvl>
    <w:lvl w:ilvl="1">
      <w:lvlJc w:val="left"/>
      <w:lvlText w:val="(%2)"/>
      <w:numFmt w:val="lowerRoman"/>
      <w:start w:val="1"/>
    </w:lvl>
  </w:abstractNum>
  <w:abstractNum w:abstractNumId="32">
    <w:nsid w:val="725A06FB"/>
    <w:multiLevelType w:val="hybridMultilevel"/>
    <w:lvl w:ilvl="0">
      <w:lvlJc w:val="left"/>
      <w:lvlText w:val="(%1)"/>
      <w:numFmt w:val="lowerLetter"/>
      <w:start w:val="4"/>
    </w:lvl>
    <w:lvl w:ilvl="1">
      <w:lvlJc w:val="left"/>
      <w:lvlText w:val="%2"/>
      <w:numFmt w:val="lowerRoman"/>
      <w:start w:val="1"/>
    </w:lvl>
  </w:abstractNum>
  <w:abstractNum w:abstractNumId="33">
    <w:nsid w:val="2CD89A32"/>
    <w:multiLevelType w:val="hybridMultilevel"/>
    <w:lvl w:ilvl="0">
      <w:lvlJc w:val="left"/>
      <w:lvlText w:val="(%1)"/>
      <w:numFmt w:val="lowerLetter"/>
      <w:start w:val="10"/>
    </w:lvl>
    <w:lvl w:ilvl="1">
      <w:lvlJc w:val="left"/>
      <w:lvlText w:val="(%2)"/>
      <w:numFmt w:val="lowerRoman"/>
      <w:start w:val="1"/>
    </w:lvl>
  </w:abstractNum>
  <w:abstractNum w:abstractNumId="34">
    <w:nsid w:val="57E4CCAF"/>
    <w:multiLevelType w:val="hybridMultilevel"/>
    <w:lvl w:ilvl="0">
      <w:lvlJc w:val="left"/>
      <w:lvlText w:val="%1."/>
      <w:numFmt w:val="decimal"/>
      <w:start w:val="10"/>
    </w:lvl>
  </w:abstractNum>
  <w:abstractNum w:abstractNumId="35">
    <w:nsid w:val="7A6D8D3C"/>
    <w:multiLevelType w:val="hybridMultilevel"/>
    <w:lvl w:ilvl="0">
      <w:lvlJc w:val="left"/>
      <w:lvlText w:val="%1."/>
      <w:numFmt w:val="decimal"/>
      <w:start w:val="1"/>
    </w:lvl>
    <w:lvl w:ilvl="1">
      <w:lvlJc w:val="left"/>
      <w:lvlText w:val="(%2)"/>
      <w:numFmt w:val="lowerLetter"/>
      <w:start w:val="1"/>
    </w:lvl>
  </w:abstractNum>
  <w:abstractNum w:abstractNumId="36">
    <w:nsid w:val="4B588F54"/>
    <w:multiLevelType w:val="hybridMultilevel"/>
    <w:lvl w:ilvl="0">
      <w:lvlJc w:val="left"/>
      <w:lvlText w:val="(%1)"/>
      <w:numFmt w:val="lowerLetter"/>
      <w:start w:val="2"/>
    </w:lvl>
  </w:abstractNum>
  <w:abstractNum w:abstractNumId="37">
    <w:nsid w:val="542289EC"/>
    <w:multiLevelType w:val="hybridMultilevel"/>
    <w:lvl w:ilvl="0">
      <w:lvlJc w:val="left"/>
      <w:lvlText w:val="%1"/>
      <w:numFmt w:val="decimal"/>
      <w:start w:val="1"/>
    </w:lvl>
    <w:lvl w:ilvl="1">
      <w:lvlJc w:val="left"/>
      <w:lvlText w:val="(%2)"/>
      <w:numFmt w:val="lowerLetter"/>
      <w:start w:val="3"/>
    </w:lvl>
  </w:abstractNum>
  <w:abstractNum w:abstractNumId="38">
    <w:nsid w:val="6DE91B18"/>
    <w:multiLevelType w:val="hybridMultilevel"/>
    <w:lvl w:ilvl="0">
      <w:lvlJc w:val="left"/>
      <w:lvlText w:val="%1."/>
      <w:numFmt w:val="decimal"/>
      <w:start w:val="5"/>
    </w:lvl>
    <w:lvl w:ilvl="1">
      <w:lvlJc w:val="left"/>
      <w:lvlText w:val="%2"/>
      <w:numFmt w:val="lowerLetter"/>
      <w:start w:val="1"/>
    </w:lvl>
  </w:abstractNum>
  <w:abstractNum w:abstractNumId="39">
    <w:nsid w:val="38437FDB"/>
    <w:multiLevelType w:val="hybridMultilevel"/>
    <w:lvl w:ilvl="0">
      <w:lvlJc w:val="left"/>
      <w:lvlText w:val="%1"/>
      <w:numFmt w:val="lowerLetter"/>
      <w:start w:val="1"/>
    </w:lvl>
    <w:lvl w:ilvl="1">
      <w:lvlJc w:val="left"/>
      <w:lvlText w:val="%2."/>
      <w:numFmt w:val="decimal"/>
      <w:start w:val="9"/>
    </w:lvl>
  </w:abstractNum>
  <w:abstractNum w:abstractNumId="40">
    <w:nsid w:val="7644A45C"/>
    <w:multiLevelType w:val="hybridMultilevel"/>
    <w:lvl w:ilvl="0">
      <w:lvlJc w:val="left"/>
      <w:lvlText w:val="(%1)"/>
      <w:numFmt w:val="lowerLetter"/>
      <w:start w:val="3"/>
    </w:lvl>
    <w:lvl w:ilvl="1">
      <w:lvlJc w:val="left"/>
      <w:lvlText w:val="%2"/>
      <w:numFmt w:val="decimal"/>
      <w:start w:val="1"/>
    </w:lvl>
  </w:abstractNum>
  <w:abstractNum w:abstractNumId="41">
    <w:nsid w:val="32FFF902"/>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42">
    <w:nsid w:val="684A481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43">
    <w:nsid w:val="579478FE"/>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44">
    <w:nsid w:val="749ABB4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5">
    <w:nsid w:val="3DC240FB"/>
    <w:multiLevelType w:val="hybridMultilevel"/>
    <w:lvl w:ilvl="0">
      <w:lvlJc w:val="left"/>
      <w:lvlText w:val="%1."/>
      <w:numFmt w:val="upperLetter"/>
      <w:start w:val="1"/>
    </w:lvl>
  </w:abstractNum>
  <w:abstractNum w:abstractNumId="46">
    <w:nsid w:val="1BA026FA"/>
    <w:multiLevelType w:val="hybridMultilevel"/>
    <w:lvl w:ilvl="0">
      <w:lvlJc w:val="left"/>
      <w:lvlText w:val="%1."/>
      <w:numFmt w:val="upperLetter"/>
      <w:start w:val="2"/>
    </w:lvl>
    <w:lvl w:ilvl="1">
      <w:lvlJc w:val="left"/>
      <w:lvlText w:val="%2."/>
      <w:numFmt w:val="decimal"/>
      <w:start w:val="1"/>
    </w:lvl>
  </w:abstractNum>
  <w:abstractNum w:abstractNumId="47">
    <w:nsid w:val="79A1DEAA"/>
    <w:multiLevelType w:val="hybridMultilevel"/>
    <w:lvl w:ilvl="0">
      <w:lvlJc w:val="left"/>
      <w:lvlText w:val="%1."/>
      <w:numFmt w:val="upperLetter"/>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Letter"/>
      <w:start w:val="2"/>
    </w:lvl>
  </w:abstractNum>
  <w:abstractNum w:abstractNumId="50">
    <w:nsid w:val="70C6A529"/>
    <w:multiLevelType w:val="hybridMultilevel"/>
    <w:lvl w:ilvl="0">
      <w:lvlJc w:val="left"/>
      <w:lvlText w:val="%1."/>
      <w:numFmt w:val="decimal"/>
      <w:start w:val="4"/>
    </w:lvl>
  </w:abstractNum>
  <w:abstractNum w:abstractNumId="51">
    <w:nsid w:val="520EEDD1"/>
    <w:multiLevelType w:val="hybridMultilevel"/>
    <w:lvl w:ilvl="0">
      <w:lvlJc w:val="left"/>
      <w:lvlText w:val="%1."/>
      <w:numFmt w:val="decimal"/>
      <w:start w:val="6"/>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9" Type="http://schemas.openxmlformats.org/officeDocument/2006/relationships/hyperlink" Target="http://www.sec.gov/Archives/edgar/data/1453687/000110465916129891/a16-14002_1ex3d1.htm" TargetMode="External"/><Relationship Id="rId70" Type="http://schemas.openxmlformats.org/officeDocument/2006/relationships/hyperlink" Target="http://www.sec.gov/Archives/edgar/data/1453687/000145368721000124/exhibit32_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2021-11-09T07:10:02Z</dcterms:created>
  <dcterms:modified xsi:type="dcterms:W3CDTF">2021-11-09T07:10:02Z</dcterms:modified>
</cp:coreProperties>
</file>